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42"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259"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 Farm Springs Road, Farmington, Connecticut 06032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64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2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September 30, 2017 there were 798,569,921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2017</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Statement of Operations for the quarters ended September 30, 2017 and 2016</w:t>
            </w:r>
          </w:p>
        </w:tc>
        <w:tc>
          <w:tcPr>
            <w:tcW w:w="294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2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Operations for the nine months ended September 30, 2017 and 2016</w:t>
              </w:r>
            </w:hyperlink>
          </w:p>
        </w:tc>
        <w:tc>
          <w:tcPr>
            <w:tcW w:w="264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 of Comprehensive Income for the quarters and nine months ended September 30, 2017 and 2016</w:t>
              </w:r>
            </w:hyperlink>
          </w:p>
        </w:tc>
        <w:tc>
          <w:tcPr>
            <w:tcW w:w="7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Balance Sheet at September 30, 2017 and December 31, 2016</w:t>
              </w:r>
            </w:hyperlink>
          </w:p>
        </w:tc>
        <w:tc>
          <w:tcPr>
            <w:tcW w:w="406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 of Cash Flows for the nine months ended September 30, 2017 and 2016</w:t>
              </w:r>
            </w:hyperlink>
          </w:p>
        </w:tc>
        <w:tc>
          <w:tcPr>
            <w:tcW w:w="258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5"/>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 Quantitative and Qualitative Disclosures About Market Risk</w:t>
              </w:r>
            </w:hyperlink>
          </w:p>
        </w:tc>
        <w:tc>
          <w:tcPr>
            <w:tcW w:w="358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Controls and Procedures</w:t>
              </w:r>
            </w:hyperlink>
          </w:p>
        </w:tc>
        <w:tc>
          <w:tcPr>
            <w:tcW w:w="2580" w:type="dxa"/>
            <w:vAlign w:val="bottom"/>
            <w:gridSpan w:val="6"/>
          </w:tcPr>
          <w:p>
            <w:pPr>
              <w:spacing w:after="0"/>
              <w:rPr>
                <w:sz w:val="24"/>
                <w:szCs w:val="24"/>
                <w:color w:val="auto"/>
              </w:rPr>
            </w:pPr>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46">
              <w:r>
                <w:rPr>
                  <w:rFonts w:ascii="Arial" w:cs="Arial" w:eastAsia="Arial" w:hAnsi="Arial"/>
                  <w:sz w:val="18"/>
                  <w:szCs w:val="18"/>
                  <w:color w:val="0000FF"/>
                  <w:w w:val="95"/>
                </w:rPr>
                <w:t>PART II – OTHER INFORMATION</w:t>
              </w:r>
            </w:hyperlink>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Legal Proceedings</w:t>
              </w:r>
            </w:hyperlink>
          </w:p>
        </w:tc>
        <w:tc>
          <w:tcPr>
            <w:tcW w:w="640" w:type="dxa"/>
            <w:vAlign w:val="bottom"/>
            <w:gridSpan w:val="2"/>
          </w:tcPr>
          <w:p>
            <w:pPr>
              <w:spacing w:after="0"/>
              <w:rPr>
                <w:sz w:val="24"/>
                <w:szCs w:val="24"/>
                <w:color w:val="auto"/>
              </w:rPr>
            </w:pPr>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5"/>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2.</w:t>
              </w:r>
            </w:hyperlink>
          </w:p>
        </w:tc>
        <w:tc>
          <w:tcPr>
            <w:tcW w:w="4380" w:type="dxa"/>
            <w:vAlign w:val="bottom"/>
            <w:gridSpan w:val="11"/>
          </w:tcPr>
          <w:p>
            <w:pPr>
              <w:ind w:left="2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Unregistered Sales of Equity Securities and Use of Proceeds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6.</w:t>
              </w:r>
            </w:hyperlink>
          </w:p>
        </w:tc>
        <w:tc>
          <w:tcPr>
            <w:tcW w:w="4380" w:type="dxa"/>
            <w:vAlign w:val="bottom"/>
            <w:gridSpan w:val="11"/>
          </w:tcPr>
          <w:p>
            <w:pPr>
              <w:ind w:left="20"/>
              <w:spacing w:after="0"/>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SIGNATURES</w:t>
              </w:r>
            </w:hyperlink>
          </w:p>
        </w:tc>
        <w:tc>
          <w:tcPr>
            <w:tcW w:w="9600" w:type="dxa"/>
            <w:vAlign w:val="bottom"/>
            <w:gridSpan w:val="1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Quarter Ended September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10,378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10,194</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4,160</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14,354</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7,522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12,314</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1,534</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1,443</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1,330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1,480</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0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30,676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30,247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12,338</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42,585</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22,542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4,204</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36,652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6,533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5,860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4,041</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Gain on disposal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attributable to common shareowners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4,155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4,042</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4,312</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4,313</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net of tax (expense) benefit: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Reclassification adjustments for gain on sale of an investment in 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entity recognized in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and prior service cost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gain (loss)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holding gain (loss) arising during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gain included in 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cash flow hedging gain (loss) arising during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(Gain) loss reclassified into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3,932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Arial" w:cs="Arial" w:eastAsia="Arial" w:hAnsi="Arial"/>
                <w:sz w:val="17"/>
                <w:szCs w:val="17"/>
                <w:b w:val="1"/>
                <w:bCs w:val="1"/>
                <w:color w:val="auto"/>
                <w:w w:val="78"/>
              </w:rPr>
              <w:t>Assets</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8,523</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7,157</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11,481</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10,083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8,704</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 current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Current Assets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32,963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28,550</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Customer financing assets</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Future income tax benefits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1,723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1,809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Fixed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19,469</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Less: Accumulated depreciation</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(10,311)</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Fixed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9,763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9,158</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Goodwill</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27,916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27,059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15,684</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5,848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6,048</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96,352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89,706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60" w:type="dxa"/>
            <w:vAlign w:val="bottom"/>
            <w:gridSpan w:val="4"/>
            <w:vMerge w:val="restart"/>
          </w:tcPr>
          <w:p>
            <w:pPr>
              <w:jc w:val="center"/>
              <w:ind w:right="3260"/>
              <w:spacing w:after="0"/>
              <w:rPr>
                <w:sz w:val="20"/>
                <w:szCs w:val="20"/>
                <w:color w:val="auto"/>
              </w:rPr>
            </w:pPr>
            <w:r>
              <w:rPr>
                <w:rFonts w:ascii="Arial" w:cs="Arial" w:eastAsia="Arial" w:hAnsi="Arial"/>
                <w:sz w:val="17"/>
                <w:szCs w:val="17"/>
                <w:b w:val="1"/>
                <w:bCs w:val="1"/>
                <w:color w:val="auto"/>
                <w:w w:val="94"/>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Short-term borrowings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8,999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7,483</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13,053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12,219</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 currently due</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1,603</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21,906</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24,063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21,697</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5,612</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long-term liabilities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11,693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11,026</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60,241</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Commitments and contingent liabilities (Note 15)</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Redeemable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Shareowners' Equity:</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17,285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Treasury Stock</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(35,575)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(34,150)</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52,873</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Unearned ESOP shares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(8,334)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1100"/>
              <w:spacing w:after="0"/>
              <w:rPr>
                <w:sz w:val="20"/>
                <w:szCs w:val="20"/>
                <w:color w:val="auto"/>
              </w:rPr>
            </w:pPr>
            <w:r>
              <w:rPr>
                <w:rFonts w:ascii="Arial" w:cs="Arial" w:eastAsia="Arial" w:hAnsi="Arial"/>
                <w:sz w:val="17"/>
                <w:szCs w:val="17"/>
                <w:color w:val="auto"/>
              </w:rPr>
              <w:t>Total Shareowners' Equity</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29,881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27,579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1,590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Equity</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31,691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29,169</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96,352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89,706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4,312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Adjustments to reconcile net income from continuing operations to net cash flows provided by operating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activities of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Change 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Global pension contributions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Canadian government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operating activities,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4,567</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Investments in businesses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Dispositions of businesses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Proceeds from sale of investments in Watsco, Inc.</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in customer financing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Payments from settlements of derivative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Repayment of long-term debt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short-term borrowings,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on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discontinued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Restricted cash, included in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7,107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02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029"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The Condensed Consolidated Financial Statements at September 30, 2017 and for the quarters and nine months ended September 30, 2017 and 2016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(2016 Annual Report) incorporated by reference in our Annual Report on Form 10-K for calendar year 2016 (2016 Form 10-K).</w:t>
      </w:r>
    </w:p>
    <w:p>
      <w:pPr>
        <w:spacing w:after="0" w:line="85"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 xml:space="preserve">Certain reclassifications have been made to the prior year amounts to conform to the current year presentation. As previously disclosed in our 2016 Form 10-K, in 2016 we early adopted Accounting Standards Update (ASU) 2016-15, </w:t>
      </w:r>
      <w:r>
        <w:rPr>
          <w:rFonts w:ascii="Arial" w:cs="Arial" w:eastAsia="Arial" w:hAnsi="Arial"/>
          <w:sz w:val="17"/>
          <w:szCs w:val="17"/>
          <w:i w:val="1"/>
          <w:iCs w:val="1"/>
          <w:color w:val="auto"/>
        </w:rPr>
        <w:t>Statement of Cash Flows (Topic 230): Classification of Certain Cash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Receipts and Cash Payments </w:t>
      </w:r>
      <w:r>
        <w:rPr>
          <w:rFonts w:ascii="Arial" w:cs="Arial" w:eastAsia="Arial" w:hAnsi="Arial"/>
          <w:sz w:val="17"/>
          <w:szCs w:val="17"/>
          <w:color w:val="auto"/>
        </w:rPr>
        <w:t>and ASU 2016-18,</w:t>
      </w:r>
      <w:r>
        <w:rPr>
          <w:rFonts w:ascii="Arial" w:cs="Arial" w:eastAsia="Arial" w:hAnsi="Arial"/>
          <w:sz w:val="17"/>
          <w:szCs w:val="17"/>
          <w:i w:val="1"/>
          <w:iCs w:val="1"/>
          <w:color w:val="auto"/>
        </w:rPr>
        <w:t xml:space="preserve"> Statement of Cash Flows (Topic 230): Restricted Cash</w:t>
      </w:r>
      <w:r>
        <w:rPr>
          <w:rFonts w:ascii="Arial" w:cs="Arial" w:eastAsia="Arial" w:hAnsi="Arial"/>
          <w:sz w:val="17"/>
          <w:szCs w:val="17"/>
          <w:color w:val="auto"/>
        </w:rPr>
        <w:t>. Amounts previously reported for the quarter and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2016 have been restated as required upon adoption of these ASUs. These restatements had an immaterial impact on the Condensed Consolidated Financial Statements as of September 30, 2016, and for the quarter and nine months then ended.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nine months ended September 30, 2017, our investment in business acquisitions was $196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a number of small acquisitions, primarily in our commercial businesses.</w:t>
      </w:r>
    </w:p>
    <w:p>
      <w:pPr>
        <w:spacing w:after="0" w:line="166"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On September 4, 2017, we announced that we had entered into a merger agreement with Rockwell Collins, Inc. (Rockwell Collins), under which we agreed to acquire Rockwell Collins. Under the terms of the merger agreement, each Rockwell Collins shareowner will receive $93.33 per share in cash and a fraction of a share of UTC common stock equal to the quotient obtained by dividing $46.67 by the average of the volume-weighted average prices per share of UTC common stock on the NYSE on each of the 20 consecutive trading days ending with the trading day immediately prior to the closing date, (the “UTC Stock Price”), subject to adjustment based on a two-way collar mechanism as described below (the “Stock Consideration”). The cash and UTC stock payable in exchange for each such share of Rockwell Collins common stock are collectively the “Merger Consideration.” The fraction of a share of UTC common stock into which each such share of Rockwell Collins common stock will be converted is the “Exchange Ratio.” The Exchange Ratio will be determined based upon the UTC Stock Price. If the UTC Stock Price is greater than $107.01 but less than $124.37, the Exchange Ratio will be equal to the quotient of (i) $46.67 divided by (ii) the UTC Stock Price, which, in each case, will result in the Stock Consideration having a value equal to $46.67. If the UTC Stock Price is less than or equal to $107.01 or greater than or equal to $124.37, then a two-way collar mechanism will apply, pursuant to which, (x) if the UTC Stock Price is greater than or equal to $124.37, the Exchange Ratio will be fixed at 0.37525 and the value of the Stock Consideration will be greater than $46.67, and (y) if the UTC Stock Price is less than or equal to $107.01, the Exchange Ratio will be fixed at 0.43613 and the value of the Stock Consideration will be less than $46.67. We currently expect that the merger will be completed in the third quarter of 2018, subject to approval by Rockwell Collins’ shareowners, as well as other customary closing conditions, including the receipt of required regulatory approvals.</w:t>
      </w:r>
    </w:p>
    <w:p>
      <w:pPr>
        <w:spacing w:after="0" w:line="172" w:lineRule="exact"/>
        <w:rPr>
          <w:sz w:val="20"/>
          <w:szCs w:val="20"/>
          <w:color w:val="auto"/>
        </w:rPr>
      </w:pPr>
    </w:p>
    <w:p>
      <w:pPr>
        <w:ind w:right="260" w:firstLine="567"/>
        <w:spacing w:after="0" w:line="302" w:lineRule="auto"/>
        <w:rPr>
          <w:sz w:val="20"/>
          <w:szCs w:val="20"/>
          <w:color w:val="auto"/>
        </w:rPr>
      </w:pPr>
      <w:r>
        <w:rPr>
          <w:rFonts w:ascii="Arial" w:cs="Arial" w:eastAsia="Arial" w:hAnsi="Arial"/>
          <w:sz w:val="16"/>
          <w:szCs w:val="16"/>
          <w:color w:val="auto"/>
        </w:rPr>
        <w:t>We anticipate that approximately $15 billion will be required to pay the aggregate cash portion of the Merger Consideration. We expect to fund the cash portion of the Merger Consideration through debt issuances and cash on hand. Additionally, we have entered into a $6.5 billion 364-day unsecured bridge loan credit agreement that would be funded only to the extent certain anticipated debt issuances are not completed prior to the completion of the merger. We expect to assume approximately $7 billion of existing Rockwell Collins long-term debt upon completion of the merger.</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nine months ended September 30, 2017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Balance as of September</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January 1, 2017</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340" w:type="dxa"/>
            <w:vAlign w:val="bottom"/>
          </w:tcPr>
          <w:p>
            <w:pPr>
              <w:spacing w:after="0"/>
              <w:rPr>
                <w:sz w:val="13"/>
                <w:szCs w:val="13"/>
                <w:color w:val="auto"/>
              </w:rPr>
            </w:pPr>
          </w:p>
        </w:tc>
        <w:tc>
          <w:tcPr>
            <w:tcW w:w="1260" w:type="dxa"/>
            <w:vAlign w:val="bottom"/>
          </w:tcPr>
          <w:p>
            <w:pPr>
              <w:jc w:val="right"/>
              <w:ind w:right="452"/>
              <w:spacing w:after="0" w:line="158" w:lineRule="exact"/>
              <w:rPr>
                <w:sz w:val="20"/>
                <w:szCs w:val="20"/>
                <w:color w:val="auto"/>
              </w:rPr>
            </w:pPr>
            <w:r>
              <w:rPr>
                <w:rFonts w:ascii="Arial" w:cs="Arial" w:eastAsia="Arial" w:hAnsi="Arial"/>
                <w:sz w:val="14"/>
                <w:szCs w:val="14"/>
                <w:b w:val="1"/>
                <w:bCs w:val="1"/>
                <w:color w:val="auto"/>
              </w:rPr>
              <w:t>30, 2017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14,483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14,670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27,913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27,059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27,916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Collaboration intangible assets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19,944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18,895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22,055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20,920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Customer relationship intangible assets include payments made to our customers to secure certain contractual rights. Such payments are capitalized when distinct rights are obtained and sufficient incremental cash flows to support the recoverability of the assets have been established. Otherwise, the applicable portion of the payments are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amortization expense increasing as programs enter full production and aftermarket cycles. If a pattern of economic benefit cannot be reliably determined, a straight-line amortization method is used. We classify amortization of such payments as a reduction of sales. The collaboration intangible assets are amortized based upon the pattern of economic benefits as represented by the underlying cash flows.</w:t>
      </w:r>
    </w:p>
    <w:p>
      <w:pPr>
        <w:spacing w:after="0" w:line="59"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Amortization of intangible assets for the quarter and nine months ended September 30, 2017 was $211 million and $626 million, respectively, compared with $197 million and $578 million for the same periods of 2016. The following is the expected amortization of intangible assets for the years 2017 through 2022, which reflects the pattern of expected economic benefit on certain aerospace intangible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2017</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898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893</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On November 6, 2015, we completed the sale of Sikorsky to Lockheed Martin Corp. In the nine months ended September 30, 2016, we recognized approximately $11 million of additional gain on the disposal, primarily resulting from the settlement of working capital adjustments. In the quarter and nine months ended September 30, 2016, we recognized approximately $40 million of income tax benefit and $12 million of additional income tax expense, respectively, including the impacts related to filing Sikorsky's 2015 tax returns. Net cash outflows from discontinued operations of approximately $2.5 billion resulted from the payment of taxes related to the 2015 gain realized on the sale of Sikorsky.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2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4,155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4,155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Stock awards and equity units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For the quarter and nine months ended September 30, 2017, the number of stock awards excluded from the computation was approximately 5.8 million and 6.4 million, respectively. For the quarter and nine months ended September 30, 2016, the number of stock awards excluded from the computation was approximately 12.2 million and 15.0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2,787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3,305</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9,395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17,527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(8,693)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8,704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Inventories include capitalized contract development costs related to certain aerospace programs at UTC Aerospace Systems. As of September 30, 2017 and December 31, 2016, these capitalized costs were $130 million and $140 million, respectively, which will be liquidated as production units are delivered to customers. Within commercial aerospace, inventory costs attributable to new engine offerings are recognized based on the average cost per unit expected over the life of each contract using the units-of-delivery method of percentage of completion accounting. Under this method, costs of initial engine deliveries in excess of the projected contract per unit average cost are capitalized, and these capitalized amounts are subsequently expensed as additional engine deliveries occur for engines with costs below the projected contract per unit average cost over the life of the contract. As of September 30, 2017 and December 31, 2016, inventory included $357 million and $233 million, respectively, of such capitalized amounts.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September 30, 2017, we had revolving credit agreements with various banks permitting aggregate borrowings of up to $4.35 billion, pursuant 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$2.20 billion revolving credit agreement and a $2.15 billion multicurrency revolving credit agreement, both of which expire in August 2021. As of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2017, there were no borrowings under these revolving credit agreements. The undrawn portions of these revolving credit agreements are also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serve as backup facilities for the issuance of commercial paper. As of September 30, 2017, our maximum commercial paper borrowing limit was</w:t>
      </w:r>
    </w:p>
    <w:p>
      <w:pPr>
        <w:spacing w:after="0" w:line="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$4.35 billion. Commercial paper borrowings at September 30, 2017 include approximately €500 million ($594 million) of euro-denominated commercial paper. We use our commercial paper borrowings for general corporate purposes, including the funding of potential acquisitions, discretionary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17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connection with the merger agreement with Rockwell Collins announced on September 4, 2017, we have entered into a $6.5 billion 364-day unsecured bridge loan credit agreement that would be funded only to the extent certain anticipated debt issuances are not completed prior to the completion of the merger. See Note 1 for additional discussion.</w:t>
      </w:r>
    </w:p>
    <w:p>
      <w:pPr>
        <w:spacing w:after="0" w:line="73"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On May 4, 2017, we issued $1.0 billion aggregate principal amount of 1.900% notes due 2020, $500 million aggregate principal amount of 2.300% notes due 2022, $800 million aggregate principal amount of 2.800% notes due 2024, $1.1 billion aggregate principal amount of 3.125% notes due 2027 and $600 million aggregate principal amount of 4.050% notes due 2047. The net proceeds received from these debt issuances were used to fund the repayment at maturity of our 1.800% notes due 2017, representing $1.5 billion in aggregate principal, and for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4"/>
                <w:szCs w:val="14"/>
                <w:color w:val="auto"/>
              </w:rPr>
            </w:pP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81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1.800% notes due 2017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6.800% notes due 2018</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EURIBOR plus 0.800% floating rate notes due 2018 (€750 million principal value)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1.778% junior subordinated notes due 2018</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LIBOR plus 0.350% floating rate notes due 2019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1.500% notes due 2019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650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783</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522</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7.100% notes due 2027</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6.700% notes due 2028</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7.000% notes due 2038</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Project financing obligations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(including capitalized leases)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23,299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(fair market value adjustments and discounts)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w:t>
            </w:r>
          </w:p>
        </w:tc>
      </w:tr>
      <w:tr>
        <w:trPr>
          <w:trHeight w:val="250"/>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24,063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-98425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340" w:right="16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three-month EURIBOR rate as of September 30, 2017 was approximately -0.329%. The notes may be redeemed at our option in whole, but not in part, at any time in the event of certain developments affecting U.S. taxation.</w:t>
      </w:r>
    </w:p>
    <w:p>
      <w:pPr>
        <w:spacing w:after="0" w:line="1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three-month LIBOR rate as of September 30, 2017 was approximately 1.334%.</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average maturity of our long-term debt at September 30, 2017 is approximately twelve years. The average interest expense rate on our total borrowings for the quarters and nine months ended September 30, 2017 and 2016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5"/>
              </w:rPr>
              <w:t>Quarter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r>
      <w:tr>
        <w:trPr>
          <w:trHeight w:val="243"/>
        </w:trPr>
        <w:tc>
          <w:tcPr>
            <w:tcW w:w="6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interest expense rate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Brazil, Canada, China, France, Germany, Hong Kong, India, Italy, Japan, Mexico, Netherlands, Poland, Singapore, South Korea, Spain, Switzerland, the United Kingdom, and the United States. With few exceptions, we are no longer subject to U.S. federal, state and local, or non-U.S. income tax examinations for years before 2005.</w:t>
      </w:r>
    </w:p>
    <w:p>
      <w:pPr>
        <w:spacing w:after="0" w:line="188"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$30 million to $435 million of unrecognized tax benefits may occur within the next 12 months as a result of additional worldwide uncertain tax positions, the revaluation of current uncertain tax positions arising from developments in examinations, in appeals, in the courts, or the closure of tax statutes. See Note 15, Contingent Liabilities, for discussion regarding uncertain tax positions, included in the above range, related to pending litigation with respect to certain deductions claimed in Germany.</w:t>
      </w:r>
    </w:p>
    <w:p>
      <w:pPr>
        <w:spacing w:after="0" w:line="17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Examination Division of the Internal Revenue Service is currently auditing UTC tax years 2014 and 2015, which is expected to continue beyond the next 12 months.</w:t>
      </w:r>
    </w:p>
    <w:p>
      <w:pPr>
        <w:spacing w:after="0" w:line="170"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As a result of federal, state and non-U.S. tax year closures related to audit resolutions and the expiration of applicable statutes of limitation during the quarter, including expiration of the U.S. federal income tax statute of limitations for UTC’s 2013 tax year, we recognized non-cash gains of approximately $55 million of income tax and $9 million of related interest, in the quarter ended September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Quarter Ended 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1,929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w:t>
            </w: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235</w:t>
            </w:r>
          </w:p>
        </w:tc>
      </w:tr>
    </w:tbl>
    <w:p>
      <w:pPr>
        <w:spacing w:after="0" w:line="22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There was a $1.9 billion contribution to our domestic defined benefit pension plans in the quarter and nine months ended September 30, 2017. There were no contributions to our domestic defined benefit pension plans in the quarter and nine months ended September 30, 2016. The following table illustrates the components of net periodic benefit cost for our defined pension and other postretirement benefit plans: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46"/>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Quarter Ended September 30,</w:t>
            </w:r>
          </w:p>
        </w:tc>
        <w:tc>
          <w:tcPr>
            <w:tcW w:w="240" w:type="dxa"/>
            <w:vAlign w:val="bottom"/>
          </w:tcPr>
          <w:p>
            <w:pPr>
              <w:spacing w:after="0"/>
              <w:rPr>
                <w:sz w:val="16"/>
                <w:szCs w:val="16"/>
                <w:color w:val="auto"/>
              </w:rPr>
            </w:pPr>
          </w:p>
        </w:tc>
        <w:tc>
          <w:tcPr>
            <w:tcW w:w="260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4"/>
              </w:rPr>
              <w:t>Quarter Ended September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loss</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Nine Months Ended September 30,</w:t>
            </w:r>
          </w:p>
        </w:tc>
        <w:tc>
          <w:tcPr>
            <w:tcW w:w="240" w:type="dxa"/>
            <w:vAlign w:val="bottom"/>
          </w:tcPr>
          <w:p>
            <w:pPr>
              <w:spacing w:after="0"/>
              <w:rPr>
                <w:sz w:val="16"/>
                <w:szCs w:val="16"/>
                <w:color w:val="auto"/>
              </w:rPr>
            </w:pPr>
          </w:p>
        </w:tc>
        <w:tc>
          <w:tcPr>
            <w:tcW w:w="260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loss</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Effective January 1, 2017, a voluntary lump-sum option is available for the frozen final average earnings benefits of certain U.S. salaried employees upon termination of employment after 2016. This option provides participants with the choice of electing to receive a lump-sum payment in lieu of receiving a future monthly pension benefit. This plan change reduced the projected benefit obligation by $170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During the nine months ended September 30, 2017, we recorded net pre-tax restructuring costs totaling $177 million for new and ongoing restructuring actions. We recorded charges in the segments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Restructuring charges incurred during the nine months ended September 30, 2017 primarily relate to actions initiated during 2017 and 2016, and were recorded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2017 Actions. </w:t>
      </w:r>
      <w:r>
        <w:rPr>
          <w:rFonts w:ascii="Arial" w:cs="Arial" w:eastAsia="Arial" w:hAnsi="Arial"/>
          <w:sz w:val="18"/>
          <w:szCs w:val="18"/>
          <w:color w:val="auto"/>
        </w:rPr>
        <w:t>During the nine months ended September 30, 2017, we recorded net pre-tax restructuring costs of $114 million, comprised of $40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cost of sales and $74 million in selling, general and administrative expenses. The 2017 actions relate to ongoing cost reduction efforts, including workforce reductions and the consolidation of field operations.</w:t>
      </w:r>
    </w:p>
    <w:p>
      <w:pPr>
        <w:sectPr>
          <w:pgSz w:w="11900" w:h="16838" w:orient="portrait"/>
          <w:cols w:equalWidth="0" w:num="1">
            <w:col w:w="11420"/>
          </w:cols>
          <w:pgMar w:left="240" w:top="114"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4"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are targeting to complete the majority of the remaining workforce and facility related cost reduction actions during 2017 and 2018. No specific plans for significant other actions have been finalized at this time. The following table summarizes the accrual balance and utilization for the 2017 restructuring actions for the quarter and nine months ended September 30,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Facility Exit, Lease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June 30, 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2017</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2017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100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June 30, 2017</w:t>
            </w:r>
          </w:p>
        </w:tc>
        <w:tc>
          <w:tcPr>
            <w:tcW w:w="14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September 30, 2017</w:t>
            </w:r>
          </w:p>
        </w:tc>
        <w:tc>
          <w:tcPr>
            <w:tcW w:w="13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September 30,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0"/>
        <w:spacing w:after="0" w:line="281" w:lineRule="auto"/>
        <w:rPr>
          <w:sz w:val="20"/>
          <w:szCs w:val="20"/>
          <w:color w:val="auto"/>
        </w:rPr>
      </w:pPr>
      <w:r>
        <w:rPr>
          <w:rFonts w:ascii="Arial" w:cs="Arial" w:eastAsia="Arial" w:hAnsi="Arial"/>
          <w:sz w:val="17"/>
          <w:szCs w:val="17"/>
          <w:b w:val="1"/>
          <w:bCs w:val="1"/>
          <w:color w:val="auto"/>
        </w:rPr>
        <w:t xml:space="preserve">2016 Actions. </w:t>
      </w:r>
      <w:r>
        <w:rPr>
          <w:rFonts w:ascii="Arial" w:cs="Arial" w:eastAsia="Arial" w:hAnsi="Arial"/>
          <w:sz w:val="17"/>
          <w:szCs w:val="17"/>
          <w:color w:val="auto"/>
        </w:rPr>
        <w:t>During the nine months ended September 30, 2017, we recorded net pre-tax restructuring costs totaling $48 million for restructuring actions</w:t>
      </w:r>
      <w:r>
        <w:rPr>
          <w:rFonts w:ascii="Arial" w:cs="Arial" w:eastAsia="Arial" w:hAnsi="Arial"/>
          <w:sz w:val="17"/>
          <w:szCs w:val="17"/>
          <w:b w:val="1"/>
          <w:bCs w:val="1"/>
          <w:color w:val="auto"/>
        </w:rPr>
        <w:t xml:space="preserve"> </w:t>
      </w:r>
      <w:r>
        <w:rPr>
          <w:rFonts w:ascii="Arial" w:cs="Arial" w:eastAsia="Arial" w:hAnsi="Arial"/>
          <w:sz w:val="17"/>
          <w:szCs w:val="17"/>
          <w:color w:val="auto"/>
        </w:rPr>
        <w:t>initiated in 2016, including $20 million in cost of sales and $28 million in selling, general and administrative expenses. The 2016 actions relate to ongoing cost reduction efforts, including workforce reductions, consolidation of field operations, and costs to exit legacy programs. The following table summarizes the accrual balances and utilization for the 2016 restructuring actions for the quarter and nine months ended September 30, 2017:</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2017</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June 30, 2017</w:t>
            </w:r>
          </w:p>
        </w:tc>
        <w:tc>
          <w:tcPr>
            <w:tcW w:w="2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2017</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December 31, 2016</w:t>
            </w:r>
          </w:p>
        </w:tc>
        <w:tc>
          <w:tcPr>
            <w:tcW w:w="2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2016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40" w:type="dxa"/>
            <w:vAlign w:val="bottom"/>
            <w:gridSpan w:val="3"/>
            <w:vMerge w:val="continue"/>
          </w:tcPr>
          <w:p>
            <w:pPr>
              <w:spacing w:after="0"/>
              <w:rPr>
                <w:sz w:val="13"/>
                <w:szCs w:val="13"/>
                <w:color w:val="auto"/>
              </w:rPr>
            </w:pPr>
          </w:p>
        </w:tc>
        <w:tc>
          <w:tcPr>
            <w:tcW w:w="100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455"/>
              <w:spacing w:after="0" w:line="158"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June 30, 2017</w:t>
            </w:r>
          </w:p>
        </w:tc>
        <w:tc>
          <w:tcPr>
            <w:tcW w:w="14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September 30, 2017</w:t>
            </w:r>
          </w:p>
        </w:tc>
        <w:tc>
          <w:tcPr>
            <w:tcW w:w="13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September 30,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w w:val="96"/>
              </w:rPr>
              <w:t>UTC Climate, Controls &amp; Security</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2015 and Prior Actions. </w:t>
      </w:r>
      <w:r>
        <w:rPr>
          <w:rFonts w:ascii="Arial" w:cs="Arial" w:eastAsia="Arial" w:hAnsi="Arial"/>
          <w:sz w:val="18"/>
          <w:szCs w:val="18"/>
          <w:color w:val="auto"/>
        </w:rPr>
        <w:t>During the nine months ended September 30, 2017, we recorded net pre-tax restructuring costs totaling $15 million for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initiated in 2015 and prior. As of September 30, 2017, we have approximately $52 million of accrual balances remaining related to 2015 and prior actions.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ordinary course of business, we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$18.6 billion and $18.3 billion at September 30, 2017 and December 31, 2016, respectively.</w:t>
      </w:r>
    </w:p>
    <w:p>
      <w:pPr>
        <w:spacing w:after="0" w:line="17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September 30, 2017 and December 31, 2016,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Liability Derivatives</w:t>
            </w: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9"/>
                <w:szCs w:val="19"/>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158</w:t>
            </w:r>
          </w:p>
        </w:tc>
      </w:tr>
    </w:tbl>
    <w:p>
      <w:pPr>
        <w:spacing w:after="0" w:line="121"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As discussed in Note 5, we have issued approximately €2.95 billion of euro-denominated long-term debt and €500 million of outstanding euro-denominated commercial paper borrowings, which qualify as a net investment hedge against our investments in European businesses</w:t>
      </w:r>
      <w:r>
        <w:rPr>
          <w:rFonts w:ascii="Arial" w:cs="Arial" w:eastAsia="Arial" w:hAnsi="Arial"/>
          <w:sz w:val="18"/>
          <w:szCs w:val="18"/>
          <w:i w:val="1"/>
          <w:iCs w:val="1"/>
          <w:color w:val="auto"/>
        </w:rPr>
        <w:t>.</w:t>
      </w:r>
      <w:r>
        <w:rPr>
          <w:rFonts w:ascii="Arial" w:cs="Arial" w:eastAsia="Arial" w:hAnsi="Arial"/>
          <w:sz w:val="18"/>
          <w:szCs w:val="18"/>
          <w:color w:val="auto"/>
        </w:rPr>
        <w:t xml:space="preserve"> As of September 30, 2017, the net investment hedge is deemed to be effective.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 of gains and losses related to the Company's derivative financial instruments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Quarter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56"/>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recorded in Accumulated other comprehensive loss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6"/>
              </w:rPr>
              <w:t>(Gain) loss reclassified from Accumulated other comprehensive loss into</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Product sales (effective portion)</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139</w:t>
            </w:r>
          </w:p>
        </w:tc>
      </w:tr>
    </w:tbl>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Assuming current market conditions continue, a $80 million pre-tax loss is expected to be reclassified from Accumulated other comprehensive loss into Product sales to reflect the fixed prices obtained from foreign exchange hedging within the next 12 months. At September 30, 2017, all derivative contracts accounted for as cash flow hedges will mature by November 2022.</w:t>
      </w:r>
    </w:p>
    <w:p>
      <w:pPr>
        <w:spacing w:after="0" w:line="18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effect on the Condensed Consolidated Statement of Operations of foreign exchange contracts not designated as hedging instruments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Quarter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 recognized in Other income, net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49</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paid $183 million and $29 million for settlements of derivative contracts during the nine months ended September 30, 2017 and 2016,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September 30, 2017 and December 31,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2017 (Dollars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2016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The reduction in value of available-for-sale securities as of September 30, 2017, as compared to December 31, 2016, is primarily the result of sales of these securities in the nine months ended September 30, 2017, including UTC Climate, Controls &amp; Security's sale of investments in Watsco, Inc. during the quarter ended March 31, 2017.</w:t>
      </w:r>
    </w:p>
    <w:p>
      <w:pPr>
        <w:spacing w:after="0" w:line="177"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September 30, 2017, there were no significant transfers in and out of Level 1 and Level 2.</w:t>
      </w:r>
    </w:p>
    <w:p>
      <w:pPr>
        <w:spacing w:after="0" w:line="15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September 30, 2017,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September 30, 2017 and December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September 30,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567"/>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17</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had commercial aerospace financing and other contractual commitments totaling approximately $13.9 billion and $14.4 billion as of September 30, 2017 and December 31, 2016, respectively,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notes receivable, and leases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180" w:firstLine="567"/>
        <w:spacing w:after="0" w:line="297" w:lineRule="auto"/>
        <w:rPr>
          <w:sz w:val="20"/>
          <w:szCs w:val="20"/>
          <w:color w:val="auto"/>
        </w:rPr>
      </w:pPr>
      <w:r>
        <w:rPr>
          <w:rFonts w:ascii="Arial" w:cs="Arial" w:eastAsia="Arial" w:hAnsi="Arial"/>
          <w:sz w:val="16"/>
          <w:szCs w:val="16"/>
          <w:color w:val="auto"/>
        </w:rPr>
        <w:t>Long-term trade accounts receivable, including unbilled receivables related to long-term aftermarket contracts, are principally amounts arising from the sale of goods and the delivery of services with a contractual maturity date or realization period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 related long-term receivables as of September 30, 2017 and December 31, 2016.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430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0" w:firstLine="540"/>
        <w:spacing w:after="0" w:line="302" w:lineRule="auto"/>
        <w:rPr>
          <w:sz w:val="20"/>
          <w:szCs w:val="20"/>
          <w:color w:val="auto"/>
        </w:rPr>
      </w:pPr>
      <w:r>
        <w:rPr>
          <w:rFonts w:ascii="Arial" w:cs="Arial" w:eastAsia="Arial" w:hAnsi="Arial"/>
          <w:sz w:val="16"/>
          <w:szCs w:val="16"/>
          <w:color w:val="auto"/>
        </w:rPr>
        <w:t>Customer credit ratings range from customers with an extremely strong capacity to meet financial obligations to customers whose uncollateralized receivables are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11% and 13% of our total long-term receivables were considered to bear high credit risk as of September 30, 2017 and December 31, 2016, respectively.</w:t>
      </w:r>
    </w:p>
    <w:p>
      <w:pPr>
        <w:spacing w:after="0" w:line="154" w:lineRule="exact"/>
        <w:rPr>
          <w:sz w:val="20"/>
          <w:szCs w:val="20"/>
          <w:color w:val="auto"/>
        </w:rPr>
      </w:pPr>
    </w:p>
    <w:p>
      <w:pPr>
        <w:ind w:right="180" w:firstLine="540"/>
        <w:spacing w:after="0" w:line="279" w:lineRule="auto"/>
        <w:rPr>
          <w:sz w:val="20"/>
          <w:szCs w:val="20"/>
          <w:color w:val="auto"/>
        </w:rPr>
      </w:pPr>
      <w:r>
        <w:rPr>
          <w:rFonts w:ascii="Arial" w:cs="Arial" w:eastAsia="Arial" w:hAnsi="Arial"/>
          <w:sz w:val="17"/>
          <w:szCs w:val="17"/>
          <w:color w:val="auto"/>
        </w:rPr>
        <w:t>For long-term trade accounts receivable, we evaluate credit risk and collectability individually to determine if an allowance is necessary. Our long-term receivables reflected in the table above, which include reserves of $17 million as of September 30, 2017 and December 31, 2016, are individually evaluated for impairment. At September 30, 2017 and December 31, 2016, we did not have any significant balances that are considered to be delinquent, on non-accrual status, past due 90 days or more, or considered to be unrecoverable.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the changes in shareowners' equity and noncontrolling interest comprising total equity for the quarters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is provided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Quarter Ended September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center"/>
              <w:ind w:right="112"/>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8"/>
              </w:rPr>
              <w:t>Sale of subsidiary shares from noncontrolling interest,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Redeemable noncontrolling interest fair value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31,691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29,187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30,764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7"/>
              </w:rPr>
              <w:t>Nine Months Ended September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center"/>
              <w:ind w:right="112"/>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8"/>
              </w:rPr>
              <w:t>Sale of subsidiary shares from noncontrolling interest,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Redeemable noncontrolling interest fair value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31,691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29,187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30,764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November 11, 2015, we entered into accelerated share repurchase (ASR) agreements to repurchase an aggregate of $6 billion of our common stock utilizing the net after-tax proceeds from the sale of Sikorsky. Under the terms of the ASR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agreements, we made aggregate payments and received an initial delivery of approximately 51.9 million shares of our common stock in November 2015, representing approximately 85% of the shares expected to be repurchased. The shares associated with the remaining portion of the aggregate purchase were settled upon delivery to us of approximately 2.1 million additional shares of common stock in the quarter ended March 31, 2016 and approximately 8.0 million additional shares of common stock in the quarter ended September 30, 2016.</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summary of the changes in each component of Accumulated other comprehensive (loss) income, net of tax for the quarters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is provided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Amounts reclassified that relate to our defined benefit pension and postretirement plans include the amortization of prior service costs and actuarial net losses recognized during each period presented. These costs are recorded as components of net periodic pension cost for each period presented (see Note 7 for additional details).</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Amounts reclassified that relate to unrealized gains (losses) on available-for-sale securities, pre-tax includes approximately $500 million of previously unrealized gains reclassified to other income as a result of sales of significant investments in available-for-sale securities in the nine months ended September 30, 2017, including UTC Climate, Controls &amp; Security's sale of investments in Watsco, Inc.</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The increase in the value of redeemable noncontrolling interest in our Condensed Consolidated Balance Sheet as of September 30, 2017 is primarily attributable to the adjustment of the redemption value related to the acquisition of a majority interest in an Italian heating products and services company by UTC Climate, Controls &amp; Security in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Variable Interest Entities</w:t>
      </w:r>
    </w:p>
    <w:p>
      <w:pPr>
        <w:spacing w:after="0" w:line="229" w:lineRule="exact"/>
        <w:rPr>
          <w:sz w:val="20"/>
          <w:szCs w:val="20"/>
          <w:color w:val="auto"/>
        </w:rPr>
      </w:pPr>
    </w:p>
    <w:p>
      <w:pPr>
        <w:ind w:right="20" w:firstLine="540"/>
        <w:spacing w:after="0" w:line="253" w:lineRule="auto"/>
        <w:rPr>
          <w:sz w:val="20"/>
          <w:szCs w:val="20"/>
          <w:color w:val="auto"/>
        </w:rPr>
      </w:pPr>
      <w:r>
        <w:rPr>
          <w:rFonts w:ascii="Arial" w:cs="Arial" w:eastAsia="Arial" w:hAnsi="Arial"/>
          <w:sz w:val="18"/>
          <w:szCs w:val="18"/>
          <w:color w:val="auto"/>
        </w:rPr>
        <w:t>Pratt &amp; Whitney holds a 61% net interest in the IAE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4"/>
                <w:szCs w:val="1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2,722</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1,334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4,056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00"/>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2,422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1,636</w:t>
            </w:r>
          </w:p>
        </w:tc>
      </w:tr>
      <w:tr>
        <w:trPr>
          <w:trHeight w:val="257"/>
        </w:trPr>
        <w:tc>
          <w:tcPr>
            <w:tcW w:w="40" w:type="dxa"/>
            <w:vAlign w:val="bottom"/>
          </w:tcPr>
          <w:p>
            <w:pPr>
              <w:spacing w:after="0"/>
              <w:rPr>
                <w:sz w:val="22"/>
                <w:szCs w:val="22"/>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4,058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Guarantees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2016. The changes in the carrying amount of service and product warranties and product performance guarantees for the nine months ended September 30, 2017 and 2016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September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18 of the Notes to the Consolidated Financial Statements in our 2016 Annual Report, incorporated by reference in our 2016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ind w:right="40"/>
        <w:spacing w:after="0" w:line="298"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As described in Note 1 to the Consolidated Financial Statements in our 2016 Annual Report,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Additional information pertaining to environmental matters is included in Note 1 to the Consolidated Financial Statements in our 2016 Annual Report.</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Government. </w:t>
      </w:r>
      <w:r>
        <w:rPr>
          <w:rFonts w:ascii="Arial" w:cs="Arial" w:eastAsia="Arial" w:hAnsi="Arial"/>
          <w:sz w:val="17"/>
          <w:szCs w:val="17"/>
          <w:color w:val="auto"/>
        </w:rPr>
        <w:t>In the ordinary course of business, the Company and its subsidiaries and our properties are subject to regulatory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as a result of any of these investigations or other government investigations (including violations of certain anti-bribery,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also void any contracts found to be tainted by fraud.</w:t>
      </w:r>
    </w:p>
    <w:p>
      <w:pPr>
        <w:spacing w:after="0" w:line="178" w:lineRule="exact"/>
        <w:rPr>
          <w:sz w:val="20"/>
          <w:szCs w:val="20"/>
          <w:color w:val="auto"/>
        </w:rPr>
      </w:pPr>
    </w:p>
    <w:p>
      <w:pPr>
        <w:ind w:firstLine="540"/>
        <w:spacing w:after="0" w:line="272" w:lineRule="auto"/>
        <w:rPr>
          <w:sz w:val="20"/>
          <w:szCs w:val="20"/>
          <w:color w:val="auto"/>
        </w:rPr>
      </w:pPr>
      <w:r>
        <w:rPr>
          <w:rFonts w:ascii="Arial" w:cs="Arial" w:eastAsia="Arial" w:hAnsi="Arial"/>
          <w:sz w:val="17"/>
          <w:szCs w:val="17"/>
          <w:color w:val="auto"/>
        </w:rPr>
        <w:t>Our contracts with the U.S. Government are also subject to audits. Like many defense contractors, we have received audit reports, which recommend that certain contract prices should be reduced to comply with various government regulations, including because cost or pricing data we submitted in negotiation of the contract prices or cost accounting practices may not have conformed to government regulations, or that certain payments be delayed or withheld. Some of these audit reports involved substantial amounts. We have made voluntary refunds in those cases we believe appropriate, have settled some allegations and continue to litigate or challenge certain matters.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As previously disclosed, in December 2013, a Divisional Administrative Contracting Officer of the United States Defense Contract Management Agency asserted a claim against Pratt &amp; Whitney to recover overpayments of approximately $177 million plus interest (approximately $70 million through September 30, 2017). The claim is based on Pratt &amp; Whitney's alleged noncompliance with cost accounting standards from January 1, 2005 to December 31, 2012, due to its method of determining the cost of collaborator parts used in the calculation of material overhead costs for government contracts. On March 18, 2014, Pratt &amp; Whitney filed an appeal to the Armed Services Board of Contract Appeals. Pratt &amp; Whitney’s appeal is still pending and we continue to believe the government’s claim is without merit.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previously disclosed, UTC has been involved in administrative review proceedings with the German Tax Office, which concern approximately €215 million (approximately $256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$140 million). On August 3, 2012, we filed suit in the local German Tax Court (Berlin-Brandenburg). In March 2016, the local German Tax Court dismissed our suit, and we have appealed this decision to the German Federal Tax Court (FTC). In 2015, UTC made tax and interest payments to German tax authorities of €275 million (approximately $300 million) in order to avoid additional interest accruals pending final resolution of this matter. In the meantime, we continue vigorously to litigate this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Matters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previously disclosed,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72" w:right="259" w:bottom="1440" w:gutter="0" w:footer="0" w:header="0"/>
        </w:sectPr>
      </w:pPr>
    </w:p>
    <w:bookmarkStart w:id="22" w:name="page23"/>
    <w:bookmarkEnd w:id="22"/>
    <w:p>
      <w:pPr>
        <w:ind w:right="460"/>
        <w:spacing w:after="0" w:line="277" w:lineRule="auto"/>
        <w:rPr>
          <w:sz w:val="20"/>
          <w:szCs w:val="20"/>
          <w:color w:val="auto"/>
        </w:rPr>
      </w:pPr>
      <w:r>
        <w:rPr>
          <w:rFonts w:ascii="Arial" w:cs="Arial" w:eastAsia="Arial" w:hAnsi="Arial"/>
          <w:sz w:val="18"/>
          <w:szCs w:val="18"/>
          <w:color w:val="auto"/>
        </w:rPr>
        <w:t>or other forms of indemnity. Additional cases were litigated and settled without any insurance reimbursement. The amounts involved in asbestos related claims were not material individually or in the aggregate in any year.</w:t>
      </w:r>
    </w:p>
    <w:p>
      <w:pPr>
        <w:spacing w:after="0" w:line="170" w:lineRule="exact"/>
        <w:rPr>
          <w:sz w:val="20"/>
          <w:szCs w:val="20"/>
          <w:color w:val="auto"/>
        </w:rPr>
      </w:pPr>
    </w:p>
    <w:p>
      <w:pPr>
        <w:ind w:right="40" w:firstLine="567"/>
        <w:spacing w:after="0" w:line="276" w:lineRule="auto"/>
        <w:rPr>
          <w:sz w:val="20"/>
          <w:szCs w:val="20"/>
          <w:color w:val="auto"/>
        </w:rPr>
      </w:pPr>
      <w:r>
        <w:rPr>
          <w:rFonts w:ascii="Arial" w:cs="Arial" w:eastAsia="Arial" w:hAnsi="Arial"/>
          <w:sz w:val="17"/>
          <w:szCs w:val="17"/>
          <w:color w:val="auto"/>
        </w:rPr>
        <w:t>Our estimated total liability to resolve all pending and unasserted potential future asbestos claims through 2059 is approximately $349 million and is principally recorded in Other long-term liabilities on our Condensed Consolidated Balance Sheet as of September 30, 2017. This amount is on a pre-tax basis, not discounted, and excludes the Company’s legal fees to defend the asbestos claims (which will continue to be expensed by the Company as they are incurred). In addition, the Company has an insurance recovery receivable for probable asbestos related recoveries of approximately $121 million, which is included primarily in Other assets on our Condensed Consolidated Balance Sheet as of September 30, 2017.</w:t>
      </w:r>
    </w:p>
    <w:p>
      <w:pPr>
        <w:spacing w:after="0" w:line="64"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The amounts recorded by UTC for asbestos-related liabilities and insurance recoveries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amount of insurance available, allocation methodologies, the contractual terms with each insurer with whom we have reached settlements,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legal rulings that may be made by state and federal courts, and the passage of state or federal legislation. At least annually, the Company evaluates all of these factors and, with input from an outside actuarial expert, makes any necessary adjustments to both our estimated asbestos liabilities and insurance recoveries.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As described in Note 14 of this Form 10-Q and Note 17 to the Consolidated Financial Statements in our 2016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6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Financial Data</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operations are classified into four principal segments: Otis, UTC Climate, Controls &amp; Security, Pratt &amp; Whitney, and UTC Aerospace Systems.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September 30, 2017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4,415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3,646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15,062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14,354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39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nine months ended September 30, 2017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13,292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12,602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10,888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10,867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44,970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6,766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44,157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42,585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6,533</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Note 8 to the Condensed Consolidated Financial Statements for a discussion of restructuring costs included in segment operating results.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(ASU) 2014-09, Revenue from Contracts with Customers:</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 xml:space="preserve">In May 2014, the FASB issued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In 2015 and 2016, the FASB issued various updates to this ASU as follows:</w:t>
      </w:r>
    </w:p>
    <w:p>
      <w:pPr>
        <w:spacing w:after="0" w:line="170" w:lineRule="exact"/>
        <w:rPr>
          <w:sz w:val="20"/>
          <w:szCs w:val="20"/>
          <w:color w:val="auto"/>
        </w:rPr>
      </w:pPr>
    </w:p>
    <w:p>
      <w:pPr>
        <w:ind w:left="660" w:right="2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xml:space="preserve"> - delays the effective date of ASU 2014-09 by one year.</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2016-08, </w:t>
      </w:r>
      <w:r>
        <w:rPr>
          <w:rFonts w:ascii="Arial" w:cs="Arial" w:eastAsia="Arial" w:hAnsi="Arial"/>
          <w:sz w:val="18"/>
          <w:szCs w:val="18"/>
          <w:i w:val="1"/>
          <w:iCs w:val="1"/>
          <w:color w:val="auto"/>
        </w:rPr>
        <w:t>Revenue from Contracts with Customers (Topic 606), Principal versus Agent Considerations (Reporting Revenue Gross versus Net)</w:t>
      </w:r>
      <w:r>
        <w:rPr>
          <w:rFonts w:ascii="Arial" w:cs="Arial" w:eastAsia="Arial" w:hAnsi="Arial"/>
          <w:sz w:val="18"/>
          <w:szCs w:val="18"/>
          <w:color w:val="auto"/>
        </w:rPr>
        <w:t xml:space="preserve"> - clarifies how an entity should identify the unit of accounting (i.e. the specified good or service) for the principal versus agent evaluation and how it should apply the control principle to certain types of arrangements.</w:t>
      </w:r>
    </w:p>
    <w:p>
      <w:pPr>
        <w:spacing w:after="0" w:line="181"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 clarifies the guidance surrounding licensing arrangements and the identification of performance obligations.</w:t>
      </w:r>
    </w:p>
    <w:p>
      <w:pPr>
        <w:spacing w:after="0" w:line="170" w:lineRule="exact"/>
        <w:rPr>
          <w:rFonts w:ascii="Arial" w:cs="Arial" w:eastAsia="Arial" w:hAnsi="Arial"/>
          <w:sz w:val="18"/>
          <w:szCs w:val="18"/>
          <w:color w:val="auto"/>
        </w:rPr>
      </w:pPr>
    </w:p>
    <w:p>
      <w:pPr>
        <w:ind w:left="660" w:right="9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ASU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xml:space="preserve"> - addresses implementation issues raised by stakeholders concerning collectability, noncash consideration, presentation of sales tax, and transition.</w:t>
      </w:r>
    </w:p>
    <w:p>
      <w:pPr>
        <w:spacing w:after="0" w:line="123"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2016-20, </w:t>
      </w:r>
      <w:r>
        <w:rPr>
          <w:rFonts w:ascii="Arial" w:cs="Arial" w:eastAsia="Arial" w:hAnsi="Arial"/>
          <w:sz w:val="18"/>
          <w:szCs w:val="18"/>
          <w:i w:val="1"/>
          <w:iCs w:val="1"/>
          <w:color w:val="auto"/>
        </w:rPr>
        <w:t>Revenue from Contracts with Customers (Topic 606), Technical Corrections and Improvements</w:t>
      </w:r>
      <w:r>
        <w:rPr>
          <w:rFonts w:ascii="Arial" w:cs="Arial" w:eastAsia="Arial" w:hAnsi="Arial"/>
          <w:sz w:val="18"/>
          <w:szCs w:val="18"/>
          <w:color w:val="auto"/>
        </w:rPr>
        <w:t xml:space="preserve"> - addresses loan guarantee fees, impairment testing of contract costs, provisions for losses on certain contracts, and various disclosures.</w:t>
      </w:r>
    </w:p>
    <w:p>
      <w:pPr>
        <w:spacing w:after="0" w:line="1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ASU 2014-09 and its related amendments (collectively, the New Revenue Standard) are effective for reporting periods beginning after December 15, 2017, and interim periods therein, using either of the following transition methods; (i) a full retrospective adoption reflecting the application of the standard in each prior reporting period, or (ii) a modified retrospective approach with the cumulative effect of adopting recognized through retained earnings at the date of adoption.</w:t>
      </w:r>
    </w:p>
    <w:p>
      <w:pPr>
        <w:spacing w:after="0" w:line="18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New Revenue Standard is expected to change the revenue recognition practices for a number of revenue streams across our businesses, although the most significant impacts will be concentrated within our aerospace units. Several businesses, which currently account for revenue on a “point-in-time basis,” will be required to use an “over time” model as they meet one or more of the mandatory criteria established in the New Revenue Standard. Revenue will be recognized based on percentage-of-completion for certain U.S. Government aerospace contracts; and aerospace aftermarket service work performed on a time and materials basis. For these businesses, unrecognized sales and operating profits related to the satisfied portion of the performance obligations of contracts in process as of the date of adoption will be recorded through retained earnings. The ongoing effect of recording revenue on a percentage-of-completion basis within these businesses is not expected to be material.</w:t>
      </w:r>
    </w:p>
    <w:p>
      <w:pPr>
        <w:spacing w:after="0" w:line="17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addition to the forgoing, our aerospace businesses will also incur changes related to the timing of manufacturing cost recognition and certain engineering and development costs. In most circumstances, our commercial aerospace businesses will identify the performance obligation, or the unit of accounting, as the individual original equipment (OEM) unit; revenues and costs to manufacture each unit will be recognized upon OEM unit delivery. Under current practice, the unit of accounting is the contract, and early-contract OEM unit costs in excess of the average expected over the contract are capitalized and amortized</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over lower-cost units later in the contract. With the adoption of the New Revenue Standard, any deferred unit costs in excess of the contract average will be eliminated through retained earnings and will not be amortized into future earnings. As of September 30, 2017, capitalized deferred unit costs in excess of the contract average are $357 million, which is expected to increase prior to adoption of the New Revenue Standard.</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With regard to costs incurred for the engineering and development of aerospace products under contract with customers, we generally expense as incurred unless there is a contractually guaranteed right of recovery. Any customer funding received for such efforts is recognized when earned, with the corresponding costs recognized as cost of sales. The New Revenue Standard requires customer funding of OEM product engineering and development to be deferred and recognized as revenue as the OEM products are delivered to the customer. The New Revenue Standard also requires product engineering and development costs to be capitalized as contract fulfillment costs, to the extent recoverable from the associated contract margin, and subsequently amortized as the OEM products are delivered to the customer. For contracts that are open as of the adoption date, previously recognized customer funding will be established as a contract liability.</w:t>
      </w:r>
    </w:p>
    <w:p>
      <w:pPr>
        <w:spacing w:after="0" w:line="18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continue to evaluate the implications of the standard change. We intend to adopt the New Revenue Standard effective January 1, 2018 using the modified retrospective approach.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Accounting Pronouncements</w:t>
      </w:r>
      <w:r>
        <w:rPr>
          <w:rFonts w:ascii="Arial" w:cs="Arial" w:eastAsia="Arial" w:hAnsi="Arial"/>
          <w:sz w:val="18"/>
          <w:szCs w:val="18"/>
          <w:color w:val="auto"/>
        </w:rPr>
        <w:t>:</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This ASU modifies how entities measure equity investments and present changes in the fair value of financial liabilities. Upon adoption,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that do not result in consolidation and are not accounted for under the equity method generally must be carried at fair value, with changes in fair value recognized in net income. As discussed in Note 12, we have approximately $24 million of unrealized gains on these securities recorded in Accumulated other comprehensive loss in our Condensed Consolidated Balance Sheet as of September 30, 2017. To the extent currently unrealized gains or losses on these investments are not realized through sale or other actions prior to the date of adoption, these amounts would be recorded directly to retained earnings upon adoption. The provisions of this ASU are effective for years beginning after December 15, 2017.</w:t>
      </w:r>
    </w:p>
    <w:p>
      <w:pPr>
        <w:spacing w:after="0" w:line="178" w:lineRule="exact"/>
        <w:rPr>
          <w:sz w:val="20"/>
          <w:szCs w:val="20"/>
          <w:color w:val="auto"/>
        </w:rPr>
      </w:pPr>
    </w:p>
    <w:p>
      <w:pPr>
        <w:ind w:right="40" w:firstLine="554"/>
        <w:spacing w:after="0" w:line="273" w:lineRule="auto"/>
        <w:rPr>
          <w:sz w:val="20"/>
          <w:szCs w:val="20"/>
          <w:color w:val="auto"/>
        </w:rPr>
      </w:pPr>
      <w:r>
        <w:rPr>
          <w:rFonts w:ascii="Arial" w:cs="Arial" w:eastAsia="Arial" w:hAnsi="Arial"/>
          <w:sz w:val="17"/>
          <w:szCs w:val="17"/>
          <w:color w:val="auto"/>
        </w:rPr>
        <w:t xml:space="preserve">In February 2016, the FASB issued ASU 2016- 02, </w:t>
      </w:r>
      <w:r>
        <w:rPr>
          <w:rFonts w:ascii="Arial" w:cs="Arial" w:eastAsia="Arial" w:hAnsi="Arial"/>
          <w:sz w:val="17"/>
          <w:szCs w:val="17"/>
          <w:i w:val="1"/>
          <w:iCs w:val="1"/>
          <w:color w:val="auto"/>
        </w:rPr>
        <w:t>Leases (Topic 842)</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Condensed Consolidated Statement of Operations. In addition, this standard requires a lessor to classify leases as either sales-type, finance or operating. A lease will be treated as a sale if it transfers all of the risks and rewards, as well as control of the underlying asset, to the lessee. If risks and rewards are conveyed without the transfer of control, the lease is treated as financing. If the lessor doesn’t convey risks and rewards or control, the lease is treated as operating.</w:t>
      </w:r>
    </w:p>
    <w:p>
      <w:pPr>
        <w:spacing w:after="0" w:line="17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fiscal years. A modified retrospective transition approach is required for lessees for capital and operating leases and lessors for sales-type, direct financing, and operating leases existing at, or entered into after, the beginning of the earliest comparative period presented in the financial statements, with certain practical expedients available. We expect that upon adoption we will recognize ROU assets and lease liabilities and that the amounts could be material. We do not expect the ASU to have a material impact on our cash flows or results of operations.</w:t>
      </w:r>
    </w:p>
    <w:p>
      <w:pPr>
        <w:spacing w:after="0" w:line="18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This ASU provides a new framework that will assist in the evaluation of whether business combination transactions should be accounted as acquisition of a business or a group of assets, as well as specifying the minimum required inputs and processes necessary to be a business. The provisions of this ASU are effective for years beginning after December 15, 2017, with early adoption permitted. We plan to adopt the new standard effective January 1, 2018.</w:t>
      </w:r>
    </w:p>
    <w:p>
      <w:pPr>
        <w:spacing w:after="0" w:line="17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Compensation—Retirement Benefits (Topic 715), Improving the Presentation of Net Periodic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Cost and Net Periodic Postretirement Benefit Cost</w:t>
      </w:r>
      <w:r>
        <w:rPr>
          <w:rFonts w:ascii="Arial" w:cs="Arial" w:eastAsia="Arial" w:hAnsi="Arial"/>
          <w:sz w:val="18"/>
          <w:szCs w:val="18"/>
          <w:color w:val="auto"/>
        </w:rPr>
        <w:t>. This ASU requires an employer to report the service cost component of net periodic pension benefit cost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line item or items as other compensation costs arising from services rendered by the pertinent employees during the period, with other cost components presented separately from the service cost component and outside of income from operations. This ASU also allows only the service cost component of net periodic pension benefit cost to be eligible for capitalization when applicable. The provisions of this ASU are effective for years beginning after December 15, 2017. Provisions related to presentation of the service cost components versus other cost components must be applied retrospectively, while provisions related to service cost component eligibility for capitalization must be applied prospectively. This ASU primarily impacts the presentation of net periodic pension cost/benefit and therefore we do not expect this ASU to have a material impact on net income, however it will result in changes to reported operating profit.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This ASU will make more financial and nonfinancial hedging strategies eligible for hedge accounting. It also amends the presentation and disclosure requirements and changes how companies assess effectiveness. It is intended to more closely align hedge accounting with companies’ risk management strategies, simplify the application of hedge accounting, and increase transparency as to the scope and results of hedging programs. The provisions of this ASU are effective for years beginning after December 15, 2018, with early adoption permitted for any interim period after issuance of the ASU. In the case of early adoption, the effect of the adoption should be reflected as of the beginning of the fiscal year of adoption. We do not expect this ASU to have a significant impact on our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nine months ended September 30, 2017 and 2016, PricewaterhouseCoopers LLP (PricewaterhouseCoopers) reported that it has applied limited procedures in accordance with professional standards for a review of such information. However, its report dated October 27, 2017,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60" w:firstLine="3453"/>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ind w:right="140"/>
        <w:spacing w:after="0" w:line="302" w:lineRule="auto"/>
        <w:rPr>
          <w:sz w:val="20"/>
          <w:szCs w:val="20"/>
          <w:color w:val="auto"/>
        </w:rPr>
      </w:pPr>
      <w:r>
        <w:rPr>
          <w:rFonts w:ascii="Arial" w:cs="Arial" w:eastAsia="Arial" w:hAnsi="Arial"/>
          <w:sz w:val="16"/>
          <w:szCs w:val="16"/>
          <w:color w:val="auto"/>
        </w:rPr>
        <w:t>We have reviewed the accompanying condensed consolidated balance sheet of United Technologies Corporation and its subsidiaries as of September 30, 2017, and the related condensed consolidated statements of operations and condensed consolidated statements of comprehensive income for the three-month and nine-month periods ended September 30, 2017 and 2016 and the condensed consolidated statement of cash flows for the nine-month periods ended September 30, 2017 and 2016. This interim financial information is the responsibility of the Corporation’s management.</w:t>
      </w:r>
    </w:p>
    <w:p>
      <w:pPr>
        <w:spacing w:after="0" w:line="1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2016, and the related consolidated statements of operations, of comprehensive income, of cash flows, and of changes in equity for the year then ended (not presented herein), and in our report dated February 9, 2017, which included a paragraph that described the change in the presentation and classification of certain cash receipts and cash payments and the presentation of restricted cash in the statement of cash flows, as well as the classification and presentation of certain employee share-based payment transactions and the tax-related cash flows resulting from these payments, we expressed an unqualified opinion on those consolidated financial statements. In our opinion, the information set forth in the accompanying condensed consolidated balance sheet as of December 31, 2016, is fairly stated, in all material respects, in relation to the consolidated balance sheet from which it has been derived.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for the periods presented herein are classified into four principal business segments: Otis, UTC Climate, Controls &amp; Security, Pratt &amp; Whitney, and UTC Aerospace Systems. Otis and UTC Climate, Controls &amp; Security are referred to as the "commercial businesses," while Pratt &amp; Whitney and UTC Aerospace Systems are referred to as the "aerospace businesses."</w:t>
      </w:r>
    </w:p>
    <w:p>
      <w:pPr>
        <w:spacing w:after="0" w:line="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2017 is discussed below. For additional discussion, refer to the "Business Overview" section in Management's Discussion and Analysis of Financial Condition and Results of Operations in our 2016 Annual Report, which is incorporated by reference in our 2016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spares businesses, and longer cycles at Otis and in our aerospace OEM and aftermarket maintenance businesses. Our customers include companies in the private sector and governments, and our businesses reflect an extensive geographic diversification that has evolved with the continued globalization of world economies.</w:t>
      </w:r>
    </w:p>
    <w:p>
      <w:pPr>
        <w:spacing w:after="0" w:line="17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Our military businesses' sales are affected by U.S. Department of Defense budget and spending levels. Total sales to the U.S. Government were $1.4 billion in each of the quarters ended September 30, 2017 and 2016, 9% and 10% of total UTC sales for those periods, respectively. The defense portion of our aerospace business is affected by changes in market demand and the global political environment. Our participation in long-term production and development programs for the U.S. Government has and is expected to contribute positively to our results in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225"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In the nine months ended September 30, 2016, we recognized approximately $1 million of income from discontinued operations, primarily reflecting the final purchase price adjustment for the sale of Sikorsky, and the net effects of filing Sikorsky's 2015 tax returns. We had net cash outflows from discontinued operations of approximately $2.5 billion in the nine months ended September 30, 2016, primarily related to the payment of taxes related to the 2015 gain.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380" w:firstLine="432"/>
        <w:spacing w:after="0" w:line="276" w:lineRule="auto"/>
        <w:rPr>
          <w:sz w:val="20"/>
          <w:szCs w:val="20"/>
          <w:color w:val="auto"/>
        </w:rPr>
      </w:pPr>
      <w:r>
        <w:rPr>
          <w:rFonts w:ascii="Arial" w:cs="Arial" w:eastAsia="Arial" w:hAnsi="Arial"/>
          <w:sz w:val="17"/>
          <w:szCs w:val="17"/>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nine months ended September 30, 2017, our investment in business acquisitions was $196 million, which includes a number of small acquisitions primarily in our commercial businesses. We expect cash investment in acquisitions to be approximately $500 million to $1 billion in 2017. However, actual acquisition spending may vary depending upon the timing, availability and value of acquisition opportunities.</w:t>
      </w:r>
    </w:p>
    <w:p>
      <w:pPr>
        <w:spacing w:after="0" w:line="173"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On September 4, 2017, we announced that we had entered into a merger agreement with Rockwell Collins, under which we will acquire Rockwell Collins. Under the terms of the merger agreement, each Rockwell Collins shareowner will receive $93.33 per share in cash and a fraction of a share of UTC common stock equal to the quotient obtained by dividing $46.67 by the average of the volume-weighted average prices per share of UTC common stock on the NYSE on each of the 20 consecutive trading days ending with the trading day immediately prior to the closing date (the “UTC Stock Price”), subject to adjustment based on a two-way collar mechanism as described below (the “Stock Consideration”). The cash and UTC stock payable in exchange for each such share of Rockwell Collins common stock are collectively the “Merger Consideration.” The fraction of a share of UTC common stock into which each such share of Rockwell Collins common stock will be converted is the “Exchange Ratio.” The Exchange Ratio will be determined based upon the UTC Stock Price. If the UTC Stock Price is greater than $107.01 but less than $124.37, the Exchange Ratio will be equal to the quotient of (i) $46.67 divided by (ii) the UTC Stock Price, which, in each case, will result in the Stock Consideration having a value equal to $46.67. If the UTC Stock Price is less than or equal to $107.01 or greater than or equal to $124.37, then a two-way collar mechanism will apply, pursuant to which, (x) if the UTC Stock Price is greater than or equal to $124.37, the Exchange Ratio will be fixed at 0.37525 and the value of the Stock Consideration will be greater than $46.67, and (y) if the UTC Stock Price is less than or equal to $107.01, the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Exchange Ratio will be fixed at 0.43613 and the value of the Stock Consideration will be less than $46.67. We currently expect that the merger will be completed in the third quarter of 2018, subject to approval by Rockwell Collins’ shareowners, as well as other customary closing conditions, including the receipt of required regulatory approvals.</w:t>
      </w:r>
    </w:p>
    <w:p>
      <w:pPr>
        <w:spacing w:after="0" w:line="181"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We anticipate that approximately $15 billion will be required to pay the aggregate cash portion of the Merger Consideration. We expect to fund the cash portion of the Merger Consideration through debt issuances and cash on hand. We have entered into a $6.5 billion 364-day unsecured bridge loan credit agreement that would be funded only to the extent some or all of the anticipated debt issuances are not completed prior to the completion of the merger. Additionally, we expect to assume approximately $7 billion of existing Rockwell Collins long-term debt upon completion of the merger. To manage the cash flow and liquidity impacts of these actions, we have suspended share repurchases, excluding activity required under our equity award programs and employee savings plans.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2017. See Part I, Item 1A, "Risk Factors" in our 2016 Form 10-K for further discussion.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2016 Annual Report, incorporated by reference in our 2016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nine months ended September 30,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15,062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14,354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44,157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42,585</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in total net sales for the quarter and nine months ended September 30, 2017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Quarter Ended</w:t>
            </w:r>
          </w:p>
        </w:tc>
        <w:tc>
          <w:tcPr>
            <w:tcW w:w="1760" w:type="dxa"/>
            <w:vAlign w:val="bottom"/>
          </w:tcPr>
          <w:p>
            <w:pPr>
              <w:jc w:val="right"/>
              <w:ind w:right="176"/>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7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2017</w:t>
            </w:r>
          </w:p>
        </w:tc>
        <w:tc>
          <w:tcPr>
            <w:tcW w:w="1760" w:type="dxa"/>
            <w:vAlign w:val="bottom"/>
          </w:tcPr>
          <w:p>
            <w:pPr>
              <w:jc w:val="right"/>
              <w:ind w:right="196"/>
              <w:spacing w:after="0"/>
              <w:rPr>
                <w:sz w:val="20"/>
                <w:szCs w:val="20"/>
                <w:color w:val="auto"/>
              </w:rPr>
            </w:pPr>
            <w:r>
              <w:rPr>
                <w:rFonts w:ascii="Arial" w:cs="Arial" w:eastAsia="Arial" w:hAnsi="Arial"/>
                <w:sz w:val="14"/>
                <w:szCs w:val="14"/>
                <w:b w:val="1"/>
                <w:bCs w:val="1"/>
                <w:color w:val="auto"/>
              </w:rPr>
              <w:t>September 30, 2017</w:t>
            </w:r>
          </w:p>
        </w:tc>
      </w:tr>
      <w:tr>
        <w:trPr>
          <w:trHeight w:val="250"/>
        </w:trPr>
        <w:tc>
          <w:tcPr>
            <w:tcW w:w="7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2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76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27"/>
        </w:trPr>
        <w:tc>
          <w:tcPr>
            <w:tcW w:w="7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7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During the quarter ended September 30, 2017, Pratt &amp; Whitney (15% organic sales growth), UTC Climate, Controls &amp; Security (4%) and Otis (2%) all experienced organic sales growth, while UTC Aerospace Systems sales were consistent with the prior year. The organic sales growth at Pratt &amp; Whitney was driven by higher commercial aftermarket sales, higher commercial engines volume and mix, and higher military sales. The organic growth at UTC Climate, Controls &amp; Security was driven by growth in global refrigeration, North America residential HVAC, and global commercial HVAC, while growth at Otis</w:t>
      </w:r>
    </w:p>
    <w:p>
      <w:pPr>
        <w:sectPr>
          <w:pgSz w:w="11900" w:h="16838" w:orient="portrait"/>
          <w:cols w:equalWidth="0" w:num="1">
            <w:col w:w="11420"/>
          </w:cols>
          <w:pgMar w:left="240" w:top="121"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was primarily driven by higher service sales in Asia and North America and new equipment sales growth in Europe and North America, partially offset by a decline in China. Organic sales at UTC Aerospace Systems were consistent with the prior year as an increase in commercial aerospace aftermarket volume was offset by lower commercial aerospace OEM sales volume.</w:t>
      </w:r>
    </w:p>
    <w:p>
      <w:pPr>
        <w:spacing w:after="0" w:line="181" w:lineRule="exact"/>
        <w:rPr>
          <w:sz w:val="20"/>
          <w:szCs w:val="20"/>
          <w:color w:val="auto"/>
        </w:rPr>
      </w:pPr>
    </w:p>
    <w:p>
      <w:pPr>
        <w:jc w:val="both"/>
        <w:ind w:right="40" w:firstLine="432"/>
        <w:spacing w:after="0" w:line="255" w:lineRule="auto"/>
        <w:rPr>
          <w:sz w:val="20"/>
          <w:szCs w:val="20"/>
          <w:color w:val="auto"/>
        </w:rPr>
      </w:pPr>
      <w:r>
        <w:rPr>
          <w:rFonts w:ascii="Arial" w:cs="Arial" w:eastAsia="Arial" w:hAnsi="Arial"/>
          <w:sz w:val="18"/>
          <w:szCs w:val="18"/>
          <w:color w:val="auto"/>
        </w:rPr>
        <w:t>All four segments experienced organic sales growth during the nine months ended September 30, 2017. Pratt &amp; Whitney sales were up 8% organically, reflecting higher commercial aftermarket sales and higher military sales. Organic sales at UTC Climate, Controls &amp; Security increased 4%, driven by growth in North America residential HVAC, global commercial HVAC, and commercial refrigeration. Otis sales increased 2% organically, reflecting higher service sales in North America and Asia while new equipment sales growth in North America and Europe was partially offset by a decline in China. Organic sales at UTC Aerospace Systems grew 1%, primarily driven by an increase in commercial aerospace aftermarket sales partially offset by lower commercial aerospace OEM sales.</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7,522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22,920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22,542</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8,195</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11,043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10,342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32,220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30,737</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and nine months ended September 30, 2017 in total cost of products and services sold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Quarter Ended</w:t>
            </w:r>
          </w:p>
        </w:tc>
        <w:tc>
          <w:tcPr>
            <w:tcW w:w="1760" w:type="dxa"/>
            <w:vAlign w:val="bottom"/>
          </w:tcPr>
          <w:p>
            <w:pPr>
              <w:jc w:val="right"/>
              <w:ind w:right="176"/>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7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2017</w:t>
            </w:r>
          </w:p>
        </w:tc>
        <w:tc>
          <w:tcPr>
            <w:tcW w:w="1760" w:type="dxa"/>
            <w:vAlign w:val="bottom"/>
          </w:tcPr>
          <w:p>
            <w:pPr>
              <w:jc w:val="right"/>
              <w:ind w:right="196"/>
              <w:spacing w:after="0"/>
              <w:rPr>
                <w:sz w:val="20"/>
                <w:szCs w:val="20"/>
                <w:color w:val="auto"/>
              </w:rPr>
            </w:pPr>
            <w:r>
              <w:rPr>
                <w:rFonts w:ascii="Arial" w:cs="Arial" w:eastAsia="Arial" w:hAnsi="Arial"/>
                <w:sz w:val="14"/>
                <w:szCs w:val="14"/>
                <w:b w:val="1"/>
                <w:bCs w:val="1"/>
                <w:color w:val="auto"/>
              </w:rPr>
              <w:t>September 30, 2017</w:t>
            </w:r>
          </w:p>
        </w:tc>
      </w:tr>
      <w:tr>
        <w:trPr>
          <w:trHeight w:val="250"/>
        </w:trPr>
        <w:tc>
          <w:tcPr>
            <w:tcW w:w="7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2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76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27"/>
        </w:trPr>
        <w:tc>
          <w:tcPr>
            <w:tcW w:w="7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7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The organic increase in total cost of products and services sold for the quarter ended September 30, 2017 was primarily driven by the organic sales increases noted above and higher negative engine margin at Pratt &amp; Whitney. The organic increase in total cost of products and services sold for the nine months ended September 30, 2017 was primarily driven by the organic sales increases noted above, higher negative engine margin at Pratt &amp; Whitney, and unfavorable contract adjustments related to a large commercial project at UTC Climate, Controls &amp; Security.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11,848</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r>
    </w:tbl>
    <w:p>
      <w:pPr>
        <w:spacing w:after="0" w:line="121"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decrease in gross margin as a percentage of sales for the quarter ended September 30, 2017 primarily reflects a 280 basis point decline in Pratt &amp; Whitney's gross margin driven by the unfavorable year-over-year impact of customer contract matters and higher negative engine margin, a 180 basis point decline in gross margin at Otis driven by price/mix pressure, primarily in China, and a 60 basis point decline in gross margin at UTC Climate, Controls &amp; Security driven by unfavorable mix and price, partially offset by a 90 basis point improvement in gross margin at UTC Aerospace Systems as the benefit of higher commercial aftermarket volumes was partially offset by adverse commercial OEM mix.</w:t>
      </w:r>
    </w:p>
    <w:p>
      <w:pPr>
        <w:spacing w:after="0" w:line="17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decrease in gross margin as a percentage of sales for the nine months ended September 30, 2017 primarily reflects a 160 basis point decline in gross margin at Otis driven by price/mix pressure, primarily in China; a 100 basis point decline in gross margin at UTC Climate, Controls &amp; Security primarily driven by unfavorable contract adjustments related to a large commercial project; and a 70 basis points decline in Pratt &amp; Whitney's gross margin driven by the unfavorable year-over-year impact of customer contract matters and higher negative engine margin. These decreases were partially offset by a 40 basis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point improvement in gross margin at UTC Aerospace Systems as the benefit of higher commercial aftermarket volumes was partially offset by adverse commercial OEM mix.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5"/>
              </w:rPr>
              <w:t>Quarter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ind w:left="560"/>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1,711</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1,065</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21"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Company-funded research and development for the quarter ended September 30, 2017 was consistent with the prior year as lower spending across various programs at UTC Aerospace Systems (2%) was offset by continued investment in new products at UTC Climate, Controls &amp; Security (1%); and increased spending on strategic initiatives at Otis (1%). For the nine months ended September 30, 2017, company-funded research and development increased 3% with increased spending across all segments. The growth consisted of continued investment in new products at UTC Climate, Controls &amp; Security (2%), increased spending on strategic initiatives at Otis (1%), an increase at Pratt &amp; Whitney (1%) driven by higher spending on various Pratt &amp; Whitney Canada programs and Pratt &amp; Whitney military development programs, and higher spending across various programs at UTC Aerospace Systems (1%).</w:t>
      </w:r>
    </w:p>
    <w:p>
      <w:pPr>
        <w:spacing w:after="0" w:line="58"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Customer-funded research and development for the quarter and nine months ended September 30, 2017 was consistent with the prior year as higher research and development spending on military development programs at Pratt &amp; Whitney was offset by lower spending across various programs at UTC Aerospace Systems.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4,204</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121"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Selling, general and administrative expenses increased 10% in the quarter ended September 30, 2017, and reflect the impact of higher restructuring expenses (2%), transaction costs related to the merger agreement with Rockwell Collins (1%), and an increase resulting from the impact of foreign exchange (1%). The increase also reflects higher expenses at Pratt &amp; Whitney (3%) driven by increased headcount and employee compensation related expenses, as well as a charge related to a customer insolvency; higher expenses at Otis (1%) resulting from higher labor and information technology costs; and higher expenses at UTC Aerospace Systems (1%) primarily driven by increased headcount and employee compensation related expenses.</w:t>
      </w:r>
    </w:p>
    <w:p>
      <w:pPr>
        <w:spacing w:after="0" w:line="158"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Selling, general and administrative expenses increased 8% in the nine months ended September 30, 2017 and reflect an increase in expenses related to recent acquisitions (2%) and the impact of higher restructuring expenses (1%). The increase also reflects higher expenses at Pratt &amp; Whitney (2%) driven by increased headcount and employee compensation related expenses, as well as a charge related to a customer insolvency; higher expenses at Otis (1%) resulting from higher labor and information technology costs; and higher expenses at UTC Aerospace Systems (1%) and UTC Climate, Controls &amp; Security (1%) primarily driven by employee compensation related expenses.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600</w:t>
            </w:r>
          </w:p>
        </w:tc>
      </w:tr>
      <w:tr>
        <w:trPr>
          <w:trHeight w:val="45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as well as other ongoing and nonrecurring items. The year-over-year increase in other income, net ($39 million, 18%) for the quarter ended September 30, 2017 is primarily driven by gains on the sale of securities (46%), partially offset by the absence of prior year gains recognized from the sale of non-core assets at UTC Aerospace Systems (12%), the absence of prior year gains on fixed asset disposals (5%), lower year-over-year foreign exchange gains and losses (4%), and lower joint venture income (3%).</w:t>
      </w:r>
    </w:p>
    <w:p>
      <w:pPr>
        <w:spacing w:after="0" w:line="80"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year-over-year increase in other income, net ($495 million, 83%) in the nine months ended September 30, 2017 is primarily driven by $379 million of gains resulting from UTC Climate, Controls &amp; Security's sale of investments in Watsco, Inc. (63%), gains on the sale of securities (12%), and higher year-over-year foreign exchange gains and losses (6%).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741</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673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Interest expense, net was down 1% for the quarter ended September 30, 2017 and down 2% for the nine months ended September 30, 2017 relative to the prior year. The unfavorable impact of the May 4, 2017 and November 1, 2016 issuance of notes representing $8 billion in aggregate principal was more than offset by the favorable impact of the significantly lower interest rates on these notes as compared to the 5.375% and 6.125% notes redeemed on December 1, 2016, representing $2.25 billion in aggregate principal, and the favorable impact of these early redemptions and the repayment at maturity of our 1.800% notes due 2017, representing $1.5 billion in aggregate principal. The average maturity of our long-term debt at September 30, 2017 is approximately twelve years.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4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3"/>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r>
      <w:tr>
        <w:trPr>
          <w:trHeight w:val="243"/>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The increase in the effective tax rate for the quarter ended September 30, 2017 is due to an increase to the estimated full year forecasted effective tax rate. As a result, the tax expense recorded in the quarter ended September 30, 2017 reflects the cumulative year to date impact.</w:t>
      </w:r>
    </w:p>
    <w:p>
      <w:pPr>
        <w:spacing w:after="0" w:line="147" w:lineRule="exact"/>
        <w:rPr>
          <w:sz w:val="20"/>
          <w:szCs w:val="20"/>
          <w:color w:val="auto"/>
        </w:rPr>
      </w:pPr>
    </w:p>
    <w:p>
      <w:pPr>
        <w:jc w:val="both"/>
        <w:ind w:right="80" w:firstLine="405"/>
        <w:spacing w:after="0" w:line="257" w:lineRule="auto"/>
        <w:rPr>
          <w:sz w:val="20"/>
          <w:szCs w:val="20"/>
          <w:color w:val="auto"/>
        </w:rPr>
      </w:pPr>
      <w:r>
        <w:rPr>
          <w:rFonts w:ascii="Arial" w:cs="Arial" w:eastAsia="Arial" w:hAnsi="Arial"/>
          <w:sz w:val="18"/>
          <w:szCs w:val="18"/>
          <w:color w:val="auto"/>
        </w:rPr>
        <w:t>The effective tax rate for the quarter ended September 30, 2017 included non-cash tax gains associated with certain federal, state and non-U.S. tax year closures due to audit resolutions and the expiration of applicable statutes of limitation during the quarter, including expiration of the U.S. federal income tax statute of limitations for UTC’s 2013 tax year. The effective tax rate for the quarter ended September 30, 2016 similarly included a non-cash tax gain related to the conclusion of separate audit activity. The non-cash tax gains recognized in the quarters ended September 30, 2017 and September 30, 2016 have equal impacts on the effective tax rates for those quarters.</w:t>
      </w:r>
    </w:p>
    <w:p>
      <w:pPr>
        <w:spacing w:after="0" w:line="18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As shown in the table above, the effective tax rate for the nine months ended September 30, 2017 is 26.8%. We estimate our full year 2017 annual effective income tax rate to be approximately 27.5%, excluding restructuring and non-operational nonrecurring items.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from Continuing Operations Attributable to Common Shareowners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Net income from continuing operations attributable to common shareowners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4.86</w:t>
            </w:r>
          </w:p>
        </w:tc>
      </w:tr>
      <w:tr>
        <w:trPr>
          <w:trHeight w:val="486"/>
        </w:trPr>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Net income from continuing operations attributable to common shareowners for the quarter ended September 30, 2017 includes restructuring charges, net of tax benefit, of $45 million as well as a net charge for significant non-operational and/or nonrecurring items, net of tax, of $5 million. The effect of restructuring charges and significant non-operational and/or nonrecurring items on diluted earnings per share for the quarter ended September 30, 2017 was $0.06 per share while the effect of foreign currency translation and Pratt &amp;Whitney Canada hedging generated a favorable impact of $0.04 per diluted share.</w:t>
      </w:r>
    </w:p>
    <w:p>
      <w:pPr>
        <w:spacing w:after="0" w:line="154"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Net income from continuing operations attributable to common shareowners for the quarter ended September 30, 2016 includes restructuring charges, net of tax benefit, of $8 million as well as a net charge for significant non-operational and/or nonrecurring items, net of tax, of $11 million. The effect of restructuring charges and nonrecurring items on diluted earnings per share for the quarter ended September 30, 2016 was $0.02 per share while the effect of foreign currency translation and hedging generated a favorable impact of $0.02 per diluted share.</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Net income from continuing operations attributable to common shareowners for the nine months ended September 30, 2017 includes restructuring charges, net of tax benefit, of $119 million as well as the net favorable impact of significant non-operational and/or nonrecurring items, net of tax, of $233 million. The effect of restructuring charges and nonrecurring items on diluted earnings per share for the nine months ended September 30, 2017 was $0.14 per share while the effect of foreign currency translation and Pratt &amp;Whitney Canada hedging generated a favorable impact of $0.11 per diluted share.</w:t>
      </w:r>
    </w:p>
    <w:p>
      <w:pPr>
        <w:spacing w:after="0" w:line="154"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Net income from continuing operations attributable to common shareowners for the nine months ended September 30, 2016 includes restructuring charges, net of tax benefit, of $128 million as well as a net charge for significant non-operational and/or nonrecurring items, net of tax, of $21 million. The effect of restructuring charges and nonrecurring items on diluted earnings per share for the nine months ended September 30, 2016 was $0.18 per share. The effect of foreign currency translation and hedging generated a favorable impact of $0.02 on earnings per diluted share.</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u w:val="single" w:color="auto"/>
          <w:color w:val="auto"/>
        </w:rPr>
        <w:t>Net Income from Discontinued Operations Attributable to Common Shareowners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9"/>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attributable to common</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shareowners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discontinued operations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0.04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Net income from discontinued operations attributable to common shareowners for the quarter ended September 30, 2016 reflects approximately</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$40 million of income tax benefit, including the impacts related to filing Sikorsky's 2015 tax returns. Net income from discontinued operations attributable to common shareowners for the nine months ended September 30, 2016 reflects the final purchase price adjustment for the sale of Sikorsky, and the net effects of filing Sikorsky's 2015 tax returns.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Restructuring actions are an essential component of our operating margin improvement efforts and relate to both existing operations and those recently acquired. Charges generally arise from severance related to workforce reductions, facility exit and lease termination costs associated with the consolidation of field and manufacturing operations and costs to exit legacy programs. We expect to incur restructuring costs in 2017 of approximately $300 million, including trailing costs related to prior actions associated with our continuing cost reduction efforts and the integration of acquisitions. We continue to closely monitor the economic environment and may undertake further restructuring actions to keep our cost structure aligned with the demands of the prevailing market conditions.</w:t>
      </w:r>
    </w:p>
    <w:p>
      <w:pPr>
        <w:spacing w:after="0" w:line="189"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2017 Actions. </w:t>
      </w:r>
      <w:r>
        <w:rPr>
          <w:rFonts w:ascii="Arial" w:cs="Arial" w:eastAsia="Arial" w:hAnsi="Arial"/>
          <w:sz w:val="16"/>
          <w:szCs w:val="16"/>
          <w:color w:val="auto"/>
        </w:rPr>
        <w:t>During the nine months ended September 30, 2017, we recorded net pre-tax restructuring charges of $114 million relating to ongoing cost</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actions initiated in 2017. We expect to incur additional restructuring charges of $104 million to complete these actions. We are targeting to complete in 2017 and 2018 the majority of the remaining workforce and facility related cost reduction actions initiated in 2017. We expect recurring pre-tax savings in continuing operations to increase over the two-year period subsequent to initiating the actions to approximately $150 million annually. Approximately 75% of the total expected pre-tax charges will require cash payments, which we have funded and expect to continue to fund with cash generated from operations. During the nine months ended September 30, 2017, we had cash outflows of approximately $39 million related to the 2017 actions.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2016 Actions. </w:t>
      </w:r>
      <w:r>
        <w:rPr>
          <w:rFonts w:ascii="Arial" w:cs="Arial" w:eastAsia="Arial" w:hAnsi="Arial"/>
          <w:sz w:val="17"/>
          <w:szCs w:val="17"/>
          <w:color w:val="auto"/>
        </w:rPr>
        <w:t>During the nine months ended September 30, 2017 and 2016, we recorded net pre-tax restructuring charges of $48 million and $143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for actions initiated in 2016. We expect to incur additional restructuring charges of $50 million to complete these actions. We are targeting to complete in 2017 the majority of the remaining workforce and facility related cost reduction actions initiated in 2016. We expect recurring pre-tax savings in continuing operations to increase over the two-year period subsequent to initiating the actions to approximately $180 million annually, of which, approximately $74 million was realized during the nine months ended September 30, 2017. Approximately 64% of the total expected pre-tax charge will require cash payments, which we have and expect to continue to fund with cash generated from operations. During the nine months ended September 30, 2017, we had cash outflows of approximately $70 million related to the 2016 actions.</w:t>
      </w:r>
    </w:p>
    <w:p>
      <w:pPr>
        <w:spacing w:after="0" w:line="176"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In addition, during the nine months ended September 30, 2017, we recorded net pre-tax restructuring costs totaling $15 million for restructuring actions initiated in 2015 and prior. For additional discussion of restructuring, see Note 8 to the Condensed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nine months ended September 30, 2017 and 2016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7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At constant currency and excluding the effect of acquisitions and divestitures, UTC Climate, Controls &amp; Security equipment orders in the quarter ended September 30, 2017 increased 2% in comparison to the same period of the prior year driven by increases in global commercial HVAC (7%) and commercial refrigeration (9%), partially offset by declines in transport refrigeration (10%) and North America residential HVAC orders (3%). At constant currency, within the Otis segment, new equipment orders in the quarter were down 4% in comparison to the prior year as a decrease in orders in North America (24%) and Asia (6%), were partially offset by order growth in Europe (25%) and the Middle East (42%).</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September 30, 2017 and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Otis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jc w:val="right"/>
              <w:ind w:right="67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20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4,415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3,067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120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35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nine months ended September 30, 2017 and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Otis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708"/>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240" w:type="dxa"/>
            <w:vAlign w:val="bottom"/>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8,830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12,602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5,972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9,322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8,708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1,631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2,279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Operating Profit Margins</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17.1%</w:t>
            </w:r>
          </w:p>
        </w:tc>
        <w:tc>
          <w:tcPr>
            <w:tcW w:w="1320" w:type="dxa"/>
            <w:vAlign w:val="bottom"/>
          </w:tcPr>
          <w:p>
            <w:pPr>
              <w:jc w:val="right"/>
              <w:ind w:right="138"/>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562"/>
              <w:spacing w:after="0"/>
              <w:rPr>
                <w:sz w:val="20"/>
                <w:szCs w:val="20"/>
                <w:color w:val="auto"/>
              </w:rPr>
            </w:pPr>
            <w:r>
              <w:rPr>
                <w:rFonts w:ascii="Arial" w:cs="Arial" w:eastAsia="Arial" w:hAnsi="Arial"/>
                <w:sz w:val="18"/>
                <w:szCs w:val="18"/>
                <w:color w:val="auto"/>
              </w:rPr>
              <w:t>20.0%</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18.1%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Otis –</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0"/>
              </w:rPr>
              <w:t>Quarter Ended September 30, 2017 Compared with Quarter Ended September 30, 2016</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3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5"/>
          </w:tcPr>
          <w:p>
            <w:pPr>
              <w:jc w:val="right"/>
              <w:ind w:right="782"/>
              <w:spacing w:after="0"/>
              <w:rPr>
                <w:sz w:val="20"/>
                <w:szCs w:val="20"/>
                <w:color w:val="auto"/>
              </w:rPr>
            </w:pPr>
            <w:r>
              <w:rPr>
                <w:rFonts w:ascii="Arial" w:cs="Arial" w:eastAsia="Arial" w:hAnsi="Arial"/>
                <w:sz w:val="14"/>
                <w:szCs w:val="14"/>
                <w:b w:val="1"/>
                <w:bCs w:val="1"/>
                <w:color w:val="auto"/>
              </w:rPr>
              <w:t>Factors Contributing to Total % Change</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FX</w:t>
            </w:r>
          </w:p>
        </w:tc>
        <w:tc>
          <w:tcPr>
            <w:tcW w:w="166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180" w:type="dxa"/>
            <w:vAlign w:val="bottom"/>
          </w:tcPr>
          <w:p>
            <w:pPr>
              <w:jc w:val="center"/>
              <w:ind w:left="162"/>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w w:val="87"/>
              </w:rPr>
              <w:t>Costs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8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21"/>
                <w:szCs w:val="21"/>
                <w:color w:val="auto"/>
              </w:rPr>
            </w:pPr>
          </w:p>
        </w:tc>
        <w:tc>
          <w:tcPr>
            <w:tcW w:w="8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organic sales increase of 2% primarily reflects higher service sales (1%), driven by growth in Asia and North America, and higher new equipment sales (1%) driven by growth in Europe and North America, partially offset by a decline in China.</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4% was driven by:</w:t>
      </w:r>
    </w:p>
    <w:p>
      <w:pPr>
        <w:spacing w:after="0" w:line="23"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price and mix (10%), primarily in China</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(2%), including higher labor and information technology costs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(5%)</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productivity (4%)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with Nine Months Ended September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3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1"/>
                <w:szCs w:val="21"/>
                <w:color w:val="auto"/>
              </w:rPr>
            </w:pPr>
          </w:p>
        </w:tc>
        <w:tc>
          <w:tcPr>
            <w:tcW w:w="19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organic sales increase of 2% primarily reflects higher service sales (1%) driven by growth in North America and Asia. New equipment sales growth in North America (1%) and Europe (1%) was partially offset by a decline in China (2%).</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6% was driven by:</w:t>
      </w:r>
    </w:p>
    <w:p>
      <w:pPr>
        <w:spacing w:after="0" w:line="23"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price and mix (11%), primarily in China</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(2%), primarily labor and information technology costs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(4%)</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favorable productivity (4%)</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2017 Compared with Quarter Ended September 30,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Factors Contributing to Total % Change</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8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rPr>
              <w:t>FX</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Acquisitions /</w:t>
            </w:r>
          </w:p>
        </w:tc>
        <w:tc>
          <w:tcPr>
            <w:tcW w:w="170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2"/>
              </w:rPr>
              <w:t>Translation</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organic sales increase of 4% was driven by growth in global refrigeration (2%), North America residential HVAC (1%), and global commercial HVAC (1%).</w:t>
      </w:r>
    </w:p>
    <w:p>
      <w:pPr>
        <w:spacing w:after="0" w:line="1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3% operational profit increase was primarily driven by productivity and restructuring savings (combined 3%). The profit contribution from the higher sales volumes noted above was offset by the impact of unfavorable mix and pricing. The 3% increase in “Other” primarily reflects a gain on the sale of an investment (2%) and the absence of prior year acquisition and integration costs (1%).</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with Nine Months Ended September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6"/>
          </w:tcPr>
          <w:p>
            <w:pPr>
              <w:jc w:val="center"/>
              <w:ind w:right="130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6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organic sales increase of 4% was driven by growth in North America residential HVAC (1%), global commercial HVAC (1%), and commercial refrigeration (1%).</w:t>
      </w:r>
    </w:p>
    <w:p>
      <w:pPr>
        <w:spacing w:after="0" w:line="170"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The 2% operational profit decrease was primarily driven by unfavorable contract adjustments related to a large commercial project (3%), partly offset by the beneficial impact from restructuring savings (1%). The profit contribution from the higher sales volumes noted above was offset by the impact of unfavorable mix and pricing. The 20% increase in “other” primarily reflects a gain on the sale of investments in Watsco, Inc. in the first quarter of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continue to see growth in a strong commercial airline industry which is benefiting from traffic growth, lower airfares, and stronger economic conditions. Airline traffic, as measured by RPMs, grew approximately 8% in the first eight months of 2017.</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commercial aftermarket businesses continue to evolve as an increasing proportion of our aerospace businesses' customers are covered under Fleet Management Programs (FMPs) at Pratt &amp; Whitney and long-term aftermarket service agreements at UTC Aerospace Systems. FMPs are comprehensive long-term spare part and service agreements with our customers. We expect a continued shift to FMPs and long-term aftermarket service agreements in lieu of transactional spare part sales as new aerospace product offerings enter our customers' fleets under long-term service agreements and legacy fleets are retired. For the first nine months of 2017, as compared with 2016, total commercial aerospace aftermarket sales increased 10% at UTC Aerospace Systems and 7% at Pratt &amp; Whitney.</w:t>
      </w:r>
    </w:p>
    <w:p>
      <w:pPr>
        <w:spacing w:after="0" w:line="19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record changes in contract estimates using the cumulative catch-up method in accordance with the Revenue Recognition Topic of the FASB ASC. Operating profit in the quarter and nine months ended September 30, 2017 included significant net unfavorable changes in aerospace contract estimates totaling $21 million and $50 million, respectively, primarily reflecting unfavorable net contract adjustments recorded at Pratt &amp; Whitney. Operating profit in the quarter and nine months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ended September 30, 2016 included significant net unfavorable changes in aerospace contract estimates of $24 million and $20 million, respectively, primarily representing unfavorable contract adjustments recorded at Pratt &amp; Whitney.</w:t>
      </w:r>
    </w:p>
    <w:p>
      <w:pPr>
        <w:spacing w:after="0" w:line="17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As previously disclosed, Pratt &amp; Whitney's PurePower PW1500G engine models have been selected by Bombardier to power the new CSeries passenger aircraft, which entered into service on July 15, 2016. There have been multi-year delays in the development of the CSeries aircraft. Notwithstanding these delays, Bombardier reports that they have received over 300 orders for the aircraft and that both the CS100 and CS300 aircraft models have been certified and have entered into revenue service. We have made various investments in support of the production and delivery of our PW1500G engines and systems for the CSeries program, which we currently expect to recover through future deliveries of PW1500G powered CSeries aircraft. On October 16, 2017, Bombardier and Airbus announced an agreement to become partners on the CSeries aircraft program. We will continue to monitor the progress of the program and our ability to recover our investments, which we believe would be strengthened by this partnership.</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September 30, 2017 and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7"/>
              </w:rPr>
              <w:t>Pratt &amp; Whitney</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6"/>
              </w:rPr>
              <w:t>UTC Aerospace Systems</w:t>
            </w:r>
          </w:p>
        </w:tc>
        <w:tc>
          <w:tcPr>
            <w:tcW w:w="980" w:type="dxa"/>
            <w:vAlign w:val="bottom"/>
            <w:tcBorders>
              <w:bottom w:val="single" w:sz="8" w:color="auto"/>
            </w:tcBorders>
          </w:tcPr>
          <w:p>
            <w:pPr>
              <w:spacing w:after="0"/>
              <w:rPr>
                <w:sz w:val="16"/>
                <w:szCs w:val="16"/>
                <w:color w:val="auto"/>
              </w:rPr>
            </w:pP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9.7%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24"/>
                <w:szCs w:val="2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16.5%</w:t>
            </w:r>
          </w:p>
        </w:tc>
        <w:tc>
          <w:tcPr>
            <w:tcW w:w="98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nine months ended September 30, 2017 and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Pratt &amp; Whitney</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6"/>
              </w:rPr>
              <w:t>UTC Aerospace Systems</w:t>
            </w:r>
          </w:p>
        </w:tc>
        <w:tc>
          <w:tcPr>
            <w:tcW w:w="980" w:type="dxa"/>
            <w:vAlign w:val="bottom"/>
            <w:tcBorders>
              <w:bottom w:val="single" w:sz="8" w:color="auto"/>
            </w:tcBorders>
          </w:tcPr>
          <w:p>
            <w:pPr>
              <w:spacing w:after="0"/>
              <w:rPr>
                <w:sz w:val="16"/>
                <w:szCs w:val="16"/>
                <w:color w:val="auto"/>
              </w:rPr>
            </w:pP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10,902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10,888</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8,668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7,976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Operating Profit Margins</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1480" w:type="dxa"/>
            <w:vAlign w:val="bottom"/>
          </w:tcPr>
          <w:p>
            <w:pPr>
              <w:jc w:val="right"/>
              <w:ind w:right="218"/>
              <w:spacing w:after="0"/>
              <w:rPr>
                <w:sz w:val="20"/>
                <w:szCs w:val="20"/>
                <w:color w:val="auto"/>
              </w:rPr>
            </w:pPr>
            <w:r>
              <w:rPr>
                <w:rFonts w:ascii="Arial" w:cs="Arial" w:eastAsia="Arial" w:hAnsi="Arial"/>
                <w:sz w:val="18"/>
                <w:szCs w:val="18"/>
                <w:color w:val="auto"/>
              </w:rPr>
              <w:t>10.4%</w:t>
            </w:r>
          </w:p>
        </w:tc>
        <w:tc>
          <w:tcPr>
            <w:tcW w:w="1600" w:type="dxa"/>
            <w:vAlign w:val="bottom"/>
          </w:tcPr>
          <w:p>
            <w:pPr>
              <w:spacing w:after="0"/>
              <w:rPr>
                <w:sz w:val="20"/>
                <w:szCs w:val="20"/>
                <w:color w:val="auto"/>
              </w:rPr>
            </w:pPr>
          </w:p>
        </w:tc>
        <w:tc>
          <w:tcPr>
            <w:tcW w:w="1020" w:type="dxa"/>
            <w:vAlign w:val="bottom"/>
          </w:tcPr>
          <w:p>
            <w:pPr>
              <w:jc w:val="right"/>
              <w:ind w:right="322"/>
              <w:spacing w:after="0"/>
              <w:rPr>
                <w:sz w:val="20"/>
                <w:szCs w:val="20"/>
                <w:color w:val="auto"/>
              </w:rPr>
            </w:pPr>
            <w:r>
              <w:rPr>
                <w:rFonts w:ascii="Arial" w:cs="Arial" w:eastAsia="Arial" w:hAnsi="Arial"/>
                <w:sz w:val="18"/>
                <w:szCs w:val="18"/>
                <w:color w:val="auto"/>
              </w:rPr>
              <w:t>16.3%</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15.8%</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Pratt &amp; Whitney –</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89"/>
              </w:rPr>
              <w:t>Quarter Ended September 30, 2017 Compared with Quarter Ended September 30, 2016</w:t>
            </w: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Factors Contributing to Total % Change</w:t>
            </w: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798"/>
              <w:spacing w:after="0" w:line="153" w:lineRule="exact"/>
              <w:rPr>
                <w:sz w:val="20"/>
                <w:szCs w:val="20"/>
                <w:color w:val="auto"/>
              </w:rPr>
            </w:pPr>
            <w:r>
              <w:rPr>
                <w:rFonts w:ascii="Arial" w:cs="Arial" w:eastAsia="Arial" w:hAnsi="Arial"/>
                <w:sz w:val="14"/>
                <w:szCs w:val="14"/>
                <w:b w:val="1"/>
                <w:bCs w:val="1"/>
                <w:color w:val="auto"/>
              </w:rPr>
              <w:t>FX</w:t>
            </w:r>
          </w:p>
        </w:tc>
        <w:tc>
          <w:tcPr>
            <w:tcW w:w="160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Acquisitions /</w:t>
            </w:r>
          </w:p>
        </w:tc>
        <w:tc>
          <w:tcPr>
            <w:tcW w:w="2080" w:type="dxa"/>
            <w:vAlign w:val="bottom"/>
            <w:gridSpan w:val="2"/>
          </w:tcPr>
          <w:p>
            <w:pPr>
              <w:jc w:val="center"/>
              <w:ind w:right="45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Translation*</w:t>
            </w:r>
          </w:p>
        </w:tc>
        <w:tc>
          <w:tcPr>
            <w:tcW w:w="16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Divestitures, net</w:t>
            </w:r>
          </w:p>
        </w:tc>
        <w:tc>
          <w:tcPr>
            <w:tcW w:w="1020" w:type="dxa"/>
            <w:vAlign w:val="bottom"/>
            <w:tcBorders>
              <w:bottom w:val="single" w:sz="8" w:color="auto"/>
            </w:tcBorders>
          </w:tcPr>
          <w:p>
            <w:pPr>
              <w:jc w:val="center"/>
              <w:ind w:left="442"/>
              <w:spacing w:after="0"/>
              <w:rPr>
                <w:sz w:val="20"/>
                <w:szCs w:val="20"/>
                <w:color w:val="auto"/>
              </w:rPr>
            </w:pPr>
            <w:r>
              <w:rPr>
                <w:rFonts w:ascii="Arial" w:cs="Arial" w:eastAsia="Arial" w:hAnsi="Arial"/>
                <w:sz w:val="14"/>
                <w:szCs w:val="14"/>
                <w:b w:val="1"/>
                <w:bCs w:val="1"/>
                <w:color w:val="auto"/>
                <w:w w:val="87"/>
              </w:rPr>
              <w:t>Costs</w:t>
            </w: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w w:val="88"/>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97"/>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06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w:t>
            </w:r>
          </w:p>
        </w:tc>
        <w:tc>
          <w:tcPr>
            <w:tcW w:w="1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73" w:lineRule="auto"/>
        <w:tabs>
          <w:tab w:leader="none" w:pos="1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organic sales increase of 15% primarily reflects higher commercial aftermarket sales (7%) higher commercial engine volume and mix (4%), and higher military sales (4%). The 6% decrease in Other reflects the year-over-year impact of customer contract matters.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3% was primarily driven by:</w:t>
      </w:r>
    </w:p>
    <w:p>
      <w:pPr>
        <w:spacing w:after="0" w:line="117"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aftermarket profit contribution (37%) driven by increases in both commercial and military aftermarket sales</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pension expense (3%)</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900" w:right="620" w:hanging="244"/>
        <w:spacing w:after="0" w:line="25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OEM profit contribution (29%), reflecting higher negative engine margin and other ramp-related costs, partially offset by the profit contribution from higher military sales</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and research and development costs (7%)</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39% decrease in Other primarily reflects the year-over-year impact of customer contract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with Nine Months Ended September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gridSpan w:val="3"/>
          </w:tcPr>
          <w:p>
            <w:pPr>
              <w:jc w:val="right"/>
              <w:ind w:right="1377"/>
              <w:spacing w:after="0"/>
              <w:rPr>
                <w:sz w:val="20"/>
                <w:szCs w:val="20"/>
                <w:color w:val="auto"/>
              </w:rPr>
            </w:pPr>
            <w:r>
              <w:rPr>
                <w:rFonts w:ascii="Arial" w:cs="Arial" w:eastAsia="Arial" w:hAnsi="Arial"/>
                <w:sz w:val="14"/>
                <w:szCs w:val="14"/>
                <w:b w:val="1"/>
                <w:bCs w:val="1"/>
                <w:color w:val="auto"/>
              </w:rPr>
              <w:t>Factors Contributing to Total % Change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Organic /</w:t>
            </w:r>
          </w:p>
        </w:tc>
        <w:tc>
          <w:tcPr>
            <w:tcW w:w="1660" w:type="dxa"/>
            <w:vAlign w:val="bottom"/>
          </w:tcPr>
          <w:p>
            <w:pPr>
              <w:jc w:val="right"/>
              <w:ind w:right="719"/>
              <w:spacing w:after="0" w:line="153" w:lineRule="exact"/>
              <w:rPr>
                <w:sz w:val="20"/>
                <w:szCs w:val="20"/>
                <w:color w:val="auto"/>
              </w:rPr>
            </w:pPr>
            <w:r>
              <w:rPr>
                <w:rFonts w:ascii="Arial" w:cs="Arial" w:eastAsia="Arial" w:hAnsi="Arial"/>
                <w:sz w:val="14"/>
                <w:szCs w:val="14"/>
                <w:b w:val="1"/>
                <w:bCs w:val="1"/>
                <w:color w:val="auto"/>
              </w:rPr>
              <w:t>FX</w:t>
            </w:r>
          </w:p>
        </w:tc>
        <w:tc>
          <w:tcPr>
            <w:tcW w:w="162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800" w:type="dxa"/>
            <w:vAlign w:val="bottom"/>
          </w:tcPr>
          <w:p>
            <w:pPr>
              <w:jc w:val="right"/>
              <w:ind w:right="597"/>
              <w:spacing w:after="0" w:line="153" w:lineRule="exact"/>
              <w:rPr>
                <w:sz w:val="20"/>
                <w:szCs w:val="20"/>
                <w:color w:val="auto"/>
              </w:rPr>
            </w:pPr>
            <w:r>
              <w:rPr>
                <w:rFonts w:ascii="Arial" w:cs="Arial" w:eastAsia="Arial" w:hAnsi="Arial"/>
                <w:sz w:val="14"/>
                <w:szCs w:val="14"/>
                <w:b w:val="1"/>
                <w:bCs w:val="1"/>
                <w:color w:val="auto"/>
              </w:rPr>
              <w:t>Restructuring</w:t>
            </w:r>
          </w:p>
        </w:tc>
        <w:tc>
          <w:tcPr>
            <w:tcW w:w="13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Operational</w:t>
            </w:r>
          </w:p>
        </w:tc>
        <w:tc>
          <w:tcPr>
            <w:tcW w:w="1660" w:type="dxa"/>
            <w:vAlign w:val="bottom"/>
          </w:tcPr>
          <w:p>
            <w:pPr>
              <w:jc w:val="right"/>
              <w:ind w:right="439"/>
              <w:spacing w:after="0"/>
              <w:rPr>
                <w:sz w:val="20"/>
                <w:szCs w:val="20"/>
                <w:color w:val="auto"/>
              </w:rPr>
            </w:pPr>
            <w:r>
              <w:rPr>
                <w:rFonts w:ascii="Arial" w:cs="Arial" w:eastAsia="Arial" w:hAnsi="Arial"/>
                <w:sz w:val="14"/>
                <w:szCs w:val="14"/>
                <w:b w:val="1"/>
                <w:bCs w:val="1"/>
                <w:color w:val="auto"/>
              </w:rPr>
              <w:t>Translation*</w:t>
            </w:r>
          </w:p>
        </w:tc>
        <w:tc>
          <w:tcPr>
            <w:tcW w:w="162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Divestitures, net</w:t>
            </w:r>
          </w:p>
        </w:tc>
        <w:tc>
          <w:tcPr>
            <w:tcW w:w="1800" w:type="dxa"/>
            <w:vAlign w:val="bottom"/>
          </w:tcPr>
          <w:p>
            <w:pPr>
              <w:jc w:val="right"/>
              <w:ind w:right="857"/>
              <w:spacing w:after="0"/>
              <w:rPr>
                <w:sz w:val="20"/>
                <w:szCs w:val="20"/>
                <w:color w:val="auto"/>
              </w:rPr>
            </w:pPr>
            <w:r>
              <w:rPr>
                <w:rFonts w:ascii="Arial" w:cs="Arial" w:eastAsia="Arial" w:hAnsi="Arial"/>
                <w:sz w:val="14"/>
                <w:szCs w:val="14"/>
                <w:b w:val="1"/>
                <w:bCs w:val="1"/>
                <w:color w:val="auto"/>
              </w:rPr>
              <w:t>Costs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w:t>
            </w:r>
          </w:p>
        </w:tc>
        <w:tc>
          <w:tcPr>
            <w:tcW w:w="1620" w:type="dxa"/>
            <w:vAlign w:val="bottom"/>
            <w:tcBorders>
              <w:top w:val="single" w:sz="8" w:color="auto"/>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CCEEFF"/>
            </w:tcBorders>
            <w:shd w:val="clear" w:color="auto" w:fill="CCEEFF"/>
          </w:tcPr>
          <w:p>
            <w:pPr>
              <w:jc w:val="right"/>
              <w:ind w:right="497"/>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66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620" w:type="dxa"/>
            <w:vAlign w:val="bottom"/>
          </w:tcPr>
          <w:p>
            <w:pPr>
              <w:ind w:left="120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77"/>
              <w:spacing w:after="0"/>
              <w:rPr>
                <w:sz w:val="20"/>
                <w:szCs w:val="20"/>
                <w:color w:val="auto"/>
              </w:rPr>
            </w:pPr>
            <w:r>
              <w:rPr>
                <w:rFonts w:ascii="Arial" w:cs="Arial" w:eastAsia="Arial" w:hAnsi="Arial"/>
                <w:sz w:val="18"/>
                <w:szCs w:val="18"/>
                <w:color w:val="auto"/>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9%</w:t>
            </w:r>
          </w:p>
        </w:tc>
        <w:tc>
          <w:tcPr>
            <w:tcW w:w="16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4 %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organic sales increase of 8% primarily reflects higher commercial aftermarket sales (6%) and higher military sales (4%), partially offset by the absence of prior year contract settlements (1%) and unfavorable year-over-year sales of legacy hardware (1%). The 2% decrease in Other reflects the year-over-year impact of customer contract matters.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8% was primarily driven by:</w:t>
      </w:r>
    </w:p>
    <w:p>
      <w:pPr>
        <w:spacing w:after="0" w:line="23" w:lineRule="exact"/>
        <w:rPr>
          <w:sz w:val="20"/>
          <w:szCs w:val="20"/>
          <w:color w:val="auto"/>
        </w:rPr>
      </w:pPr>
    </w:p>
    <w:p>
      <w:pPr>
        <w:ind w:left="900" w:right="660" w:hanging="244"/>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OEM profit contribution (18%) reflecting higher negative engine margin and other ramp-related costs and lower volume at Pratt &amp; Whitney Canada partially offset by the profit contribution from higher military sales</w:t>
      </w:r>
    </w:p>
    <w:p>
      <w:pPr>
        <w:ind w:left="900" w:hanging="24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year-over-year contract settlements (7%)</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and research and development costs (6%)</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prior year sales of legacy hardware (4%)</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aftermarket profit contribution (24%) driven by increases in both commercial and military aftermarket sales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pension expense (2%)</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15% decrease in Other primarily reflects the year-over-year impact of customer contract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2017 Compared with Quarter Ended September 30,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2"/>
          </w:tcPr>
          <w:p>
            <w:pPr>
              <w:jc w:val="center"/>
              <w:ind w:left="1099"/>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66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Organic /</w:t>
            </w:r>
          </w:p>
        </w:tc>
        <w:tc>
          <w:tcPr>
            <w:tcW w:w="1720" w:type="dxa"/>
            <w:vAlign w:val="bottom"/>
          </w:tcPr>
          <w:p>
            <w:pPr>
              <w:jc w:val="right"/>
              <w:ind w:right="779"/>
              <w:spacing w:after="0" w:line="153" w:lineRule="exact"/>
              <w:rPr>
                <w:sz w:val="20"/>
                <w:szCs w:val="20"/>
                <w:color w:val="auto"/>
              </w:rPr>
            </w:pPr>
            <w:r>
              <w:rPr>
                <w:rFonts w:ascii="Arial" w:cs="Arial" w:eastAsia="Arial" w:hAnsi="Arial"/>
                <w:sz w:val="14"/>
                <w:szCs w:val="14"/>
                <w:b w:val="1"/>
                <w:bCs w:val="1"/>
                <w:color w:val="auto"/>
              </w:rPr>
              <w:t>FX</w:t>
            </w:r>
          </w:p>
        </w:tc>
        <w:tc>
          <w:tcPr>
            <w:tcW w:w="1960" w:type="dxa"/>
            <w:vAlign w:val="bottom"/>
          </w:tcPr>
          <w:p>
            <w:pPr>
              <w:jc w:val="center"/>
              <w:ind w:right="437"/>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540" w:type="dxa"/>
            <w:vAlign w:val="bottom"/>
          </w:tcPr>
          <w:p>
            <w:pPr>
              <w:jc w:val="right"/>
              <w:ind w:right="597"/>
              <w:spacing w:after="0" w:line="153" w:lineRule="exact"/>
              <w:rPr>
                <w:sz w:val="20"/>
                <w:szCs w:val="20"/>
                <w:color w:val="auto"/>
              </w:rPr>
            </w:pPr>
            <w:r>
              <w:rPr>
                <w:rFonts w:ascii="Arial" w:cs="Arial" w:eastAsia="Arial" w:hAnsi="Arial"/>
                <w:sz w:val="14"/>
                <w:szCs w:val="14"/>
                <w:b w:val="1"/>
                <w:bCs w:val="1"/>
                <w:color w:val="auto"/>
                <w:w w:val="91"/>
              </w:rPr>
              <w:t>Restructuring</w:t>
            </w:r>
          </w:p>
        </w:tc>
        <w:tc>
          <w:tcPr>
            <w:tcW w:w="12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Translation</w:t>
            </w:r>
          </w:p>
        </w:tc>
        <w:tc>
          <w:tcPr>
            <w:tcW w:w="196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91"/>
              </w:rPr>
              <w:t>Divestitures, net</w:t>
            </w:r>
          </w:p>
        </w:tc>
        <w:tc>
          <w:tcPr>
            <w:tcW w:w="15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Costs</w:t>
            </w: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2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97"/>
              <w:spacing w:after="0"/>
              <w:rPr>
                <w:sz w:val="20"/>
                <w:szCs w:val="20"/>
                <w:color w:val="auto"/>
              </w:rPr>
            </w:pPr>
            <w:r>
              <w:rPr>
                <w:rFonts w:ascii="Arial" w:cs="Arial" w:eastAsia="Arial" w:hAnsi="Arial"/>
                <w:sz w:val="18"/>
                <w:szCs w:val="18"/>
                <w:color w:val="auto"/>
              </w:rPr>
              <w:t>(1)%</w:t>
            </w:r>
          </w:p>
        </w:tc>
        <w:tc>
          <w:tcPr>
            <w:tcW w:w="1540" w:type="dxa"/>
            <w:vAlign w:val="bottom"/>
          </w:tcPr>
          <w:p>
            <w:pPr>
              <w:jc w:val="right"/>
              <w:ind w:right="47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w:t>
            </w:r>
          </w:p>
        </w:tc>
        <w:tc>
          <w:tcPr>
            <w:tcW w:w="196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Organic sales for the quarter were consistent with the prior year as an increase in commercial aerospace aftermarket volume (3%) was offset by lower commercial aerospace OEM sales volume (3%). Military sales for the quarter were consistent with the prior year.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organic increase in operational profit (10%) primarily reflects: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00" w:right="180" w:hanging="244"/>
        <w:spacing w:after="0" w:line="25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commercial aerospace profit contribution (8%) driven by the commercial aftermarket sales growth noted above, partially offset by lower commercial aerospace OEM volume and adverse mix</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favorable impact of a customer settlement (3%)</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pension expense (2%)</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420" w:right="3080" w:firstLine="236"/>
        <w:spacing w:after="0" w:line="483" w:lineRule="auto"/>
        <w:tabs>
          <w:tab w:leader="none" w:pos="906"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lower military OEM and military aftermarket profit contribution (3%), primarily driven by adverse mix The 5% decrease in Other reflects the absence of prior year gains recognized on the sale of non-core assets.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with Nine Months Ended September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4"/>
          </w:tcPr>
          <w:p>
            <w:pPr>
              <w:jc w:val="right"/>
              <w:ind w:right="1397"/>
              <w:spacing w:after="0"/>
              <w:rPr>
                <w:sz w:val="20"/>
                <w:szCs w:val="20"/>
                <w:color w:val="auto"/>
              </w:rPr>
            </w:pPr>
            <w:r>
              <w:rPr>
                <w:rFonts w:ascii="Arial" w:cs="Arial" w:eastAsia="Arial" w:hAnsi="Arial"/>
                <w:sz w:val="14"/>
                <w:szCs w:val="14"/>
                <w:b w:val="1"/>
                <w:bCs w:val="1"/>
                <w:color w:val="auto"/>
                <w:w w:val="97"/>
              </w:rPr>
              <w:t>Factors Contributing to Total % Change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20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FX</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Acquisitions /</w:t>
            </w:r>
          </w:p>
        </w:tc>
        <w:tc>
          <w:tcPr>
            <w:tcW w:w="1780" w:type="dxa"/>
            <w:vAlign w:val="bottom"/>
          </w:tcPr>
          <w:p>
            <w:pPr>
              <w:jc w:val="right"/>
              <w:ind w:right="597"/>
              <w:spacing w:after="0" w:line="153" w:lineRule="exact"/>
              <w:rPr>
                <w:sz w:val="20"/>
                <w:szCs w:val="20"/>
                <w:color w:val="auto"/>
              </w:rPr>
            </w:pPr>
            <w:r>
              <w:rPr>
                <w:rFonts w:ascii="Arial" w:cs="Arial" w:eastAsia="Arial" w:hAnsi="Arial"/>
                <w:sz w:val="14"/>
                <w:szCs w:val="14"/>
                <w:b w:val="1"/>
                <w:bCs w:val="1"/>
                <w:color w:val="auto"/>
              </w:rPr>
              <w:t>Restructuring</w:t>
            </w:r>
          </w:p>
        </w:tc>
        <w:tc>
          <w:tcPr>
            <w:tcW w:w="13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Translation</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Divestitures, net</w:t>
            </w:r>
          </w:p>
        </w:tc>
        <w:tc>
          <w:tcPr>
            <w:tcW w:w="178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Costs</w:t>
            </w: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(1)%</w:t>
            </w:r>
          </w:p>
        </w:tc>
        <w:tc>
          <w:tcPr>
            <w:tcW w:w="178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77"/>
              <w:spacing w:after="0"/>
              <w:rPr>
                <w:sz w:val="20"/>
                <w:szCs w:val="20"/>
                <w:color w:val="auto"/>
              </w:rPr>
            </w:pPr>
            <w:r>
              <w:rPr>
                <w:rFonts w:ascii="Arial" w:cs="Arial" w:eastAsia="Arial" w:hAnsi="Arial"/>
                <w:sz w:val="18"/>
                <w:szCs w:val="18"/>
                <w:color w:val="auto"/>
              </w:rPr>
              <w:t>(1)%</w:t>
            </w:r>
          </w:p>
        </w:tc>
        <w:tc>
          <w:tcPr>
            <w:tcW w:w="1780" w:type="dxa"/>
            <w:vAlign w:val="bottom"/>
          </w:tcPr>
          <w:p>
            <w:pPr>
              <w:jc w:val="right"/>
              <w:ind w:right="497"/>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organic sales growth of 1% primarily reflects an increase in commercial aerospace aftermarket sales (3%) partially offset by lower commercial aerospace OEM sales (2%).</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operational profit of 5% primarily reflects:</w:t>
      </w:r>
    </w:p>
    <w:p>
      <w:pPr>
        <w:spacing w:after="0" w:line="117" w:lineRule="exact"/>
        <w:rPr>
          <w:sz w:val="20"/>
          <w:szCs w:val="20"/>
          <w:color w:val="auto"/>
        </w:rPr>
      </w:pPr>
    </w:p>
    <w:p>
      <w:pPr>
        <w:ind w:left="900" w:right="220" w:hanging="244"/>
        <w:spacing w:after="0" w:line="25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commercial aerospace profit contribution (6%) driven by the commercial aftermarket sales growth noted above partially offset by lower commercial aerospace OEM profit contribution</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pension costs (2%)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favorable impact of a customer settlement (1%)</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(2%)</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military OEM and military aftermarket profit contribution (1%)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88"/>
              </w:rPr>
              <w:t>Net Sales</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4"/>
                <w:szCs w:val="14"/>
                <w:b w:val="1"/>
                <w:bCs w:val="1"/>
                <w:color w:val="auto"/>
                <w:w w:val="94"/>
              </w:rPr>
              <w:t>Operating Profits</w:t>
            </w:r>
          </w:p>
        </w:tc>
        <w:tc>
          <w:tcPr>
            <w:tcW w:w="44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4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93"/>
              </w:rPr>
              <w:t>Quarter Ended September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94"/>
              </w:rPr>
              <w:t>Quarter Ended September 30,</w:t>
            </w:r>
          </w:p>
        </w:tc>
        <w:tc>
          <w:tcPr>
            <w:tcW w:w="440" w:type="dxa"/>
            <w:vAlign w:val="bottom"/>
            <w:tcBorders>
              <w:bottom w:val="single" w:sz="8" w:color="auto"/>
            </w:tcBorders>
          </w:tcPr>
          <w:p>
            <w:pPr>
              <w:spacing w:after="0"/>
              <w:rPr>
                <w:sz w:val="21"/>
                <w:szCs w:val="2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2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88"/>
              </w:rPr>
              <w:t>Net Sales</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4"/>
                <w:szCs w:val="14"/>
                <w:b w:val="1"/>
                <w:bCs w:val="1"/>
                <w:color w:val="auto"/>
                <w:w w:val="94"/>
              </w:rPr>
              <w:t>Operating Profits</w:t>
            </w:r>
          </w:p>
        </w:tc>
        <w:tc>
          <w:tcPr>
            <w:tcW w:w="440" w:type="dxa"/>
            <w:vAlign w:val="bottom"/>
            <w:tcBorders>
              <w:bottom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4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93"/>
              </w:rPr>
              <w:t>Nine Months Ended September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92"/>
              </w:rPr>
              <w:t>Nine Months Ended September 30,</w:t>
            </w:r>
          </w:p>
        </w:tc>
        <w:tc>
          <w:tcPr>
            <w:tcW w:w="440" w:type="dxa"/>
            <w:vAlign w:val="bottom"/>
            <w:tcBorders>
              <w:bottom w:val="single" w:sz="8" w:color="auto"/>
            </w:tcBorders>
          </w:tcPr>
          <w:p>
            <w:pPr>
              <w:spacing w:after="0"/>
              <w:rPr>
                <w:sz w:val="21"/>
                <w:szCs w:val="2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(280)</w:t>
            </w:r>
          </w:p>
        </w:tc>
      </w:tr>
    </w:tbl>
    <w:p>
      <w:pPr>
        <w:spacing w:after="0" w:line="12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Eliminations and other reflects the elimination of sales, other income and operating profit transacted between segments, as well as the operating results of certain smaller businesses. The year-over-year decrease in sales for the quarter and nine months ended September 30, 2017, as compared to the same periods of 2016, reflects an increase in the amount of inter-segment eliminations, principally between our aerospace businesses. The increase in operating profits for the quarter ended September 30, 2017, reflects gains on the sale of securities of $120 million in the current year, partially offset by transaction costs related to the merger agreement with Rockwell Collins of $27 million, and an increase in the amount of inter-segment eliminations between our aerospace businesses. The decrease in operating profits for the nine months ended September 30, 2017, is primarily driven by an increase in the amount of inter-segment eliminations between our aerospace businesses, partially offset by gains on the sale of securities.</w:t>
      </w:r>
    </w:p>
    <w:p>
      <w:pPr>
        <w:spacing w:after="0" w:line="17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year-over-year increase in general corporate expenses for the quarter and nine months ended September 30, 2017, as compared to the same periods of 2016, primarily reflects an increase in employee compensation related expenses.</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2017</w:t>
            </w: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6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64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574"/>
              <w:spacing w:after="0" w:line="158"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574"/>
              <w:spacing w:after="0" w:line="158"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27,260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23,901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22,665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15,558</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31,691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29,169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30,764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53,429</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50,428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45,913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46,322</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1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principal source of liquidity is operating cash flows from continuing operations, which, after netting out capital expenditures, we generally target to approximate net income from continuing operations attributable to common shareowners. For 2017, we expect this to approximate $3.0 billion to $3.5 billion.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78"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Our domestic pension funds experienced a positive return on assets of 10.42% during the first nine months of 2017. Approximately 90% of these domestic pension plans' funds are invested in readily-liquid investments, including equity, fixed income, asset-backed receivables and structured products. The balance of these domestic pension plans' funds (10%) is invested in less-liquid but market-valued investments, including real estate and private equity. As part of our long-term strategy to de-risk our defined benefit pension plans, we made discretionary contributions of approximately $1.9 billion to our domestic defined benefit pension plans in the quarter ended September 30, 2017. Across our global pension plans, the impact of the continued recognition of prior pension investment gains, 2016 actual returns on plan assets, pension contributions and lower discount rates for interest costs, offset by the lower discount rates for pension obligations, will result in a net periodic pension benefit in 2017 that is approximately $100 million favorable to 2016 amounts.</w:t>
      </w:r>
    </w:p>
    <w:p>
      <w:pPr>
        <w:spacing w:after="0" w:line="167" w:lineRule="exact"/>
        <w:rPr>
          <w:sz w:val="20"/>
          <w:szCs w:val="20"/>
          <w:color w:val="auto"/>
        </w:rPr>
      </w:pPr>
    </w:p>
    <w:p>
      <w:pPr>
        <w:ind w:right="20" w:firstLine="567"/>
        <w:spacing w:after="0" w:line="272" w:lineRule="auto"/>
        <w:rPr>
          <w:sz w:val="20"/>
          <w:szCs w:val="20"/>
          <w:color w:val="auto"/>
        </w:rPr>
      </w:pPr>
      <w:r>
        <w:rPr>
          <w:rFonts w:ascii="Arial" w:cs="Arial" w:eastAsia="Arial" w:hAnsi="Arial"/>
          <w:sz w:val="17"/>
          <w:szCs w:val="17"/>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Our debt-to-total-capitalization increased to 46% at September 30, 2017, primarily reflecting additional borrowings in 2017 used to fund the discretionary contributions to our domestic defined benefit pension plans, share repurchases and other general corporate purposes. We use our commercial paper borrowings for general corporate purposes, including the funding of potential acquisitions, discretionary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178" w:lineRule="exact"/>
        <w:rPr>
          <w:sz w:val="20"/>
          <w:szCs w:val="20"/>
          <w:color w:val="auto"/>
        </w:rPr>
      </w:pPr>
    </w:p>
    <w:p>
      <w:pPr>
        <w:ind w:right="40" w:firstLine="567"/>
        <w:spacing w:after="0" w:line="268" w:lineRule="auto"/>
        <w:rPr>
          <w:sz w:val="20"/>
          <w:szCs w:val="20"/>
          <w:color w:val="auto"/>
        </w:rPr>
      </w:pPr>
      <w:r>
        <w:rPr>
          <w:rFonts w:ascii="Arial" w:cs="Arial" w:eastAsia="Arial" w:hAnsi="Arial"/>
          <w:sz w:val="17"/>
          <w:szCs w:val="17"/>
          <w:color w:val="auto"/>
        </w:rPr>
        <w:t>On September 4, 2017, we announced that we had entered into a merger agreement with Rockwell Collins, under which we will acquire Rockwell Collins. Under the terms of the merger agreement, each Rockwell Collins shareowner will receive $93.33 per share in cash and a fraction of a share of UTC common stock equal to the quotient obtained by dividing $46.67 by the average of the volume-weighted average prices per share of UTC common stock on the NYSE on each of the 20 consecutive trading days ending with the trading day immediately prior to the closing date (the “UTC Stock Price”), subject to adjustment based on a two-way collar mechanism as described below (the “Stock Consideration”). The cash and UTC stock payable in exchange for each such share of Rockwell Collins common stock are collectively the “Merger Consideration.” The fraction of a share of UTC common stock into which each such share of Rockwell Collins common stock will be converted is the “Exchange Ratio.” The Exchange Ratio will be determined based upon the UTC Stock Price. If the UTC Stock Price is greater than $107.01 but less than $124.37, the Exchange Ratio will be equal to the quotient of (i) $46.67 divided by (ii) the UTC Stock Price, which, in each case, will result in the Stock Consideration having a value equal to $46.67. If the UTC Stock Price is less than or equal to $107.01 or greater than or equal to $124.37, then a two-way collar mechanism will apply, pursuant to which, (x) if the UTC Stock Price is greater than or equal to $124.37, the Exchange Ratio will be fixed at 0.37525 and the value of the Stock Consideration will be greater than $46.67, and (y) if the UTC Stock Price is less than or equal to $107.01, the Exchange Ratio will be fixed at 0.43613 and the value of the Stock Consideration will be less than $46.67. We currently expect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that the merger will be completed in the third quarter of 2018, subject to approval by Rockwell Collins’ shareowners, as well as other customary closing conditions, including the receipt of required regulatory approvals.</w:t>
      </w:r>
    </w:p>
    <w:p>
      <w:pPr>
        <w:spacing w:after="0" w:line="170"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We anticipate that approximately $15 billion will be required to pay the aggregate cash portion of the Merger Consideration. We expect to fund the cash portion of the Merger Consideration through debt issuances and cash on hand. We have entered into a $6.5 billion 364-day unsecured bridge loan credit agreement that would be funded only to the extent some or all of the anticipated debt issuances are not completed prior to the completion of the merger. Additionally, we expect to assume approximately $7 billion of existing Rockwell Collins long-term debt upon completion of the merger. To manage the cash flow and liquidity impacts of these actions, we have suspended share repurchases, excluding activity required under our equity award programs and employee savings plans.</w:t>
      </w:r>
    </w:p>
    <w:p>
      <w:pPr>
        <w:spacing w:after="0" w:line="193"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At September 30, 2017, we had revolving credit agreements with various banks permitting aggregate borrowings of up to $4.35 billion pursuant to a $2.20 billion revolving credit agreement and a $2.15 billion multicurrency revolving credit agreement, both of which expire in August 2021. As of September 30, 2017, there were no borrowings under these revolving credit agreements. The undrawn portions of these revolving credit agreements are also available to serve as backup facilities for the issuance of commercial paper. As of September 30, 2017, our maximum commercial paper borrowing limit was $4.35 billion.</w:t>
      </w:r>
    </w:p>
    <w:p>
      <w:pPr>
        <w:spacing w:after="0" w:line="80"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On May 4, 2017, we issued $1.0 billion aggregate principal amount of 1.900% notes due 2020, $500 million aggregate principal amount of 2.300% notes due 2022, $800 million aggregate principal amount of 2.800% notes due 2024, $1.1 billion aggregate principal amount of 3.125% notes due 2027 and $600 million aggregate principal amount of 4.050% notes due 2047. The net proceeds received from these debt issuances were used to fund the repayment at maturity of our 1.800% notes due 2017, representing $1.5 billion in aggregate principal and other general corporate purposes.</w:t>
      </w:r>
    </w:p>
    <w:p>
      <w:pPr>
        <w:spacing w:after="0" w:line="63" w:lineRule="exact"/>
        <w:rPr>
          <w:sz w:val="20"/>
          <w:szCs w:val="20"/>
          <w:color w:val="auto"/>
        </w:rPr>
      </w:pPr>
    </w:p>
    <w:p>
      <w:pPr>
        <w:ind w:right="160" w:firstLine="567"/>
        <w:spacing w:after="0" w:line="264" w:lineRule="auto"/>
        <w:rPr>
          <w:sz w:val="20"/>
          <w:szCs w:val="20"/>
          <w:color w:val="auto"/>
        </w:rPr>
      </w:pPr>
      <w:r>
        <w:rPr>
          <w:rFonts w:ascii="Arial" w:cs="Arial" w:eastAsia="Arial" w:hAnsi="Arial"/>
          <w:sz w:val="18"/>
          <w:szCs w:val="18"/>
          <w:color w:val="auto"/>
        </w:rPr>
        <w:t>On February 22, 2016, we issued €950 million aggregate principal amount of 1.125% notes due 2021, €500 million aggregate principal amount of 1.875% notes due 2026 and €750 million aggregate principal amount of floating rate notes due 2018. The net proceeds from these debt issuances were used for general corporate purposes.</w:t>
      </w:r>
    </w:p>
    <w:p>
      <w:pPr>
        <w:spacing w:after="0" w:line="181" w:lineRule="exact"/>
        <w:rPr>
          <w:sz w:val="20"/>
          <w:szCs w:val="20"/>
          <w:color w:val="auto"/>
        </w:rPr>
      </w:pPr>
    </w:p>
    <w:p>
      <w:pPr>
        <w:ind w:right="120" w:firstLine="567"/>
        <w:spacing w:after="0" w:line="291" w:lineRule="auto"/>
        <w:rPr>
          <w:sz w:val="20"/>
          <w:szCs w:val="20"/>
          <w:color w:val="auto"/>
        </w:rPr>
      </w:pPr>
      <w:r>
        <w:rPr>
          <w:rFonts w:ascii="Arial" w:cs="Arial" w:eastAsia="Arial" w:hAnsi="Arial"/>
          <w:sz w:val="16"/>
          <w:szCs w:val="16"/>
          <w:color w:val="auto"/>
        </w:rPr>
        <w:t>On November 6, 2015, we completed the sale of Sikorsky to Lockheed Martin Corp. for approximately $9.1 billion in cash. In connection with the sale of Sikorsky, we made tax payments of approximately $2.5 billion in 2016, primarily during the nine months ended September 30, 2016. On November 11, 2015, we entered into ASR agreements to repurchase an aggregate of $6 billion of our common stock utilizing the net after-tax proceeds from the sale of Sikorsky. Under the terms of the ASR agreements, we made the aggregate payments and received an initial delivery of approximately 51.9 million shares of our common stock, representing approximately 85% of the shares expected to be repurchased. The shares associated with the remaining portion of the aggregate purchase were settled upon final delivery to us of approximately 2.1 million additional shares of common stock in the quarter ended March 31, 2016 and approximately 8.0 million additional shares of common stock in the quarter ended September 30, 2016.</w:t>
      </w:r>
    </w:p>
    <w:p>
      <w:pPr>
        <w:spacing w:after="0" w:line="167"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At September 30, 2017, approximately 93% of our cash was held by UTC's foreign subsidiaries due to our extensive international operations.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78" w:lineRule="exact"/>
        <w:rPr>
          <w:sz w:val="20"/>
          <w:szCs w:val="20"/>
          <w:color w:val="auto"/>
        </w:rPr>
      </w:pPr>
    </w:p>
    <w:p>
      <w:pPr>
        <w:ind w:right="320" w:firstLine="567"/>
        <w:spacing w:after="0" w:line="259" w:lineRule="auto"/>
        <w:rPr>
          <w:sz w:val="20"/>
          <w:szCs w:val="20"/>
          <w:color w:val="auto"/>
        </w:rPr>
      </w:pPr>
      <w:r>
        <w:rPr>
          <w:rFonts w:ascii="Arial" w:cs="Arial" w:eastAsia="Arial" w:hAnsi="Arial"/>
          <w:sz w:val="18"/>
          <w:szCs w:val="18"/>
          <w:color w:val="auto"/>
        </w:rPr>
        <w:t>We continue to be involved in litigation with the German Tax Office in the German Tax Court with respect to certain tax benefits that we have claimed related to a 1998 reorganization of the corporate structure of Otis operations in Germany. We do not expect to make significant additional tax or interest payments pending final resolution of this matter. See Note 15 to the Condensed Consolidated Financial Statements for a further discussion of this German tax litigation.</w:t>
      </w:r>
    </w:p>
    <w:p>
      <w:pPr>
        <w:spacing w:after="0" w:line="187"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because of contractual obligations related to acquisitions or divestitures or other legal obligations. As of September 30, 2017 and December 31, 2016, the amount of such restricted cash was approximately $33 million and $32 million, respectively.</w:t>
      </w:r>
    </w:p>
    <w:p>
      <w:pPr>
        <w:spacing w:after="0" w:line="181" w:lineRule="exact"/>
        <w:rPr>
          <w:sz w:val="20"/>
          <w:szCs w:val="20"/>
          <w:color w:val="auto"/>
        </w:rPr>
      </w:pPr>
    </w:p>
    <w:p>
      <w:pPr>
        <w:ind w:right="240" w:firstLine="567"/>
        <w:spacing w:after="0" w:line="34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3,110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4,567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As part of our long-term strategy to de-risk our defined benefit pension plans, we made discretionary contributions of approximately $1.9 billion to our domestic defined benefit pension plans in the quarter ended September 30, 2017. Including the effects of this contribution, cash generated from operating activities of continuing operations in the nine months ended September 30, 2017 was $1,457 million lower than the same period in 2016. Cash outflows for working capital improved by $341 million in the nine months ended September 30, 2017 over the prior year period. In the nine months ended September 30, 2017, inventories increased approximately $1.2 billion, primarily in our aerospace businesses supporting an increase in forecasted OEM deliveries and related aftermarket demand, and at UTC Climate, Controls &amp; Security driven primarily by seasonal demand in our North American HVAC business and installation projects in process in our refrigeration businesses. These increases were more than offset by increases in accounts payable and accrued liabilities, primarily in the commercial engine business at Pratt &amp; Whitney. Accounts receivable increased primarily in our aerospace businesses, and were partially offset by increased customer advances at Pratt &amp; Whitney and Otis. Factoring activity provided an increase of approximately $400 million in cash generated from operating activities of continuing operations in the nine months ended September 30, 2017, as compared to the prior year period. This increase in factoring was driven largely by Pratt &amp; Whitney's temporary extension of contractual payment terms with certain commercial aerospace customers.</w:t>
      </w:r>
    </w:p>
    <w:p>
      <w:pPr>
        <w:spacing w:after="0" w:line="173" w:lineRule="exact"/>
        <w:rPr>
          <w:sz w:val="20"/>
          <w:szCs w:val="20"/>
          <w:color w:val="auto"/>
        </w:rPr>
      </w:pPr>
    </w:p>
    <w:p>
      <w:pPr>
        <w:ind w:right="140" w:firstLine="567"/>
        <w:spacing w:after="0" w:line="291" w:lineRule="auto"/>
        <w:rPr>
          <w:sz w:val="20"/>
          <w:szCs w:val="20"/>
          <w:color w:val="auto"/>
        </w:rPr>
      </w:pPr>
      <w:r>
        <w:rPr>
          <w:rFonts w:ascii="Arial" w:cs="Arial" w:eastAsia="Arial" w:hAnsi="Arial"/>
          <w:sz w:val="16"/>
          <w:szCs w:val="16"/>
          <w:color w:val="auto"/>
        </w:rPr>
        <w:t>In the nine months ended September 30, 2016, accounts receivable increased approximately $636 million, primarily in our aerospace businesses due to the growth in commercial aerospace OEM and aftermarket sales in the period. Factoring activity provided an increase of approximately $375 million in cash generated from operating activities of continuing operations in the quarter ended September 30, 2016, as compared to the prior year period, driven largely by Pratt &amp; Whitney's temporary extension of contractual payment terms with certain commercial aerospace customers. Increases in inventories were primarily in our aerospace businesses supporting an increase in customers' platform deliveries and related aftermarket demand, and were partially offset by increased accounts payable at these businesses and increased customer advances at Pratt &amp; Whitney and Otis. Increases in accrued liabilities were driven primarily by higher accruals related to taxes and interest due to the timing of payments.</w:t>
      </w:r>
    </w:p>
    <w:p>
      <w:pPr>
        <w:spacing w:after="0" w:line="167" w:lineRule="exact"/>
        <w:rPr>
          <w:sz w:val="20"/>
          <w:szCs w:val="20"/>
          <w:color w:val="auto"/>
        </w:rPr>
      </w:pPr>
    </w:p>
    <w:p>
      <w:pPr>
        <w:ind w:right="120" w:firstLine="567"/>
        <w:spacing w:after="0" w:line="273" w:lineRule="auto"/>
        <w:rPr>
          <w:sz w:val="20"/>
          <w:szCs w:val="20"/>
          <w:color w:val="auto"/>
        </w:rPr>
      </w:pPr>
      <w:r>
        <w:rPr>
          <w:rFonts w:ascii="Arial" w:cs="Arial" w:eastAsia="Arial" w:hAnsi="Arial"/>
          <w:sz w:val="17"/>
          <w:szCs w:val="17"/>
          <w:color w:val="auto"/>
        </w:rPr>
        <w:t>Our domestic defined benefit pension plans are approximately 98% funded on a projected benefit obligation basis as of September 30, 2017, and we are not required to make additional contributions through the end of 2025. 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nine months ended September 30, 2017 and 2016 were approximately $2 billion and $125 million, respectively. Contributions to our global defined benefit pension plans in 2017 are expected to meet or exceed current funding requirements.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Cash flows used in investing activities of continuing operations for the nine months ended September 30, 2017 and 2016 primarily reflect capital expenditures, cash investments in businesses, cash investments in customer financing assets, and payments related to our collaboration intangible assets and contractual rights to provide product on new aircraft platforms. In the nine months ended September 30, 2017, we realized net proceeds of $596 million from UTC Climate, Controls &amp; Security's sale of investments in Watsco, Inc.</w:t>
      </w:r>
    </w:p>
    <w:p>
      <w:pPr>
        <w:spacing w:after="0" w:line="187" w:lineRule="exact"/>
        <w:rPr>
          <w:sz w:val="20"/>
          <w:szCs w:val="20"/>
          <w:color w:val="auto"/>
        </w:rPr>
      </w:pPr>
    </w:p>
    <w:p>
      <w:pPr>
        <w:ind w:right="160" w:firstLine="567"/>
        <w:spacing w:after="0" w:line="259" w:lineRule="auto"/>
        <w:rPr>
          <w:sz w:val="20"/>
          <w:szCs w:val="20"/>
          <w:color w:val="auto"/>
        </w:rPr>
      </w:pPr>
      <w:r>
        <w:rPr>
          <w:rFonts w:ascii="Arial" w:cs="Arial" w:eastAsia="Arial" w:hAnsi="Arial"/>
          <w:sz w:val="18"/>
          <w:szCs w:val="18"/>
          <w:color w:val="auto"/>
        </w:rPr>
        <w:t>During the nine months ended September 30, 2017, our collaboration intangible assets increased by approximately $290 million, of which $252 million resulted from payments made under our 2012 agreement to acquire Rolls-Royce's collaboration interest in IAE. Capital expenditures for the nine months ended September 30, 2017 ($1,214 million) primarily relate to investments in production capacity at Pratt &amp; Whitney and UTC Aerospace Systems, as well as new facilities at Pratt &amp; Whitney and UTC Climate, Controls &amp; Security.</w:t>
      </w:r>
    </w:p>
    <w:p>
      <w:pPr>
        <w:spacing w:after="0" w:line="187" w:lineRule="exact"/>
        <w:rPr>
          <w:sz w:val="20"/>
          <w:szCs w:val="20"/>
          <w:color w:val="auto"/>
        </w:rPr>
      </w:pPr>
    </w:p>
    <w:p>
      <w:pPr>
        <w:ind w:right="60" w:firstLine="540"/>
        <w:spacing w:after="0" w:line="264" w:lineRule="auto"/>
        <w:rPr>
          <w:sz w:val="20"/>
          <w:szCs w:val="20"/>
          <w:color w:val="auto"/>
        </w:rPr>
      </w:pPr>
      <w:r>
        <w:rPr>
          <w:rFonts w:ascii="Arial" w:cs="Arial" w:eastAsia="Arial" w:hAnsi="Arial"/>
          <w:sz w:val="18"/>
          <w:szCs w:val="18"/>
          <w:color w:val="auto"/>
        </w:rPr>
        <w:t>Cash investments in businesses in the nine months ended September 30, 2017 ($196 million) consisted of a number of small acquisitions, primarily in our commercial businesses. We expect total cash investments for acquisitions in 2017 to be approximately $500 million to $1 billion, including acquisitions completed during the nine months ended September 30, 2017.</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However, actual acquisition spending may vary depending upon the timing, availability and appropriate value of acquisition opportunities.</w:t>
      </w:r>
    </w:p>
    <w:p>
      <w:pPr>
        <w:spacing w:after="0" w:line="225" w:lineRule="exact"/>
        <w:rPr>
          <w:sz w:val="20"/>
          <w:szCs w:val="20"/>
          <w:color w:val="auto"/>
        </w:rPr>
      </w:pPr>
    </w:p>
    <w:p>
      <w:pPr>
        <w:ind w:firstLine="540"/>
        <w:spacing w:after="0" w:line="293" w:lineRule="auto"/>
        <w:rPr>
          <w:sz w:val="20"/>
          <w:szCs w:val="20"/>
          <w:color w:val="auto"/>
        </w:rPr>
      </w:pPr>
      <w:r>
        <w:rPr>
          <w:rFonts w:ascii="Arial" w:cs="Arial" w:eastAsia="Arial" w:hAnsi="Arial"/>
          <w:sz w:val="16"/>
          <w:szCs w:val="16"/>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The settlement of these derivative instruments resulted in a net cash outflow of approximately $183 million and $29 million during the nine months ended September 30, 2017 and 2016, respectively.</w:t>
      </w:r>
    </w:p>
    <w:p>
      <w:pPr>
        <w:spacing w:after="0" w:line="165"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Customer financing activities were a net use of cash of $525 million, primarily driven by additional Geared Turbofan engines to support customer fleets, and $128 million for the nine months ended September 30, 2017 and 2016, respectively. While we expect that 2017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$13.9 billion at September 30, 2017 related to commercial aircraft and certain contractual rights to provide product on new aircraft platforms, of which up to $0.4 billion may be required to be disbursed during the remainder of 2017. We had commercial aerospace financing and other contractual commitments of approximately $14.4 billion at December 31, 2016.</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including approximately $2.5 billion and $2.3 billion of net long-term debt issuances in the nine months ended September 30, 2017 and 2016, respectively. Commercial paper borrowings and revolving credit facilities provide short-term liquidity to supplement operating cash flows and are used for general corporate purposes, including the funding of potential acquisitions and repurchases of our stock. We had approximately $0.9 billion of outstanding commercial paper at September 30, 2017.</w:t>
      </w:r>
    </w:p>
    <w:p>
      <w:pPr>
        <w:spacing w:after="0" w:line="188"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At September 30, 2017, management had remaining authority to repurchase approximately $2.3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We made cash payments of approximately $1,430 million to repurchase approximately 12.7 million shares of our common stock during the nine months ended September 30, 2017. We expect 2017 full year share repurchases to be approximately $1.5 billion. In connection with the merger agreement with Rockwell Collins announced on September 4, 2017, we have suspended share repurchases, excluding activity required under our equity award programs and employee savings plans.</w:t>
      </w:r>
    </w:p>
    <w:p>
      <w:pPr>
        <w:spacing w:after="0" w:line="179" w:lineRule="exact"/>
        <w:rPr>
          <w:sz w:val="20"/>
          <w:szCs w:val="20"/>
          <w:color w:val="auto"/>
        </w:rPr>
      </w:pPr>
    </w:p>
    <w:p>
      <w:pPr>
        <w:ind w:right="80" w:firstLine="567"/>
        <w:spacing w:after="0" w:line="312" w:lineRule="auto"/>
        <w:rPr>
          <w:sz w:val="20"/>
          <w:szCs w:val="20"/>
          <w:color w:val="auto"/>
        </w:rPr>
      </w:pPr>
      <w:r>
        <w:rPr>
          <w:rFonts w:ascii="Arial" w:cs="Arial" w:eastAsia="Arial" w:hAnsi="Arial"/>
          <w:sz w:val="16"/>
          <w:szCs w:val="16"/>
          <w:color w:val="auto"/>
        </w:rPr>
        <w:t>We paid dividends on common stock of $0.66 per share in both the first quarter and second quarter of 2017 and $0.70 per share in the third quarter of 2017, totaling approximately $1,541 million in the aggregate for the nine months ended September 30, 2017. On October 11, 2017, the Board of Directors declared a dividend of $0.70 per share payable December 10, 2017 to shareowners of record at the close of business on November 17, 2017.</w:t>
      </w:r>
    </w:p>
    <w:p>
      <w:pPr>
        <w:spacing w:after="0" w:line="147" w:lineRule="exact"/>
        <w:rPr>
          <w:sz w:val="20"/>
          <w:szCs w:val="20"/>
          <w:color w:val="auto"/>
        </w:rPr>
      </w:pPr>
    </w:p>
    <w:p>
      <w:pPr>
        <w:ind w:right="400" w:firstLine="567"/>
        <w:spacing w:after="0" w:line="277"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040" w:type="dxa"/>
            <w:vAlign w:val="bottom"/>
            <w:gridSpan w:val="4"/>
          </w:tcPr>
          <w:p>
            <w:pPr>
              <w:jc w:val="right"/>
              <w:ind w:right="2780"/>
              <w:spacing w:after="0"/>
              <w:rPr>
                <w:sz w:val="20"/>
                <w:szCs w:val="20"/>
                <w:color w:val="auto"/>
              </w:rPr>
            </w:pPr>
            <w:r>
              <w:rPr>
                <w:rFonts w:ascii="Arial" w:cs="Arial" w:eastAsia="Arial" w:hAnsi="Arial"/>
                <w:sz w:val="18"/>
                <w:szCs w:val="18"/>
                <w:b w:val="1"/>
                <w:bCs w:val="1"/>
                <w:i w:val="1"/>
                <w:iCs w:val="1"/>
                <w:color w:val="auto"/>
              </w:rPr>
              <w:t>Cash Flow - Discontinued Operations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3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6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Cash flows used in discontinued operations for the nine months ended September 30, 2016 primarily reflect the payment of taxes associated with the net gain realized on the sale of Sikorsky to Lockheed Martin Corp. in November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our 2016 Annual Report, incorporated by reference in our 2016 Form 10-K, we disclosed our off-balance sheet arrangements and contractual obligations. As of September 30, 2017, there have been no material changes to these off-balance sheet arrangements and contractual obligations outside the ordinary course of business.</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nine months ended September 30, 2017. For discussion of our exposure to market risk, refer to Part II, Item 7A, "Quantitative and Qualitative Disclosures About Market Risk," contained in our 2016 Form 10-K.</w:t>
      </w: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right="60" w:firstLine="432"/>
        <w:spacing w:after="0" w:line="284"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management, including the Chairman, President and Chief Executive Officer (CEO), the Executive Vice President &amp; Chief Financial Officer (CFO) and the Corporate Vice President, Controller (Controller), of the effectiveness of the design and operation of our disclosure controls and procedures as of September 30, 2017.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30, 2017,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90"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nine months ended September 30, 2017,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share repurchases and other measures of financial performance or potential future plans, strategies or transactions of United Technologies or the combined company following United Technologies’ proposed acquisition of Rockwell Collins, the anticipated benefits of the proposed acquisition, including estimated synergies, the expected timing of completion of the transaction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80" w:lineRule="exact"/>
        <w:rPr>
          <w:sz w:val="20"/>
          <w:szCs w:val="20"/>
          <w:color w:val="auto"/>
        </w:rPr>
      </w:pPr>
    </w:p>
    <w:p>
      <w:pPr>
        <w:ind w:left="740" w:right="60" w:hanging="327"/>
        <w:spacing w:after="0" w:line="302"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and Rockwell Collins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46" w:lineRule="exact"/>
        <w:rPr>
          <w:rFonts w:ascii="Arial" w:cs="Arial" w:eastAsia="Arial" w:hAnsi="Arial"/>
          <w:sz w:val="16"/>
          <w:szCs w:val="16"/>
          <w:color w:val="auto"/>
        </w:rPr>
      </w:pPr>
    </w:p>
    <w:p>
      <w:pPr>
        <w:ind w:left="740" w:right="140" w:hanging="327"/>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of advanced technologies and new products and services;</w:t>
      </w:r>
    </w:p>
    <w:p>
      <w:pPr>
        <w:spacing w:after="0" w:line="62" w:lineRule="exact"/>
        <w:rPr>
          <w:rFonts w:ascii="Arial" w:cs="Arial" w:eastAsia="Arial" w:hAnsi="Arial"/>
          <w:sz w:val="18"/>
          <w:szCs w:val="18"/>
          <w:color w:val="auto"/>
        </w:rPr>
      </w:pPr>
    </w:p>
    <w:p>
      <w:pPr>
        <w:ind w:left="740" w:hanging="327"/>
        <w:spacing w:after="0" w:line="26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integration of acquired businesses, including the proposed acquisition of Rockwell Collins, into UTC's existing businesses and realization of synergies and opportunities for growth and innovation;</w:t>
      </w:r>
    </w:p>
    <w:p>
      <w:pPr>
        <w:spacing w:after="0" w:line="73" w:lineRule="exact"/>
        <w:rPr>
          <w:rFonts w:ascii="Arial" w:cs="Arial" w:eastAsia="Arial" w:hAnsi="Arial"/>
          <w:sz w:val="18"/>
          <w:szCs w:val="18"/>
          <w:color w:val="auto"/>
        </w:rPr>
      </w:pPr>
    </w:p>
    <w:p>
      <w:pPr>
        <w:ind w:left="740" w:right="280" w:hanging="327"/>
        <w:spacing w:after="0" w:line="308"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future levels of indebtedness, including indebtedness expected to be incurred by UTC in connection with the proposed Rockwell Collins merger, and capital spending and research and development spending including in connection with the proposed Rockwell Collins merger;</w:t>
      </w:r>
    </w:p>
    <w:p>
      <w:pPr>
        <w:spacing w:after="0" w:line="38" w:lineRule="exact"/>
        <w:rPr>
          <w:rFonts w:ascii="Arial" w:cs="Arial" w:eastAsia="Arial" w:hAnsi="Arial"/>
          <w:sz w:val="17"/>
          <w:szCs w:val="17"/>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17" w:lineRule="exact"/>
        <w:rPr>
          <w:rFonts w:ascii="Arial" w:cs="Arial" w:eastAsia="Arial" w:hAnsi="Arial"/>
          <w:sz w:val="18"/>
          <w:szCs w:val="18"/>
          <w:color w:val="auto"/>
        </w:rPr>
      </w:pPr>
    </w:p>
    <w:p>
      <w:pPr>
        <w:ind w:left="740" w:right="400" w:hanging="327"/>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scope of future repurchases of our common stoc</w:t>
      </w:r>
      <w:r>
        <w:rPr>
          <w:rFonts w:ascii="Arial" w:cs="Arial" w:eastAsia="Arial" w:hAnsi="Arial"/>
          <w:sz w:val="16"/>
          <w:szCs w:val="16"/>
          <w:color w:val="auto"/>
        </w:rPr>
        <w:t>k,</w:t>
      </w:r>
      <w:r>
        <w:rPr>
          <w:rFonts w:ascii="Arial" w:cs="Arial" w:eastAsia="Arial" w:hAnsi="Arial"/>
          <w:sz w:val="18"/>
          <w:szCs w:val="18"/>
          <w:color w:val="auto"/>
        </w:rPr>
        <w:t xml:space="preserve"> which may be suspended at any time due to various factors, including market conditions and the level of other investing activities and uses of cash;</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17" w:lineRule="exact"/>
        <w:rPr>
          <w:rFonts w:ascii="Arial" w:cs="Arial" w:eastAsia="Arial" w:hAnsi="Arial"/>
          <w:sz w:val="18"/>
          <w:szCs w:val="18"/>
          <w:color w:val="auto"/>
        </w:rPr>
      </w:pPr>
    </w:p>
    <w:p>
      <w:pPr>
        <w:ind w:left="740" w:right="440" w:hanging="327"/>
        <w:spacing w:after="0" w:line="26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and Rockwell Collins operate, including the effect of changes in U.S. trade policies or the U.K.'s pending withdrawal from the EU, on general market conditions, global trade policies and currency exchange rates in the near term and beyond; and</w:t>
      </w:r>
    </w:p>
    <w:p>
      <w:pPr>
        <w:spacing w:after="0" w:line="73" w:lineRule="exact"/>
        <w:rPr>
          <w:rFonts w:ascii="Arial" w:cs="Arial" w:eastAsia="Arial" w:hAnsi="Arial"/>
          <w:sz w:val="18"/>
          <w:szCs w:val="18"/>
          <w:color w:val="auto"/>
        </w:rPr>
      </w:pPr>
    </w:p>
    <w:p>
      <w:pPr>
        <w:ind w:left="740" w:right="100" w:hanging="327"/>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(including among other things import/export) and other laws and regulations in the U.S. and other countries in which we and Rockwell Collins operate;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740" w:right="100" w:hanging="327"/>
        <w:spacing w:after="0" w:line="286"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UTC and Rockwell Collins to receive the required regulatory approvals (and the risk that such approvals may result in the imposition of conditions that could adversely affect the combined company or the expected benefits of the merger) and approval by the Rockwell Collins shareowners and to satisfy the other conditions to the closing of the proposed merger on a timely basis or at all;</w:t>
      </w:r>
    </w:p>
    <w:p>
      <w:pPr>
        <w:spacing w:after="0" w:line="57" w:lineRule="exact"/>
        <w:rPr>
          <w:rFonts w:ascii="Arial" w:cs="Arial" w:eastAsia="Arial" w:hAnsi="Arial"/>
          <w:sz w:val="17"/>
          <w:szCs w:val="17"/>
          <w:color w:val="auto"/>
        </w:rPr>
      </w:pPr>
    </w:p>
    <w:p>
      <w:pPr>
        <w:ind w:left="740" w:right="220" w:hanging="327"/>
        <w:spacing w:after="0" w:line="342"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occurrence of events that may give rise to a right of one or both of UTC or Rockwell Collins to terminate the merger agreement, including on circumstances that might require Rockwell Collins to pay a termination fee of $695 million to UTC or $50 million of expense reimbursement;</w:t>
      </w:r>
    </w:p>
    <w:p>
      <w:pPr>
        <w:spacing w:after="0" w:line="15" w:lineRule="exact"/>
        <w:rPr>
          <w:rFonts w:ascii="Arial" w:cs="Arial" w:eastAsia="Arial" w:hAnsi="Arial"/>
          <w:sz w:val="16"/>
          <w:szCs w:val="16"/>
          <w:color w:val="auto"/>
        </w:rPr>
      </w:pPr>
    </w:p>
    <w:p>
      <w:pPr>
        <w:ind w:left="740" w:right="20" w:hanging="327"/>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effects of the announcement or the completion of the merger on the market price of UTC’s and/or Rockwell Collins’ common stock and/or on their respective financial performance;</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risks related to Rockwell Collins and UTC being restricted in its operation of the business while the merger agreement is in effect;</w:t>
      </w:r>
    </w:p>
    <w:p>
      <w:pPr>
        <w:spacing w:after="0" w:line="117" w:lineRule="exact"/>
        <w:rPr>
          <w:rFonts w:ascii="Arial" w:cs="Arial" w:eastAsia="Arial" w:hAnsi="Arial"/>
          <w:sz w:val="18"/>
          <w:szCs w:val="18"/>
          <w:color w:val="auto"/>
        </w:rPr>
      </w:pPr>
    </w:p>
    <w:p>
      <w:pPr>
        <w:ind w:left="740" w:right="520" w:hanging="327"/>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the value of the UTC’s shares to be issued in connection with the proposed Rockwell merger, significant merger costs and/or unknown liabilities;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risks associated with third-party contracts containing consent and/or other provisions that may be triggered by the Rockwell merger agreement;</w:t>
      </w:r>
    </w:p>
    <w:p>
      <w:pPr>
        <w:spacing w:after="0" w:line="140" w:lineRule="exact"/>
        <w:rPr>
          <w:rFonts w:ascii="Arial" w:cs="Arial" w:eastAsia="Arial" w:hAnsi="Arial"/>
          <w:sz w:val="16"/>
          <w:szCs w:val="16"/>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potential merger-related litigation or appraisal proceedings; and</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UTC and Rockwell Collins, or the combined company, to retain and hire key personnel.</w:t>
      </w:r>
    </w:p>
    <w:p>
      <w:pPr>
        <w:spacing w:after="0" w:line="117" w:lineRule="exact"/>
        <w:rPr>
          <w:sz w:val="20"/>
          <w:szCs w:val="20"/>
          <w:color w:val="auto"/>
        </w:rPr>
      </w:pPr>
    </w:p>
    <w:p>
      <w:pPr>
        <w:ind w:left="60" w:firstLine="648"/>
        <w:spacing w:after="0" w:line="268" w:lineRule="auto"/>
        <w:rPr>
          <w:sz w:val="20"/>
          <w:szCs w:val="20"/>
          <w:color w:val="auto"/>
        </w:rPr>
      </w:pPr>
      <w:r>
        <w:rPr>
          <w:rFonts w:ascii="Arial" w:cs="Arial" w:eastAsia="Arial" w:hAnsi="Arial"/>
          <w:sz w:val="17"/>
          <w:szCs w:val="17"/>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 15: Contingent Liabilities," the section titled "Management's Discussion and Analysis of Financial Condition and Results of Operations" under the headings "Business Overview," "Results of Operations," "Liquidity and Financial Condition," and "Critical Accounting Estimates," and the sections titled "Legal Proceedings" and "Risk Factors" in this Form 10-Q and in our 2016 Annual Report and 2016 Form 10-K. Additional important information as to these factors is included in our 2016 Annual Report in the section titled "Management's Discussion and Analysis of Financial Condition and Results of Operations" under the headings "Restructuring Costs," "Environmental Matters" and "Governmental Matters", in our 2016 Form 10-K in the "Business" section under the headings "General," "Description of Business by Segment" and "Other Matters Relating to Our Business as a Whole" and in our Form S-4 Registration Statement (Registration No. 333-220883) under the heading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15: Contingent Liabilities, for discussion regarding legal proceedings.</w:t>
      </w:r>
    </w:p>
    <w:p>
      <w:pPr>
        <w:spacing w:after="0" w:line="22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2016 Form 10-K and Part II, Item 1 "Legal Proceedings" of our 2017 Form 10-Q (Q1) and 2017 Form 10-Q (Q2).</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Except as noted below, there have been no material changes in the Company's risk factors from those disclosed in Part I, Item 1A, Risk Factors, in our 2016 Form 10-K.</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Risks Relating to our Pending Acquisition of Rockwell Collins</w:t>
      </w:r>
    </w:p>
    <w:p>
      <w:pPr>
        <w:spacing w:after="0" w:line="2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complete the acquisition of Rockwell Collins or complete the acquisition within the time frame we anticipate; the acquired business may underperform relative to our expectations; the acquisition may cause our financial results to</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differ from our expectations or the expectations of the investment community; we may not be able to achieve anticipated cost savings or other anticipated synergies.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completion of the acquisition of Rockwell Collins is subject to a number of conditions. The failure to satisfy all of the required conditions could delay the completion of the acquisition for a significant period of time or prevent it from occurring at all. Any delay in completing the acquisition could cause UTC not to realize some or all of the benefits, or realize them on a different timeline than expected, that UTC expects to achieve if the acquisition is successfully completed within the expected timeframe. In addition, the terms and conditions of the required regulatory authorizations and consents for the acquisition that are granted, if any, may impose requirements, limitations or costs or place restrictions on the conduct of the combined company’s business or may materially delay the completion of the acquisition.</w:t>
      </w:r>
    </w:p>
    <w:p>
      <w:pPr>
        <w:spacing w:after="0" w:line="1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success of the acquisition will depend, in part, on UTC’s ability to successfully combine and integrate the businesses of UTC and Rockwell Collins, and realize the anticipated benefits, including synergies, cost savings, innovation opportunities and operational efficiencies, from the acquisition. If UTC is unable to achieve these objectives within the anticipated time frame, or at all, the anticipated benefits may not be realized fully or at all, or may take longer to realize than expected, and the value of UTC’s common stock may decline.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integration of the two companies may result in material challenges, including, without limitation:</w:t>
      </w:r>
    </w:p>
    <w:p>
      <w:pPr>
        <w:spacing w:after="0" w:line="225" w:lineRule="exact"/>
        <w:rPr>
          <w:sz w:val="20"/>
          <w:szCs w:val="20"/>
          <w:color w:val="auto"/>
        </w:rPr>
      </w:pPr>
    </w:p>
    <w:p>
      <w:pPr>
        <w:ind w:left="660" w:right="2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performance shortfalls at one or both of the companies as a result of the devotion of management’s attention to the acquisition;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a larger combined aerospace systems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including customers, suppliers and employees and other counterparties, as may be impacted by contracts containing consent and/or other provisions that may be triggered by the acquisition, and attracting new business and operational relationships;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issues in integrating information technology, communications and other systems;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acquisition.</w:t>
      </w:r>
    </w:p>
    <w:p>
      <w:pPr>
        <w:spacing w:after="0" w:line="200" w:lineRule="exact"/>
        <w:rPr>
          <w:sz w:val="20"/>
          <w:szCs w:val="20"/>
          <w:color w:val="auto"/>
        </w:rPr>
      </w:pPr>
    </w:p>
    <w:p>
      <w:pPr>
        <w:spacing w:after="0" w:line="3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September 30, 2017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119.48</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277</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August 1 - August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118.63</w:t>
            </w:r>
          </w:p>
        </w:tc>
        <w:tc>
          <w:tcPr>
            <w:tcW w:w="22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168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9"/>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114.04</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118.51</w:t>
            </w:r>
          </w:p>
        </w:tc>
        <w:tc>
          <w:tcPr>
            <w:tcW w:w="2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On October 14, 2015, our Board of Directors authorized a share repurchase program for up to $12 billion of our common stock, replacing the program announced on July 19, 2015. At September 30, 2017, the maximum dollar value of shares that may yet be purchased under this current program was approximately $2,316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No shares were reacquired in transactions outside the program during the quarter ended September 30, 2017.</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On September 4, 2017, we announced that we had entered into a merger agreement with Rockwell Collins, under which we will acquire Rockwell Collins. To manage the cash flow and liquidity impacts of these actions, we have suspended share repurchases, excluding activity required under our equity award programs and employee savings plans.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10220" w:type="dxa"/>
            <w:vAlign w:val="bottom"/>
            <w:gridSpan w:val="8"/>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80" w:type="dxa"/>
            <w:vAlign w:val="bottom"/>
          </w:tcPr>
          <w:p>
            <w:pPr>
              <w:spacing w:after="0"/>
              <w:rPr>
                <w:sz w:val="24"/>
                <w:szCs w:val="24"/>
                <w:color w:val="auto"/>
              </w:rPr>
            </w:pPr>
          </w:p>
        </w:tc>
        <w:tc>
          <w:tcPr>
            <w:tcW w:w="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24"/>
                <w:szCs w:val="24"/>
                <w:color w:val="auto"/>
              </w:rPr>
            </w:pPr>
          </w:p>
        </w:tc>
        <w:tc>
          <w:tcPr>
            <w:tcW w:w="1022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1022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80" w:type="dxa"/>
            <w:vAlign w:val="bottom"/>
            <w:tcBorders>
              <w:top w:val="single" w:sz="8" w:color="auto"/>
            </w:tcBorders>
            <w:gridSpan w:val="3"/>
          </w:tcPr>
          <w:p>
            <w:pPr>
              <w:ind w:left="180"/>
              <w:spacing w:after="0"/>
              <w:rPr>
                <w:rFonts w:ascii="Arial" w:cs="Arial" w:eastAsia="Arial" w:hAnsi="Arial"/>
                <w:sz w:val="18"/>
                <w:szCs w:val="18"/>
                <w:color w:val="0000FF"/>
              </w:rPr>
            </w:pPr>
            <w:hyperlink r:id="rId11">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20" w:type="dxa"/>
            <w:vAlign w:val="bottom"/>
            <w:tcBorders>
              <w:top w:val="single" w:sz="8" w:color="auto"/>
            </w:tcBorders>
            <w:gridSpan w:val="8"/>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Agreement and Plan of Merger, dated as of September 4, 2017, by and among United Technologies Corporation, Riveter Merger Sub Corp.</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11">
              <w:r>
                <w:rPr>
                  <w:rFonts w:ascii="Arial" w:cs="Arial" w:eastAsia="Arial" w:hAnsi="Arial"/>
                  <w:sz w:val="18"/>
                  <w:szCs w:val="18"/>
                  <w:color w:val="0000FF"/>
                  <w:w w:val="92"/>
                </w:rPr>
                <w:t>and Rockwell Collins, Inc., incorporated by reference to UTC’s Current report on Form 8-K (Commission file number 1-812) filed with the</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8"/>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SEC on September 6, 2017.</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ind w:left="180"/>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12</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Statement re: computation of ratio of earnings to fixed charges.*</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ind w:left="180"/>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15</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Letter re: unaudited interim financial information.*</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3"/>
          </w:tcPr>
          <w:p>
            <w:pPr>
              <w:ind w:left="180"/>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8"/>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Rule 13a-14(a)/15d-14(a) Certification.*</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3"/>
          </w:tcPr>
          <w:p>
            <w:pPr>
              <w:ind w:left="180"/>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Rule 13a-14(a)/15d-14(a) Certification.*</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3"/>
          </w:tcPr>
          <w:p>
            <w:pPr>
              <w:ind w:left="180"/>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3</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8"/>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Rule 13a-14(a)/15d-14(a) Certification.*</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ind w:left="180"/>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32</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8"/>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Section 1350 Certifications.*</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60" w:type="dxa"/>
            <w:vAlign w:val="bottom"/>
            <w:gridSpan w:val="5"/>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(File name: utx-20170930.xml)</w:t>
            </w:r>
          </w:p>
        </w:tc>
        <w:tc>
          <w:tcPr>
            <w:tcW w:w="0" w:type="dxa"/>
            <w:vAlign w:val="bottom"/>
          </w:tcPr>
          <w:p>
            <w:pPr>
              <w:spacing w:after="0"/>
              <w:rPr>
                <w:sz w:val="1"/>
                <w:szCs w:val="1"/>
                <w:color w:val="auto"/>
              </w:rPr>
            </w:pPr>
          </w:p>
        </w:tc>
      </w:tr>
      <w:tr>
        <w:trPr>
          <w:trHeight w:val="377"/>
        </w:trPr>
        <w:tc>
          <w:tcPr>
            <w:tcW w:w="1160" w:type="dxa"/>
            <w:vAlign w:val="bottom"/>
            <w:gridSpan w:val="5"/>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(File name: utx-20170930.xsd)</w:t>
            </w:r>
          </w:p>
        </w:tc>
        <w:tc>
          <w:tcPr>
            <w:tcW w:w="0" w:type="dxa"/>
            <w:vAlign w:val="bottom"/>
          </w:tcPr>
          <w:p>
            <w:pPr>
              <w:spacing w:after="0"/>
              <w:rPr>
                <w:sz w:val="1"/>
                <w:szCs w:val="1"/>
                <w:color w:val="auto"/>
              </w:rPr>
            </w:pPr>
          </w:p>
        </w:tc>
      </w:tr>
      <w:tr>
        <w:trPr>
          <w:trHeight w:val="377"/>
        </w:trPr>
        <w:tc>
          <w:tcPr>
            <w:tcW w:w="1160" w:type="dxa"/>
            <w:vAlign w:val="bottom"/>
            <w:gridSpan w:val="5"/>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(File name: utx-20170930_cal.xml)</w:t>
            </w:r>
          </w:p>
        </w:tc>
        <w:tc>
          <w:tcPr>
            <w:tcW w:w="0" w:type="dxa"/>
            <w:vAlign w:val="bottom"/>
          </w:tcPr>
          <w:p>
            <w:pPr>
              <w:spacing w:after="0"/>
              <w:rPr>
                <w:sz w:val="1"/>
                <w:szCs w:val="1"/>
                <w:color w:val="auto"/>
              </w:rPr>
            </w:pPr>
          </w:p>
        </w:tc>
      </w:tr>
      <w:tr>
        <w:trPr>
          <w:trHeight w:val="377"/>
        </w:trPr>
        <w:tc>
          <w:tcPr>
            <w:tcW w:w="1160" w:type="dxa"/>
            <w:vAlign w:val="bottom"/>
            <w:gridSpan w:val="5"/>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(File name: utx-20170930_def.xml)</w:t>
            </w:r>
          </w:p>
        </w:tc>
        <w:tc>
          <w:tcPr>
            <w:tcW w:w="0" w:type="dxa"/>
            <w:vAlign w:val="bottom"/>
          </w:tcPr>
          <w:p>
            <w:pPr>
              <w:spacing w:after="0"/>
              <w:rPr>
                <w:sz w:val="1"/>
                <w:szCs w:val="1"/>
                <w:color w:val="auto"/>
              </w:rPr>
            </w:pPr>
          </w:p>
        </w:tc>
      </w:tr>
      <w:tr>
        <w:trPr>
          <w:trHeight w:val="377"/>
        </w:trPr>
        <w:tc>
          <w:tcPr>
            <w:tcW w:w="1160" w:type="dxa"/>
            <w:vAlign w:val="bottom"/>
            <w:gridSpan w:val="5"/>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(File name: utx-20170930_lab.xml)</w:t>
            </w:r>
          </w:p>
        </w:tc>
        <w:tc>
          <w:tcPr>
            <w:tcW w:w="0" w:type="dxa"/>
            <w:vAlign w:val="bottom"/>
          </w:tcPr>
          <w:p>
            <w:pPr>
              <w:spacing w:after="0"/>
              <w:rPr>
                <w:sz w:val="1"/>
                <w:szCs w:val="1"/>
                <w:color w:val="auto"/>
              </w:rPr>
            </w:pPr>
          </w:p>
        </w:tc>
      </w:tr>
      <w:tr>
        <w:trPr>
          <w:trHeight w:val="377"/>
        </w:trPr>
        <w:tc>
          <w:tcPr>
            <w:tcW w:w="1160" w:type="dxa"/>
            <w:vAlign w:val="bottom"/>
            <w:gridSpan w:val="5"/>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(File name: utx-20170930_pre.xml)</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Operations for the quarters and nine months ended September 30, 2017 and 2016, (ii) Condensed Consolidated Statements of Comprehensive Income for the quarters and nine months ended September 30, 2017 and 2016, (iii) Condensed Consolidated Balance Sheets as of September 30, 2017 and December 31, 2016, (iv) Condensed Consolidated Statements of Cash Flows for the nine months ended September 30, 2017 and 2016, and (v) Notes to Condensed Consolidated Financial Statements.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Executive Vice President &amp; Chief Financial Officer</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Robert J. Bailey</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Corporate Vice President,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122" w:right="339" w:bottom="1440" w:gutter="0" w:footer="0" w:header="0"/>
        </w:sectPr>
      </w:pPr>
    </w:p>
    <w:bookmarkStart w:id="49" w:name="page50"/>
    <w:bookmarkEnd w:id="49"/>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6,915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40" w:hanging="332"/>
        <w:spacing w:after="0" w:line="232"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$21 million and $31 million for the nine months ended September 30, 2017 and 2016, respectively. The ratio of earnings to fixed charges would have been 8.11 and 8.06 for the nine months ended September 30, 2017 and 2016, respectively, if such interest were excluded from the calculation.</w:t>
      </w:r>
    </w:p>
    <w:p>
      <w:pPr>
        <w:spacing w:after="0" w:line="9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aware that our report dated October 27, 2017 on our review of interim financial information of United Technologies Corporation (the "Corporation") for the three-month and nine-month periods ended September 30, 2017 and 2016 and included in the Corporation's quarterly report on Form 10-Q for the quarter ended September 30, 2017 is incorporated by reference in its Registration Statement on Form S-3 (No. 333-211035) and in its Registration Statements on Form S-8 (Nos. 333-207193, 333-197704, 333-183123, 333-177517, 333-175781, 333-150643, 333-125293, 333-110020, 333-100724, 333-100723, 333-100718 and 033-51385).</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4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October 27, 2017</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October 27, 2017</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&amp; 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J. Bailey, certify that:</w:t>
      </w:r>
    </w:p>
    <w:p>
      <w:pPr>
        <w:spacing w:after="0" w:line="17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October 27, 2017</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Corporate Vice President, Controller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147"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Quarterly Report on Form 10-Q for the quarter ended September 30, 2017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27, 2017</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27, 2017</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27, 2017</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Corporate Vice President,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2"/>
      <w:numFmt w:val="bullet"/>
      <w:start w:val="1"/>
    </w:lvl>
  </w:abstractNum>
  <w:abstractNum w:abstractNumId="4">
    <w:nsid w:val="4E6AFB66"/>
    <w:multiLevelType w:val="hybridMultilevel"/>
    <w:lvl w:ilvl="0">
      <w:lvlJc w:val="left"/>
      <w:lvlText w:val="3"/>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bullet"/>
      <w:start w:val="1"/>
    </w:lvl>
  </w:abstractNum>
  <w:abstractNum w:abstractNumId="24">
    <w:nsid w:val="189A769B"/>
    <w:multiLevelType w:val="hybridMultilevel"/>
    <w:lvl w:ilvl="0">
      <w:lvlJc w:val="left"/>
      <w:lvlText w:val="2"/>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1" Type="http://schemas.openxmlformats.org/officeDocument/2006/relationships/hyperlink" Target="http://www.sec.gov/Archives/edgar/data/101829/000119312517277881/d450418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2019-12-29T04:02:25Z</dcterms:created>
  <dcterms:modified xsi:type="dcterms:W3CDTF">2019-12-29T04:02:25Z</dcterms:modified>
</cp:coreProperties>
</file>