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rFonts w:ascii="Arial" w:cs="Arial" w:eastAsia="Arial" w:hAnsi="Arial"/>
          <w:sz w:val="18"/>
          <w:szCs w:val="18"/>
          <w:b w:val="1"/>
          <w:bCs w:val="1"/>
          <w:u w:val="single" w:color="auto"/>
          <w:color w:val="0000EE"/>
        </w:rPr>
      </w:pPr>
      <w:hyperlink w:anchor="page2">
        <w:r>
          <w:rPr>
            <w:rFonts w:ascii="Arial" w:cs="Arial" w:eastAsia="Arial" w:hAnsi="Arial"/>
            <w:sz w:val="18"/>
            <w:szCs w:val="18"/>
            <w:b w:val="1"/>
            <w:bCs w:val="1"/>
            <w:u w:val="single" w:color="auto"/>
            <w:color w:val="0000EE"/>
          </w:rPr>
          <w:t>Table of Contents</w:t>
        </w:r>
      </w:hyperlink>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205740</wp:posOffset>
            </wp:positionV>
            <wp:extent cx="7246620" cy="88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231140</wp:posOffset>
            </wp:positionV>
            <wp:extent cx="724662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357" w:lineRule="exact"/>
        <w:rPr>
          <w:sz w:val="24"/>
          <w:szCs w:val="24"/>
          <w:color w:val="auto"/>
        </w:rPr>
      </w:pPr>
    </w:p>
    <w:p>
      <w:pPr>
        <w:jc w:val="center"/>
        <w:ind w:right="-239"/>
        <w:spacing w:after="0"/>
        <w:rPr>
          <w:sz w:val="20"/>
          <w:szCs w:val="20"/>
          <w:color w:val="auto"/>
        </w:rPr>
      </w:pPr>
      <w:r>
        <w:rPr>
          <w:rFonts w:ascii="Arial" w:cs="Arial" w:eastAsia="Arial" w:hAnsi="Arial"/>
          <w:sz w:val="32"/>
          <w:szCs w:val="32"/>
          <w:b w:val="1"/>
          <w:bCs w:val="1"/>
          <w:color w:val="auto"/>
        </w:rPr>
        <w:t>UNITED STATES</w:t>
      </w:r>
    </w:p>
    <w:p>
      <w:pPr>
        <w:spacing w:after="0" w:line="31" w:lineRule="exact"/>
        <w:rPr>
          <w:sz w:val="24"/>
          <w:szCs w:val="24"/>
          <w:color w:val="auto"/>
        </w:rPr>
      </w:pPr>
    </w:p>
    <w:p>
      <w:pPr>
        <w:jc w:val="center"/>
        <w:ind w:right="-239"/>
        <w:spacing w:after="0"/>
        <w:rPr>
          <w:sz w:val="20"/>
          <w:szCs w:val="20"/>
          <w:color w:val="auto"/>
        </w:rPr>
      </w:pPr>
      <w:r>
        <w:rPr>
          <w:rFonts w:ascii="Arial" w:cs="Arial" w:eastAsia="Arial" w:hAnsi="Arial"/>
          <w:sz w:val="32"/>
          <w:szCs w:val="32"/>
          <w:b w:val="1"/>
          <w:bCs w:val="1"/>
          <w:color w:val="auto"/>
        </w:rPr>
        <w:t>SECURITIES AND EXCHANGE COMMISSION</w:t>
      </w:r>
    </w:p>
    <w:p>
      <w:pPr>
        <w:jc w:val="center"/>
        <w:ind w:right="-239"/>
        <w:spacing w:after="0"/>
        <w:rPr>
          <w:sz w:val="20"/>
          <w:szCs w:val="20"/>
          <w:color w:val="auto"/>
        </w:rPr>
      </w:pPr>
      <w:r>
        <w:rPr>
          <w:rFonts w:ascii="Arial" w:cs="Arial" w:eastAsia="Arial" w:hAnsi="Arial"/>
          <w:sz w:val="22"/>
          <w:szCs w:val="22"/>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2869565</wp:posOffset>
            </wp:positionH>
            <wp:positionV relativeFrom="paragraph">
              <wp:posOffset>184785</wp:posOffset>
            </wp:positionV>
            <wp:extent cx="151765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200" w:lineRule="exact"/>
        <w:rPr>
          <w:sz w:val="24"/>
          <w:szCs w:val="24"/>
          <w:color w:val="auto"/>
        </w:rPr>
      </w:pPr>
    </w:p>
    <w:p>
      <w:pPr>
        <w:spacing w:after="0" w:line="205" w:lineRule="exact"/>
        <w:rPr>
          <w:sz w:val="24"/>
          <w:szCs w:val="24"/>
          <w:color w:val="auto"/>
        </w:rPr>
      </w:pPr>
    </w:p>
    <w:p>
      <w:pPr>
        <w:jc w:val="center"/>
        <w:ind w:right="-239"/>
        <w:spacing w:after="0"/>
        <w:rPr>
          <w:sz w:val="20"/>
          <w:szCs w:val="20"/>
          <w:color w:val="auto"/>
        </w:rPr>
      </w:pPr>
      <w:r>
        <w:rPr>
          <w:rFonts w:ascii="Arial" w:cs="Arial" w:eastAsia="Arial" w:hAnsi="Arial"/>
          <w:sz w:val="32"/>
          <w:szCs w:val="32"/>
          <w:b w:val="1"/>
          <w:bCs w:val="1"/>
          <w:color w:val="auto"/>
        </w:rPr>
        <w:t>FORM 10-Q</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2869565</wp:posOffset>
            </wp:positionH>
            <wp:positionV relativeFrom="paragraph">
              <wp:posOffset>203835</wp:posOffset>
            </wp:positionV>
            <wp:extent cx="1517650"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200" w:lineRule="exact"/>
        <w:rPr>
          <w:sz w:val="24"/>
          <w:szCs w:val="24"/>
          <w:color w:val="auto"/>
        </w:rPr>
      </w:pPr>
    </w:p>
    <w:p>
      <w:pPr>
        <w:spacing w:after="0" w:line="317" w:lineRule="exact"/>
        <w:rPr>
          <w:sz w:val="24"/>
          <w:szCs w:val="24"/>
          <w:color w:val="auto"/>
        </w:rPr>
      </w:pPr>
    </w:p>
    <w:p>
      <w:pPr>
        <w:ind w:left="580" w:right="100" w:hanging="572"/>
        <w:spacing w:after="0" w:line="256" w:lineRule="auto"/>
        <w:tabs>
          <w:tab w:leader="none" w:pos="580" w:val="left"/>
        </w:tabs>
        <w:numPr>
          <w:ilvl w:val="0"/>
          <w:numId w:val="1"/>
        </w:numPr>
        <w:rPr>
          <w:rFonts w:ascii="MS PGothic" w:cs="MS PGothic" w:eastAsia="MS PGothic" w:hAnsi="MS PGothic"/>
          <w:sz w:val="22"/>
          <w:szCs w:val="22"/>
          <w:color w:val="auto"/>
          <w:highlight w:val="black"/>
        </w:rPr>
      </w:pPr>
      <w:r>
        <w:rPr>
          <w:rFonts w:ascii="Arial" w:cs="Arial" w:eastAsia="Arial" w:hAnsi="Arial"/>
          <w:sz w:val="22"/>
          <w:szCs w:val="22"/>
          <w:b w:val="1"/>
          <w:bCs w:val="1"/>
          <w:color w:val="auto"/>
        </w:rPr>
        <w:t>QUARTERLY REPORT PURSUANT TO SECTION 13 OR 15(d) OF THE SECURITIES EXCHANGE ACT OF 1934</w:t>
      </w:r>
    </w:p>
    <w:p>
      <w:pPr>
        <w:spacing w:after="0" w:line="122" w:lineRule="exact"/>
        <w:rPr>
          <w:sz w:val="24"/>
          <w:szCs w:val="24"/>
          <w:color w:val="auto"/>
        </w:rPr>
      </w:pPr>
    </w:p>
    <w:p>
      <w:pPr>
        <w:ind w:left="580"/>
        <w:spacing w:after="0"/>
        <w:rPr>
          <w:sz w:val="20"/>
          <w:szCs w:val="20"/>
          <w:color w:val="auto"/>
        </w:rPr>
      </w:pPr>
      <w:r>
        <w:rPr>
          <w:rFonts w:ascii="Arial" w:cs="Arial" w:eastAsia="Arial" w:hAnsi="Arial"/>
          <w:sz w:val="18"/>
          <w:szCs w:val="18"/>
          <w:b w:val="1"/>
          <w:bCs w:val="1"/>
          <w:color w:val="auto"/>
        </w:rPr>
        <w:t>For the quarterly period ended June 30, 2008</w:t>
      </w:r>
    </w:p>
    <w:p>
      <w:pPr>
        <w:spacing w:after="0" w:line="171" w:lineRule="exact"/>
        <w:rPr>
          <w:sz w:val="24"/>
          <w:szCs w:val="24"/>
          <w:color w:val="auto"/>
        </w:rPr>
      </w:pPr>
    </w:p>
    <w:p>
      <w:pPr>
        <w:jc w:val="center"/>
        <w:ind w:right="-239"/>
        <w:spacing w:after="0"/>
        <w:rPr>
          <w:sz w:val="20"/>
          <w:szCs w:val="20"/>
          <w:color w:val="auto"/>
        </w:rPr>
      </w:pPr>
      <w:r>
        <w:rPr>
          <w:rFonts w:ascii="Arial" w:cs="Arial" w:eastAsia="Arial" w:hAnsi="Arial"/>
          <w:sz w:val="18"/>
          <w:szCs w:val="18"/>
          <w:b w:val="1"/>
          <w:bCs w:val="1"/>
          <w:color w:val="auto"/>
        </w:rPr>
        <w:t>OR</w:t>
      </w:r>
    </w:p>
    <w:p>
      <w:pPr>
        <w:spacing w:after="0" w:line="199" w:lineRule="exact"/>
        <w:rPr>
          <w:sz w:val="24"/>
          <w:szCs w:val="24"/>
          <w:color w:val="auto"/>
        </w:rPr>
      </w:pPr>
    </w:p>
    <w:p>
      <w:pPr>
        <w:ind w:left="580" w:right="100" w:hanging="572"/>
        <w:spacing w:after="0" w:line="256" w:lineRule="auto"/>
        <w:tabs>
          <w:tab w:leader="none" w:pos="580" w:val="left"/>
        </w:tabs>
        <w:numPr>
          <w:ilvl w:val="0"/>
          <w:numId w:val="2"/>
        </w:numPr>
        <w:rPr>
          <w:rFonts w:ascii="MS PGothic" w:cs="MS PGothic" w:eastAsia="MS PGothic" w:hAnsi="MS PGothic"/>
          <w:sz w:val="22"/>
          <w:szCs w:val="22"/>
          <w:color w:val="auto"/>
          <w:highlight w:val="black"/>
        </w:rPr>
      </w:pPr>
      <w:r>
        <w:rPr>
          <w:rFonts w:ascii="Arial" w:cs="Arial" w:eastAsia="Arial" w:hAnsi="Arial"/>
          <w:sz w:val="22"/>
          <w:szCs w:val="22"/>
          <w:b w:val="1"/>
          <w:bCs w:val="1"/>
          <w:color w:val="auto"/>
        </w:rPr>
        <w:t>TRANSITION REPORT PURSUANT TO SECTION 13 OR 15(d) OF THE SECURITIES EXCHANGE ACT OF 1934</w:t>
      </w:r>
    </w:p>
    <w:p>
      <w:pPr>
        <w:spacing w:after="0" w:line="122" w:lineRule="exact"/>
        <w:rPr>
          <w:sz w:val="24"/>
          <w:szCs w:val="24"/>
          <w:color w:val="auto"/>
        </w:rPr>
      </w:pPr>
    </w:p>
    <w:p>
      <w:pPr>
        <w:ind w:left="580"/>
        <w:spacing w:after="0"/>
        <w:tabs>
          <w:tab w:leader="none" w:pos="3440" w:val="left"/>
        </w:tabs>
        <w:rPr>
          <w:sz w:val="20"/>
          <w:szCs w:val="20"/>
          <w:color w:val="auto"/>
        </w:rPr>
      </w:pPr>
      <w:r>
        <w:rPr>
          <w:rFonts w:ascii="Arial" w:cs="Arial" w:eastAsia="Arial" w:hAnsi="Arial"/>
          <w:sz w:val="18"/>
          <w:szCs w:val="18"/>
          <w:b w:val="1"/>
          <w:bCs w:val="1"/>
          <w:color w:val="auto"/>
        </w:rPr>
        <w:t>For the transition period from</w:t>
      </w:r>
      <w:r>
        <w:rPr>
          <w:sz w:val="20"/>
          <w:szCs w:val="20"/>
          <w:color w:val="auto"/>
        </w:rPr>
        <w:tab/>
      </w:r>
      <w:r>
        <w:rPr>
          <w:rFonts w:ascii="Arial" w:cs="Arial" w:eastAsia="Arial" w:hAnsi="Arial"/>
          <w:sz w:val="14"/>
          <w:szCs w:val="14"/>
          <w:b w:val="1"/>
          <w:bCs w:val="1"/>
          <w:color w:val="auto"/>
        </w:rPr>
        <w:t>to</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1836420</wp:posOffset>
            </wp:positionH>
            <wp:positionV relativeFrom="paragraph">
              <wp:posOffset>-10160</wp:posOffset>
            </wp:positionV>
            <wp:extent cx="817245"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817245" cy="8890"/>
                    </a:xfrm>
                    <a:prstGeom prst="rect">
                      <a:avLst/>
                    </a:prstGeom>
                    <a:noFill/>
                  </pic:spPr>
                </pic:pic>
              </a:graphicData>
            </a:graphic>
          </wp:anchor>
        </w:drawing>
      </w:r>
    </w:p>
    <w:p>
      <w:pPr>
        <w:spacing w:after="0" w:line="151" w:lineRule="exact"/>
        <w:rPr>
          <w:sz w:val="24"/>
          <w:szCs w:val="24"/>
          <w:color w:val="auto"/>
        </w:rPr>
      </w:pPr>
    </w:p>
    <w:p>
      <w:pPr>
        <w:jc w:val="center"/>
        <w:ind w:right="-239"/>
        <w:spacing w:after="0"/>
        <w:rPr>
          <w:sz w:val="20"/>
          <w:szCs w:val="20"/>
          <w:color w:val="auto"/>
        </w:rPr>
      </w:pPr>
      <w:r>
        <w:rPr>
          <w:rFonts w:ascii="Arial" w:cs="Arial" w:eastAsia="Arial" w:hAnsi="Arial"/>
          <w:sz w:val="18"/>
          <w:szCs w:val="18"/>
          <w:b w:val="1"/>
          <w:bCs w:val="1"/>
          <w:color w:val="auto"/>
        </w:rPr>
        <w:t>Commission file number 1-812</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2869565</wp:posOffset>
            </wp:positionH>
            <wp:positionV relativeFrom="paragraph">
              <wp:posOffset>194945</wp:posOffset>
            </wp:positionV>
            <wp:extent cx="1517650"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200" w:lineRule="exact"/>
        <w:rPr>
          <w:sz w:val="24"/>
          <w:szCs w:val="24"/>
          <w:color w:val="auto"/>
        </w:rPr>
      </w:pPr>
    </w:p>
    <w:p>
      <w:pPr>
        <w:spacing w:after="0" w:line="219" w:lineRule="exact"/>
        <w:rPr>
          <w:sz w:val="24"/>
          <w:szCs w:val="24"/>
          <w:color w:val="auto"/>
        </w:rPr>
      </w:pPr>
    </w:p>
    <w:p>
      <w:pPr>
        <w:ind w:left="1380"/>
        <w:spacing w:after="0"/>
        <w:rPr>
          <w:sz w:val="20"/>
          <w:szCs w:val="20"/>
          <w:color w:val="auto"/>
        </w:rPr>
      </w:pPr>
      <w:r>
        <w:rPr>
          <w:rFonts w:ascii="Arial" w:cs="Arial" w:eastAsia="Arial" w:hAnsi="Arial"/>
          <w:sz w:val="43"/>
          <w:szCs w:val="43"/>
          <w:b w:val="1"/>
          <w:bCs w:val="1"/>
          <w:color w:val="auto"/>
        </w:rPr>
        <w:t>UNITED TECHNOLOGIES CORPORATION</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2869565</wp:posOffset>
            </wp:positionH>
            <wp:positionV relativeFrom="paragraph">
              <wp:posOffset>219710</wp:posOffset>
            </wp:positionV>
            <wp:extent cx="1517650"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200" w:lineRule="exact"/>
        <w:rPr>
          <w:sz w:val="24"/>
          <w:szCs w:val="24"/>
          <w:color w:val="auto"/>
        </w:rPr>
      </w:pPr>
    </w:p>
    <w:p>
      <w:pPr>
        <w:spacing w:after="0" w:line="354" w:lineRule="exact"/>
        <w:rPr>
          <w:sz w:val="24"/>
          <w:szCs w:val="24"/>
          <w:color w:val="auto"/>
        </w:rPr>
      </w:pPr>
    </w:p>
    <w:tbl>
      <w:tblPr>
        <w:tblLayout w:type="fixed"/>
        <w:tblInd w:w="2360" w:type="dxa"/>
        <w:tblCellMar>
          <w:top w:w="0" w:type="dxa"/>
          <w:left w:w="0" w:type="dxa"/>
          <w:bottom w:w="0" w:type="dxa"/>
          <w:right w:w="0" w:type="dxa"/>
        </w:tblCellMar>
      </w:tblPr>
      <w:tr>
        <w:trPr>
          <w:trHeight w:val="228"/>
        </w:trPr>
        <w:tc>
          <w:tcPr>
            <w:tcW w:w="3460" w:type="dxa"/>
            <w:vAlign w:val="bottom"/>
          </w:tcPr>
          <w:p>
            <w:pPr>
              <w:spacing w:after="0"/>
              <w:rPr>
                <w:sz w:val="20"/>
                <w:szCs w:val="20"/>
                <w:color w:val="auto"/>
              </w:rPr>
            </w:pPr>
            <w:r>
              <w:rPr>
                <w:rFonts w:ascii="Arial" w:cs="Arial" w:eastAsia="Arial" w:hAnsi="Arial"/>
                <w:sz w:val="18"/>
                <w:szCs w:val="18"/>
                <w:b w:val="1"/>
                <w:bCs w:val="1"/>
                <w:color w:val="auto"/>
              </w:rPr>
              <w:t>DELAWARE</w:t>
            </w:r>
          </w:p>
        </w:tc>
        <w:tc>
          <w:tcPr>
            <w:tcW w:w="3280" w:type="dxa"/>
            <w:vAlign w:val="bottom"/>
          </w:tcPr>
          <w:p>
            <w:pPr>
              <w:jc w:val="right"/>
              <w:spacing w:after="0"/>
              <w:rPr>
                <w:sz w:val="20"/>
                <w:szCs w:val="20"/>
                <w:color w:val="auto"/>
              </w:rPr>
            </w:pPr>
            <w:r>
              <w:rPr>
                <w:rFonts w:ascii="Arial" w:cs="Arial" w:eastAsia="Arial" w:hAnsi="Arial"/>
                <w:sz w:val="18"/>
                <w:szCs w:val="18"/>
                <w:b w:val="1"/>
                <w:bCs w:val="1"/>
                <w:color w:val="auto"/>
              </w:rPr>
              <w:t>06-0570975</w:t>
            </w:r>
          </w:p>
        </w:tc>
      </w:tr>
    </w:tbl>
    <w:p>
      <w:pPr>
        <w:spacing w:after="0" w:line="150" w:lineRule="exact"/>
        <w:rPr>
          <w:sz w:val="24"/>
          <w:szCs w:val="24"/>
          <w:color w:val="auto"/>
        </w:rPr>
      </w:pPr>
    </w:p>
    <w:p>
      <w:pPr>
        <w:jc w:val="center"/>
        <w:ind w:right="-239"/>
        <w:spacing w:after="0"/>
        <w:rPr>
          <w:sz w:val="20"/>
          <w:szCs w:val="20"/>
          <w:color w:val="auto"/>
        </w:rPr>
      </w:pPr>
      <w:r>
        <w:rPr>
          <w:rFonts w:ascii="Arial" w:cs="Arial" w:eastAsia="Arial" w:hAnsi="Arial"/>
          <w:sz w:val="18"/>
          <w:szCs w:val="18"/>
          <w:b w:val="1"/>
          <w:bCs w:val="1"/>
          <w:color w:val="auto"/>
        </w:rPr>
        <w:t>One Financial Plaza, Hartford, Connecticut 06103</w:t>
      </w:r>
    </w:p>
    <w:p>
      <w:pPr>
        <w:spacing w:after="0" w:line="21" w:lineRule="exact"/>
        <w:rPr>
          <w:sz w:val="24"/>
          <w:szCs w:val="24"/>
          <w:color w:val="auto"/>
        </w:rPr>
      </w:pPr>
    </w:p>
    <w:p>
      <w:pPr>
        <w:jc w:val="center"/>
        <w:ind w:right="-239"/>
        <w:spacing w:after="0"/>
        <w:rPr>
          <w:sz w:val="20"/>
          <w:szCs w:val="20"/>
          <w:color w:val="auto"/>
        </w:rPr>
      </w:pPr>
      <w:r>
        <w:rPr>
          <w:rFonts w:ascii="Arial" w:cs="Arial" w:eastAsia="Arial" w:hAnsi="Arial"/>
          <w:sz w:val="18"/>
          <w:szCs w:val="18"/>
          <w:b w:val="1"/>
          <w:bCs w:val="1"/>
          <w:color w:val="auto"/>
        </w:rPr>
        <w:t>(860) 728-7000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2869565</wp:posOffset>
            </wp:positionH>
            <wp:positionV relativeFrom="paragraph">
              <wp:posOffset>187325</wp:posOffset>
            </wp:positionV>
            <wp:extent cx="1517650"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200" w:lineRule="exact"/>
        <w:rPr>
          <w:sz w:val="24"/>
          <w:szCs w:val="24"/>
          <w:color w:val="auto"/>
        </w:rPr>
      </w:pPr>
    </w:p>
    <w:p>
      <w:pPr>
        <w:spacing w:after="0" w:line="242" w:lineRule="exact"/>
        <w:rPr>
          <w:sz w:val="24"/>
          <w:szCs w:val="24"/>
          <w:color w:val="auto"/>
        </w:rPr>
      </w:pPr>
    </w:p>
    <w:p>
      <w:pPr>
        <w:spacing w:after="0" w:line="229" w:lineRule="exact"/>
        <w:rPr>
          <w:sz w:val="20"/>
          <w:szCs w:val="20"/>
          <w:color w:val="auto"/>
        </w:rPr>
      </w:pPr>
      <w:r>
        <w:rPr>
          <w:rFonts w:ascii="Arial" w:cs="Arial" w:eastAsia="Arial" w:hAnsi="Arial"/>
          <w:sz w:val="18"/>
          <w:szCs w:val="18"/>
          <w:color w:val="auto"/>
        </w:rPr>
        <w:t xml:space="preserve">Indicate by check mark whether the registrant (1) has filed all reports required to be filed by Section 13 or 15(d) of the Securities Exchange Act of 1934 during the preceding 12 months, and (2) has been subject to such filing requirements for the past 90 days. Yes </w:t>
      </w:r>
      <w:r>
        <w:rPr>
          <w:rFonts w:ascii="MS PGothic" w:cs="MS PGothic" w:eastAsia="MS PGothic" w:hAnsi="MS PGothic"/>
          <w:sz w:val="18"/>
          <w:szCs w:val="18"/>
          <w:color w:val="auto"/>
        </w:rPr>
        <w:t>☒</w:t>
      </w:r>
      <w:r>
        <w:rPr>
          <w:rFonts w:ascii="Arial" w:cs="Arial" w:eastAsia="Arial" w:hAnsi="Arial"/>
          <w:sz w:val="18"/>
          <w:szCs w:val="18"/>
          <w:color w:val="auto"/>
        </w:rPr>
        <w:t xml:space="preserve">. No </w:t>
      </w:r>
      <w:r>
        <w:rPr>
          <w:rFonts w:ascii="MS PGothic" w:cs="MS PGothic" w:eastAsia="MS PGothic" w:hAnsi="MS PGothic"/>
          <w:sz w:val="18"/>
          <w:szCs w:val="18"/>
          <w:color w:val="auto"/>
        </w:rPr>
        <w:t>☐</w:t>
      </w:r>
      <w:r>
        <w:rPr>
          <w:rFonts w:ascii="Arial" w:cs="Arial" w:eastAsia="Arial" w:hAnsi="Arial"/>
          <w:sz w:val="18"/>
          <w:szCs w:val="18"/>
          <w:color w:val="auto"/>
        </w:rPr>
        <w:t>.</w:t>
      </w:r>
    </w:p>
    <w:p>
      <w:pPr>
        <w:spacing w:after="0" w:line="137" w:lineRule="exact"/>
        <w:rPr>
          <w:sz w:val="24"/>
          <w:szCs w:val="24"/>
          <w:color w:val="auto"/>
        </w:rPr>
      </w:pPr>
    </w:p>
    <w:p>
      <w:pPr>
        <w:ind w:right="180"/>
        <w:spacing w:after="0" w:line="332" w:lineRule="auto"/>
        <w:rPr>
          <w:sz w:val="20"/>
          <w:szCs w:val="20"/>
          <w:color w:val="auto"/>
        </w:rPr>
      </w:pPr>
      <w:r>
        <w:rPr>
          <w:rFonts w:ascii="Arial" w:cs="Arial" w:eastAsia="Arial" w:hAnsi="Arial"/>
          <w:sz w:val="16"/>
          <w:szCs w:val="16"/>
          <w:color w:val="auto"/>
        </w:rPr>
        <w:t>Indicate by check mark whether the registrant is a large accelerated filer, an accelerated filer, a non-accelerated filer, or a smaller reporting company. See the definitions of “large accelerated filer,” “accelerated filer” and “smaller reporting company” in Rule 12b-2 of the Exchange Act. (Check one):</w:t>
      </w:r>
    </w:p>
    <w:p>
      <w:pPr>
        <w:spacing w:after="0" w:line="53" w:lineRule="exact"/>
        <w:rPr>
          <w:sz w:val="24"/>
          <w:szCs w:val="24"/>
          <w:color w:val="auto"/>
        </w:rPr>
      </w:pPr>
    </w:p>
    <w:p>
      <w:pPr>
        <w:spacing w:after="0" w:line="207" w:lineRule="exact"/>
        <w:tabs>
          <w:tab w:leader="none" w:pos="1980" w:val="left"/>
          <w:tab w:leader="none" w:pos="3580" w:val="left"/>
          <w:tab w:leader="none" w:pos="5500" w:val="left"/>
        </w:tabs>
        <w:rPr>
          <w:sz w:val="20"/>
          <w:szCs w:val="20"/>
          <w:color w:val="auto"/>
        </w:rPr>
      </w:pPr>
      <w:r>
        <w:rPr>
          <w:rFonts w:ascii="Arial" w:cs="Arial" w:eastAsia="Arial" w:hAnsi="Arial"/>
          <w:sz w:val="18"/>
          <w:szCs w:val="18"/>
          <w:color w:val="auto"/>
        </w:rPr>
        <w:t xml:space="preserve">Large accelerated filer </w:t>
      </w:r>
      <w:r>
        <w:rPr>
          <w:rFonts w:ascii="MS PGothic" w:cs="MS PGothic" w:eastAsia="MS PGothic" w:hAnsi="MS PGothic"/>
          <w:sz w:val="18"/>
          <w:szCs w:val="18"/>
          <w:color w:val="auto"/>
        </w:rPr>
        <w:t>☒</w:t>
      </w:r>
      <w:r>
        <w:rPr>
          <w:rFonts w:ascii="Arial" w:cs="Arial" w:eastAsia="Arial" w:hAnsi="Arial"/>
          <w:sz w:val="18"/>
          <w:szCs w:val="18"/>
          <w:color w:val="auto"/>
        </w:rPr>
        <w:tab/>
        <w:t xml:space="preserve">Accelerated filer </w:t>
      </w:r>
      <w:r>
        <w:rPr>
          <w:rFonts w:ascii="MS PGothic" w:cs="MS PGothic" w:eastAsia="MS PGothic" w:hAnsi="MS PGothic"/>
          <w:sz w:val="18"/>
          <w:szCs w:val="18"/>
          <w:color w:val="auto"/>
        </w:rPr>
        <w:t>☐</w:t>
      </w:r>
      <w:r>
        <w:rPr>
          <w:rFonts w:ascii="Arial" w:cs="Arial" w:eastAsia="Arial" w:hAnsi="Arial"/>
          <w:sz w:val="18"/>
          <w:szCs w:val="18"/>
          <w:color w:val="auto"/>
        </w:rPr>
        <w:tab/>
        <w:t xml:space="preserve">Non-accelerated filer </w:t>
      </w:r>
      <w:r>
        <w:rPr>
          <w:rFonts w:ascii="MS PGothic" w:cs="MS PGothic" w:eastAsia="MS PGothic" w:hAnsi="MS PGothic"/>
          <w:sz w:val="18"/>
          <w:szCs w:val="18"/>
          <w:color w:val="auto"/>
        </w:rPr>
        <w:t>☐</w:t>
      </w:r>
      <w:r>
        <w:rPr>
          <w:sz w:val="20"/>
          <w:szCs w:val="20"/>
          <w:color w:val="auto"/>
        </w:rPr>
        <w:tab/>
      </w:r>
      <w:r>
        <w:rPr>
          <w:rFonts w:ascii="Arial" w:cs="Arial" w:eastAsia="Arial" w:hAnsi="Arial"/>
          <w:sz w:val="16"/>
          <w:szCs w:val="16"/>
          <w:color w:val="auto"/>
        </w:rPr>
        <w:t xml:space="preserve">Smaller reporting company </w:t>
      </w:r>
      <w:r>
        <w:rPr>
          <w:rFonts w:ascii="MS PGothic" w:cs="MS PGothic" w:eastAsia="MS PGothic" w:hAnsi="MS PGothic"/>
          <w:sz w:val="16"/>
          <w:szCs w:val="16"/>
          <w:color w:val="auto"/>
        </w:rPr>
        <w:t>☐</w:t>
      </w:r>
    </w:p>
    <w:p>
      <w:pPr>
        <w:spacing w:after="0" w:line="171" w:lineRule="exact"/>
        <w:rPr>
          <w:sz w:val="24"/>
          <w:szCs w:val="24"/>
          <w:color w:val="auto"/>
        </w:rPr>
      </w:pPr>
    </w:p>
    <w:p>
      <w:pPr>
        <w:spacing w:after="0" w:line="207" w:lineRule="exact"/>
        <w:tabs>
          <w:tab w:leader="none" w:pos="8140" w:val="left"/>
          <w:tab w:leader="none" w:pos="8860" w:val="left"/>
        </w:tabs>
        <w:rPr>
          <w:sz w:val="20"/>
          <w:szCs w:val="20"/>
          <w:color w:val="auto"/>
        </w:rPr>
      </w:pPr>
      <w:r>
        <w:rPr>
          <w:rFonts w:ascii="Arial" w:cs="Arial" w:eastAsia="Arial" w:hAnsi="Arial"/>
          <w:sz w:val="16"/>
          <w:szCs w:val="16"/>
          <w:color w:val="auto"/>
        </w:rPr>
        <w:t>Indicate by check mark whether the registrant is a shell company (as defined in Rule 12b-2 of the Exchange Act).</w:t>
      </w:r>
      <w:r>
        <w:rPr>
          <w:sz w:val="20"/>
          <w:szCs w:val="20"/>
          <w:color w:val="auto"/>
        </w:rPr>
        <w:tab/>
      </w:r>
      <w:r>
        <w:rPr>
          <w:rFonts w:ascii="Arial" w:cs="Arial" w:eastAsia="Arial" w:hAnsi="Arial"/>
          <w:sz w:val="18"/>
          <w:szCs w:val="18"/>
          <w:color w:val="auto"/>
        </w:rPr>
        <w:t xml:space="preserve">Yes </w:t>
      </w:r>
      <w:r>
        <w:rPr>
          <w:rFonts w:ascii="MS PGothic" w:cs="MS PGothic" w:eastAsia="MS PGothic" w:hAnsi="MS PGothic"/>
          <w:sz w:val="18"/>
          <w:szCs w:val="18"/>
          <w:color w:val="auto"/>
        </w:rPr>
        <w:t>☐</w:t>
      </w:r>
      <w:r>
        <w:rPr>
          <w:rFonts w:ascii="Arial" w:cs="Arial" w:eastAsia="Arial" w:hAnsi="Arial"/>
          <w:sz w:val="18"/>
          <w:szCs w:val="18"/>
          <w:color w:val="auto"/>
        </w:rPr>
        <w:t>.</w:t>
      </w:r>
      <w:r>
        <w:rPr>
          <w:sz w:val="20"/>
          <w:szCs w:val="20"/>
          <w:color w:val="auto"/>
        </w:rPr>
        <w:tab/>
      </w:r>
      <w:r>
        <w:rPr>
          <w:rFonts w:ascii="Arial" w:cs="Arial" w:eastAsia="Arial" w:hAnsi="Arial"/>
          <w:sz w:val="16"/>
          <w:szCs w:val="16"/>
          <w:color w:val="auto"/>
        </w:rPr>
        <w:t xml:space="preserve">No </w:t>
      </w:r>
      <w:r>
        <w:rPr>
          <w:rFonts w:ascii="MS PGothic" w:cs="MS PGothic" w:eastAsia="MS PGothic" w:hAnsi="MS PGothic"/>
          <w:sz w:val="16"/>
          <w:szCs w:val="16"/>
          <w:color w:val="auto"/>
        </w:rPr>
        <w:t>☒</w:t>
      </w:r>
      <w:r>
        <w:rPr>
          <w:rFonts w:ascii="Arial" w:cs="Arial" w:eastAsia="Arial" w:hAnsi="Arial"/>
          <w:sz w:val="16"/>
          <w:szCs w:val="16"/>
          <w:color w:val="auto"/>
        </w:rPr>
        <w:t>.</w:t>
      </w:r>
    </w:p>
    <w:p>
      <w:pPr>
        <w:spacing w:after="0" w:line="204" w:lineRule="exact"/>
        <w:rPr>
          <w:sz w:val="24"/>
          <w:szCs w:val="24"/>
          <w:color w:val="auto"/>
        </w:rPr>
      </w:pPr>
    </w:p>
    <w:p>
      <w:pPr>
        <w:spacing w:after="0"/>
        <w:rPr>
          <w:sz w:val="20"/>
          <w:szCs w:val="20"/>
          <w:color w:val="auto"/>
        </w:rPr>
      </w:pPr>
      <w:r>
        <w:rPr>
          <w:rFonts w:ascii="Arial" w:cs="Arial" w:eastAsia="Arial" w:hAnsi="Arial"/>
          <w:sz w:val="18"/>
          <w:szCs w:val="18"/>
          <w:color w:val="auto"/>
        </w:rPr>
        <w:t>At June 30, 2008, there were 964,356,806 shares of Common Stock outstanding.</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88265</wp:posOffset>
            </wp:positionV>
            <wp:extent cx="7246620"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114300</wp:posOffset>
            </wp:positionV>
            <wp:extent cx="7246620" cy="889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180"/>
          </w:cols>
          <w:pgMar w:left="240" w:top="230" w:right="479" w:bottom="1440" w:gutter="0" w:footer="0" w:header="0"/>
        </w:sectPr>
      </w:pPr>
    </w:p>
    <w:bookmarkStart w:id="1" w:name="page2"/>
    <w:bookmarkEnd w:id="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UNITED TECHNOLOGIES CORPORATION</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AND SUBSIDIARIES</w:t>
      </w:r>
    </w:p>
    <w:p>
      <w:pPr>
        <w:spacing w:after="0" w:line="15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CONTENTS OF QUARTERLY REPORT ON FORM 10-Q</w:t>
      </w:r>
    </w:p>
    <w:p>
      <w:pPr>
        <w:spacing w:after="0" w:line="17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Quarter Ended June 30, 2008</w:t>
      </w:r>
    </w:p>
    <w:p>
      <w:pPr>
        <w:spacing w:after="0" w:line="213"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4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9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3220" w:type="dxa"/>
            <w:vAlign w:val="bottom"/>
          </w:tcPr>
          <w:p>
            <w:pPr>
              <w:spacing w:after="0"/>
              <w:rPr>
                <w:sz w:val="14"/>
                <w:szCs w:val="14"/>
                <w:color w:val="auto"/>
              </w:rPr>
            </w:pPr>
          </w:p>
        </w:tc>
        <w:tc>
          <w:tcPr>
            <w:tcW w:w="28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w w:val="77"/>
              </w:rPr>
              <w:t>Page</w:t>
            </w:r>
          </w:p>
        </w:tc>
      </w:tr>
      <w:tr>
        <w:trPr>
          <w:trHeight w:val="277"/>
        </w:trPr>
        <w:tc>
          <w:tcPr>
            <w:tcW w:w="2080" w:type="dxa"/>
            <w:vAlign w:val="bottom"/>
            <w:tcBorders>
              <w:bottom w:val="single" w:sz="8" w:color="0000EE"/>
            </w:tcBorders>
            <w:gridSpan w:val="8"/>
          </w:tcPr>
          <w:p>
            <w:pPr>
              <w:spacing w:after="0"/>
              <w:rPr>
                <w:rFonts w:ascii="Arial" w:cs="Arial" w:eastAsia="Arial" w:hAnsi="Arial"/>
                <w:sz w:val="18"/>
                <w:szCs w:val="18"/>
                <w:color w:val="0000EE"/>
                <w:w w:val="91"/>
              </w:rPr>
            </w:pPr>
            <w:hyperlink w:anchor="page3">
              <w:r>
                <w:rPr>
                  <w:rFonts w:ascii="Arial" w:cs="Arial" w:eastAsia="Arial" w:hAnsi="Arial"/>
                  <w:sz w:val="18"/>
                  <w:szCs w:val="18"/>
                  <w:color w:val="0000EE"/>
                  <w:w w:val="91"/>
                </w:rPr>
                <w:t>Part I - Financial Information</w:t>
              </w:r>
            </w:hyperlink>
          </w:p>
        </w:tc>
        <w:tc>
          <w:tcPr>
            <w:tcW w:w="9060" w:type="dxa"/>
            <w:vAlign w:val="bottom"/>
            <w:gridSpan w:val="14"/>
          </w:tcPr>
          <w:p>
            <w:pPr>
              <w:spacing w:after="0"/>
              <w:rPr>
                <w:sz w:val="24"/>
                <w:szCs w:val="24"/>
                <w:color w:val="auto"/>
              </w:rPr>
            </w:pPr>
          </w:p>
        </w:tc>
        <w:tc>
          <w:tcPr>
            <w:tcW w:w="280" w:type="dxa"/>
            <w:vAlign w:val="bottom"/>
          </w:tcPr>
          <w:p>
            <w:pPr>
              <w:jc w:val="right"/>
              <w:spacing w:after="0"/>
              <w:rPr>
                <w:sz w:val="20"/>
                <w:szCs w:val="20"/>
                <w:color w:val="auto"/>
              </w:rPr>
            </w:pPr>
            <w:r>
              <w:rPr>
                <w:rFonts w:ascii="Arial" w:cs="Arial" w:eastAsia="Arial" w:hAnsi="Arial"/>
                <w:sz w:val="18"/>
                <w:szCs w:val="18"/>
                <w:color w:val="auto"/>
              </w:rPr>
              <w:t>3</w:t>
            </w:r>
          </w:p>
        </w:tc>
      </w:tr>
      <w:tr>
        <w:trPr>
          <w:trHeight w:val="304"/>
        </w:trPr>
        <w:tc>
          <w:tcPr>
            <w:tcW w:w="440" w:type="dxa"/>
            <w:vAlign w:val="bottom"/>
          </w:tcPr>
          <w:p>
            <w:pPr>
              <w:spacing w:after="0"/>
              <w:rPr>
                <w:sz w:val="24"/>
                <w:szCs w:val="24"/>
                <w:color w:val="auto"/>
              </w:rPr>
            </w:pPr>
          </w:p>
        </w:tc>
        <w:tc>
          <w:tcPr>
            <w:tcW w:w="10700" w:type="dxa"/>
            <w:vAlign w:val="bottom"/>
            <w:gridSpan w:val="21"/>
          </w:tcPr>
          <w:p>
            <w:pPr>
              <w:spacing w:after="0"/>
              <w:rPr>
                <w:rFonts w:ascii="Arial" w:cs="Arial" w:eastAsia="Arial" w:hAnsi="Arial"/>
                <w:sz w:val="18"/>
                <w:szCs w:val="18"/>
                <w:color w:val="0000EE"/>
              </w:rPr>
            </w:pPr>
            <w:hyperlink w:anchor="page3">
              <w:r>
                <w:rPr>
                  <w:rFonts w:ascii="Arial" w:cs="Arial" w:eastAsia="Arial" w:hAnsi="Arial"/>
                  <w:sz w:val="18"/>
                  <w:szCs w:val="18"/>
                  <w:color w:val="0000EE"/>
                </w:rPr>
                <w:t>Item 1. Financial Statements</w:t>
              </w:r>
            </w:hyperlink>
          </w:p>
        </w:tc>
        <w:tc>
          <w:tcPr>
            <w:tcW w:w="280" w:type="dxa"/>
            <w:vAlign w:val="bottom"/>
          </w:tcPr>
          <w:p>
            <w:pPr>
              <w:jc w:val="right"/>
              <w:spacing w:after="0"/>
              <w:rPr>
                <w:sz w:val="20"/>
                <w:szCs w:val="20"/>
                <w:color w:val="auto"/>
              </w:rPr>
            </w:pPr>
            <w:r>
              <w:rPr>
                <w:rFonts w:ascii="Arial" w:cs="Arial" w:eastAsia="Arial" w:hAnsi="Arial"/>
                <w:sz w:val="18"/>
                <w:szCs w:val="18"/>
                <w:color w:val="auto"/>
              </w:rPr>
              <w:t>3</w:t>
            </w:r>
          </w:p>
        </w:tc>
      </w:tr>
      <w:tr>
        <w:trPr>
          <w:trHeight w:val="20"/>
        </w:trPr>
        <w:tc>
          <w:tcPr>
            <w:tcW w:w="440" w:type="dxa"/>
            <w:vAlign w:val="bottom"/>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600" w:type="dxa"/>
            <w:vAlign w:val="bottom"/>
            <w:shd w:val="clear" w:color="auto" w:fill="0000EE"/>
          </w:tcPr>
          <w:p>
            <w:pPr>
              <w:spacing w:after="0" w:line="20" w:lineRule="exact"/>
              <w:rPr>
                <w:sz w:val="1"/>
                <w:szCs w:val="1"/>
                <w:color w:val="auto"/>
              </w:rPr>
            </w:pPr>
          </w:p>
        </w:tc>
        <w:tc>
          <w:tcPr>
            <w:tcW w:w="320" w:type="dxa"/>
            <w:vAlign w:val="bottom"/>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280" w:type="dxa"/>
            <w:vAlign w:val="bottom"/>
            <w:gridSpan w:val="2"/>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9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34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2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r>
      <w:tr>
        <w:trPr>
          <w:trHeight w:val="304"/>
        </w:trPr>
        <w:tc>
          <w:tcPr>
            <w:tcW w:w="4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260" w:type="dxa"/>
            <w:vAlign w:val="bottom"/>
            <w:gridSpan w:val="19"/>
          </w:tcPr>
          <w:p>
            <w:pPr>
              <w:spacing w:after="0"/>
              <w:rPr>
                <w:rFonts w:ascii="Arial" w:cs="Arial" w:eastAsia="Arial" w:hAnsi="Arial"/>
                <w:sz w:val="18"/>
                <w:szCs w:val="18"/>
                <w:color w:val="0000EE"/>
              </w:rPr>
            </w:pPr>
            <w:hyperlink w:anchor="page3">
              <w:r>
                <w:rPr>
                  <w:rFonts w:ascii="Arial" w:cs="Arial" w:eastAsia="Arial" w:hAnsi="Arial"/>
                  <w:sz w:val="18"/>
                  <w:szCs w:val="18"/>
                  <w:color w:val="0000EE"/>
                </w:rPr>
                <w:t>Condensed Consolidated Statement of Operations for the quarters ended June 30, 2008 and 2007</w:t>
              </w:r>
            </w:hyperlink>
          </w:p>
        </w:tc>
        <w:tc>
          <w:tcPr>
            <w:tcW w:w="280" w:type="dxa"/>
            <w:vAlign w:val="bottom"/>
          </w:tcPr>
          <w:p>
            <w:pPr>
              <w:jc w:val="right"/>
              <w:spacing w:after="0"/>
              <w:rPr>
                <w:sz w:val="20"/>
                <w:szCs w:val="20"/>
                <w:color w:val="auto"/>
              </w:rPr>
            </w:pPr>
            <w:r>
              <w:rPr>
                <w:rFonts w:ascii="Arial" w:cs="Arial" w:eastAsia="Arial" w:hAnsi="Arial"/>
                <w:sz w:val="18"/>
                <w:szCs w:val="18"/>
                <w:color w:val="auto"/>
              </w:rPr>
              <w:t>3</w:t>
            </w:r>
          </w:p>
        </w:tc>
      </w:tr>
      <w:tr>
        <w:trPr>
          <w:trHeight w:val="20"/>
        </w:trPr>
        <w:tc>
          <w:tcPr>
            <w:tcW w:w="44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600" w:type="dxa"/>
            <w:vAlign w:val="bottom"/>
            <w:shd w:val="clear" w:color="auto" w:fill="0000EE"/>
          </w:tcPr>
          <w:p>
            <w:pPr>
              <w:spacing w:after="0" w:line="20" w:lineRule="exact"/>
              <w:rPr>
                <w:sz w:val="1"/>
                <w:szCs w:val="1"/>
                <w:color w:val="auto"/>
              </w:rPr>
            </w:pPr>
          </w:p>
        </w:tc>
        <w:tc>
          <w:tcPr>
            <w:tcW w:w="320" w:type="dxa"/>
            <w:vAlign w:val="bottom"/>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280" w:type="dxa"/>
            <w:vAlign w:val="bottom"/>
            <w:gridSpan w:val="2"/>
            <w:shd w:val="clear" w:color="auto" w:fill="0000EE"/>
          </w:tcPr>
          <w:p>
            <w:pPr>
              <w:spacing w:after="0" w:line="20" w:lineRule="exact"/>
              <w:rPr>
                <w:sz w:val="1"/>
                <w:szCs w:val="1"/>
                <w:color w:val="auto"/>
              </w:rPr>
            </w:pPr>
          </w:p>
        </w:tc>
        <w:tc>
          <w:tcPr>
            <w:tcW w:w="420" w:type="dxa"/>
            <w:vAlign w:val="bottom"/>
            <w:gridSpan w:val="2"/>
            <w:shd w:val="clear" w:color="auto" w:fill="0000EE"/>
          </w:tcPr>
          <w:p>
            <w:pPr>
              <w:spacing w:after="0" w:line="20" w:lineRule="exact"/>
              <w:rPr>
                <w:sz w:val="1"/>
                <w:szCs w:val="1"/>
                <w:color w:val="auto"/>
              </w:rPr>
            </w:pPr>
          </w:p>
        </w:tc>
        <w:tc>
          <w:tcPr>
            <w:tcW w:w="196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24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1340" w:type="dxa"/>
            <w:vAlign w:val="bottom"/>
            <w:shd w:val="clear" w:color="auto" w:fill="0000EE"/>
          </w:tcPr>
          <w:p>
            <w:pPr>
              <w:spacing w:after="0" w:line="20" w:lineRule="exact"/>
              <w:rPr>
                <w:sz w:val="1"/>
                <w:szCs w:val="1"/>
                <w:color w:val="auto"/>
              </w:rPr>
            </w:pPr>
          </w:p>
        </w:tc>
        <w:tc>
          <w:tcPr>
            <w:tcW w:w="700" w:type="dxa"/>
            <w:vAlign w:val="bottom"/>
            <w:shd w:val="clear" w:color="auto" w:fill="0000EE"/>
          </w:tcPr>
          <w:p>
            <w:pPr>
              <w:spacing w:after="0" w:line="20" w:lineRule="exact"/>
              <w:rPr>
                <w:sz w:val="1"/>
                <w:szCs w:val="1"/>
                <w:color w:val="auto"/>
              </w:rPr>
            </w:pPr>
          </w:p>
        </w:tc>
        <w:tc>
          <w:tcPr>
            <w:tcW w:w="380" w:type="dxa"/>
            <w:vAlign w:val="bottom"/>
            <w:shd w:val="clear" w:color="auto" w:fill="0000EE"/>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2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r>
      <w:tr>
        <w:trPr>
          <w:trHeight w:val="304"/>
        </w:trPr>
        <w:tc>
          <w:tcPr>
            <w:tcW w:w="4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260" w:type="dxa"/>
            <w:vAlign w:val="bottom"/>
            <w:gridSpan w:val="19"/>
          </w:tcPr>
          <w:p>
            <w:pPr>
              <w:spacing w:after="0"/>
              <w:rPr>
                <w:rFonts w:ascii="Arial" w:cs="Arial" w:eastAsia="Arial" w:hAnsi="Arial"/>
                <w:sz w:val="18"/>
                <w:szCs w:val="18"/>
                <w:color w:val="0000EE"/>
              </w:rPr>
            </w:pPr>
            <w:hyperlink w:anchor="page4">
              <w:r>
                <w:rPr>
                  <w:rFonts w:ascii="Arial" w:cs="Arial" w:eastAsia="Arial" w:hAnsi="Arial"/>
                  <w:sz w:val="18"/>
                  <w:szCs w:val="18"/>
                  <w:color w:val="0000EE"/>
                </w:rPr>
                <w:t>Condensed Consolidated Statement of Operations for the six months ended June 30, 2008 and 2007</w:t>
              </w:r>
            </w:hyperlink>
          </w:p>
        </w:tc>
        <w:tc>
          <w:tcPr>
            <w:tcW w:w="280" w:type="dxa"/>
            <w:vAlign w:val="bottom"/>
          </w:tcPr>
          <w:p>
            <w:pPr>
              <w:jc w:val="right"/>
              <w:spacing w:after="0"/>
              <w:rPr>
                <w:sz w:val="20"/>
                <w:szCs w:val="20"/>
                <w:color w:val="auto"/>
              </w:rPr>
            </w:pPr>
            <w:r>
              <w:rPr>
                <w:rFonts w:ascii="Arial" w:cs="Arial" w:eastAsia="Arial" w:hAnsi="Arial"/>
                <w:sz w:val="18"/>
                <w:szCs w:val="18"/>
                <w:color w:val="auto"/>
              </w:rPr>
              <w:t>4</w:t>
            </w:r>
          </w:p>
        </w:tc>
      </w:tr>
      <w:tr>
        <w:trPr>
          <w:trHeight w:val="304"/>
        </w:trPr>
        <w:tc>
          <w:tcPr>
            <w:tcW w:w="4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6980" w:type="dxa"/>
            <w:vAlign w:val="bottom"/>
            <w:tcBorders>
              <w:top w:val="single" w:sz="8" w:color="0000EE"/>
            </w:tcBorders>
            <w:gridSpan w:val="17"/>
          </w:tcPr>
          <w:p>
            <w:pPr>
              <w:spacing w:after="0"/>
              <w:rPr>
                <w:rFonts w:ascii="Arial" w:cs="Arial" w:eastAsia="Arial" w:hAnsi="Arial"/>
                <w:sz w:val="18"/>
                <w:szCs w:val="18"/>
                <w:color w:val="0000EE"/>
              </w:rPr>
            </w:pPr>
            <w:hyperlink w:anchor="page5">
              <w:r>
                <w:rPr>
                  <w:rFonts w:ascii="Arial" w:cs="Arial" w:eastAsia="Arial" w:hAnsi="Arial"/>
                  <w:sz w:val="18"/>
                  <w:szCs w:val="18"/>
                  <w:color w:val="0000EE"/>
                </w:rPr>
                <w:t>Condensed Consolidated Balance Sheet at June 30, 2008 and December 31, 2007</w:t>
              </w:r>
            </w:hyperlink>
          </w:p>
        </w:tc>
        <w:tc>
          <w:tcPr>
            <w:tcW w:w="3280" w:type="dxa"/>
            <w:vAlign w:val="bottom"/>
            <w:gridSpan w:val="2"/>
          </w:tcPr>
          <w:p>
            <w:pPr>
              <w:spacing w:after="0"/>
              <w:rPr>
                <w:sz w:val="24"/>
                <w:szCs w:val="24"/>
                <w:color w:val="auto"/>
              </w:rPr>
            </w:pPr>
          </w:p>
        </w:tc>
        <w:tc>
          <w:tcPr>
            <w:tcW w:w="280" w:type="dxa"/>
            <w:vAlign w:val="bottom"/>
          </w:tcPr>
          <w:p>
            <w:pPr>
              <w:jc w:val="right"/>
              <w:spacing w:after="0"/>
              <w:rPr>
                <w:sz w:val="20"/>
                <w:szCs w:val="20"/>
                <w:color w:val="auto"/>
              </w:rPr>
            </w:pPr>
            <w:r>
              <w:rPr>
                <w:rFonts w:ascii="Arial" w:cs="Arial" w:eastAsia="Arial" w:hAnsi="Arial"/>
                <w:sz w:val="18"/>
                <w:szCs w:val="18"/>
                <w:color w:val="auto"/>
              </w:rPr>
              <w:t>5</w:t>
            </w:r>
          </w:p>
        </w:tc>
      </w:tr>
      <w:tr>
        <w:trPr>
          <w:trHeight w:val="20"/>
        </w:trPr>
        <w:tc>
          <w:tcPr>
            <w:tcW w:w="44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600" w:type="dxa"/>
            <w:vAlign w:val="bottom"/>
            <w:shd w:val="clear" w:color="auto" w:fill="0000EE"/>
          </w:tcPr>
          <w:p>
            <w:pPr>
              <w:spacing w:after="0" w:line="20" w:lineRule="exact"/>
              <w:rPr>
                <w:sz w:val="1"/>
                <w:szCs w:val="1"/>
                <w:color w:val="auto"/>
              </w:rPr>
            </w:pPr>
          </w:p>
        </w:tc>
        <w:tc>
          <w:tcPr>
            <w:tcW w:w="320" w:type="dxa"/>
            <w:vAlign w:val="bottom"/>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280" w:type="dxa"/>
            <w:vAlign w:val="bottom"/>
            <w:gridSpan w:val="2"/>
            <w:shd w:val="clear" w:color="auto" w:fill="0000EE"/>
          </w:tcPr>
          <w:p>
            <w:pPr>
              <w:spacing w:after="0" w:line="20" w:lineRule="exact"/>
              <w:rPr>
                <w:sz w:val="1"/>
                <w:szCs w:val="1"/>
                <w:color w:val="auto"/>
              </w:rPr>
            </w:pPr>
          </w:p>
        </w:tc>
        <w:tc>
          <w:tcPr>
            <w:tcW w:w="420" w:type="dxa"/>
            <w:vAlign w:val="bottom"/>
            <w:gridSpan w:val="2"/>
            <w:shd w:val="clear" w:color="auto" w:fill="0000EE"/>
          </w:tcPr>
          <w:p>
            <w:pPr>
              <w:spacing w:after="0" w:line="20" w:lineRule="exact"/>
              <w:rPr>
                <w:sz w:val="1"/>
                <w:szCs w:val="1"/>
                <w:color w:val="auto"/>
              </w:rPr>
            </w:pPr>
          </w:p>
        </w:tc>
        <w:tc>
          <w:tcPr>
            <w:tcW w:w="196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24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1340" w:type="dxa"/>
            <w:vAlign w:val="bottom"/>
            <w:shd w:val="clear" w:color="auto" w:fill="0000EE"/>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640" w:type="dxa"/>
            <w:vAlign w:val="bottom"/>
            <w:gridSpan w:val="3"/>
          </w:tcPr>
          <w:p>
            <w:pPr>
              <w:spacing w:after="0" w:line="20" w:lineRule="exact"/>
              <w:rPr>
                <w:sz w:val="1"/>
                <w:szCs w:val="1"/>
                <w:color w:val="auto"/>
              </w:rPr>
            </w:pPr>
          </w:p>
        </w:tc>
        <w:tc>
          <w:tcPr>
            <w:tcW w:w="32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r>
      <w:tr>
        <w:trPr>
          <w:trHeight w:val="304"/>
        </w:trPr>
        <w:tc>
          <w:tcPr>
            <w:tcW w:w="4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260" w:type="dxa"/>
            <w:vAlign w:val="bottom"/>
            <w:gridSpan w:val="19"/>
          </w:tcPr>
          <w:p>
            <w:pPr>
              <w:spacing w:after="0"/>
              <w:rPr>
                <w:rFonts w:ascii="Arial" w:cs="Arial" w:eastAsia="Arial" w:hAnsi="Arial"/>
                <w:sz w:val="18"/>
                <w:szCs w:val="18"/>
                <w:color w:val="0000EE"/>
              </w:rPr>
            </w:pPr>
            <w:hyperlink w:anchor="page6">
              <w:r>
                <w:rPr>
                  <w:rFonts w:ascii="Arial" w:cs="Arial" w:eastAsia="Arial" w:hAnsi="Arial"/>
                  <w:sz w:val="18"/>
                  <w:szCs w:val="18"/>
                  <w:color w:val="0000EE"/>
                </w:rPr>
                <w:t>Condensed Consolidated Statement of Cash Flows for the six months ended June 30, 2008 and 2007</w:t>
              </w:r>
            </w:hyperlink>
          </w:p>
        </w:tc>
        <w:tc>
          <w:tcPr>
            <w:tcW w:w="280" w:type="dxa"/>
            <w:vAlign w:val="bottom"/>
          </w:tcPr>
          <w:p>
            <w:pPr>
              <w:jc w:val="right"/>
              <w:spacing w:after="0"/>
              <w:rPr>
                <w:sz w:val="20"/>
                <w:szCs w:val="20"/>
                <w:color w:val="auto"/>
              </w:rPr>
            </w:pPr>
            <w:r>
              <w:rPr>
                <w:rFonts w:ascii="Arial" w:cs="Arial" w:eastAsia="Arial" w:hAnsi="Arial"/>
                <w:sz w:val="18"/>
                <w:szCs w:val="18"/>
                <w:color w:val="auto"/>
              </w:rPr>
              <w:t>6</w:t>
            </w:r>
          </w:p>
        </w:tc>
      </w:tr>
      <w:tr>
        <w:trPr>
          <w:trHeight w:val="304"/>
        </w:trPr>
        <w:tc>
          <w:tcPr>
            <w:tcW w:w="4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7040" w:type="dxa"/>
            <w:vAlign w:val="bottom"/>
            <w:tcBorders>
              <w:top w:val="single" w:sz="8" w:color="0000EE"/>
            </w:tcBorders>
            <w:gridSpan w:val="18"/>
          </w:tcPr>
          <w:p>
            <w:pPr>
              <w:spacing w:after="0"/>
              <w:rPr>
                <w:rFonts w:ascii="Arial" w:cs="Arial" w:eastAsia="Arial" w:hAnsi="Arial"/>
                <w:sz w:val="18"/>
                <w:szCs w:val="18"/>
                <w:color w:val="0000EE"/>
              </w:rPr>
            </w:pPr>
            <w:hyperlink w:anchor="page7">
              <w:r>
                <w:rPr>
                  <w:rFonts w:ascii="Arial" w:cs="Arial" w:eastAsia="Arial" w:hAnsi="Arial"/>
                  <w:sz w:val="18"/>
                  <w:szCs w:val="18"/>
                  <w:color w:val="0000EE"/>
                </w:rPr>
                <w:t>Notes to Condensed Consolidated Financial Statements</w:t>
              </w:r>
            </w:hyperlink>
          </w:p>
        </w:tc>
        <w:tc>
          <w:tcPr>
            <w:tcW w:w="3220" w:type="dxa"/>
            <w:vAlign w:val="bottom"/>
          </w:tcPr>
          <w:p>
            <w:pPr>
              <w:spacing w:after="0"/>
              <w:rPr>
                <w:sz w:val="24"/>
                <w:szCs w:val="24"/>
                <w:color w:val="auto"/>
              </w:rPr>
            </w:pPr>
          </w:p>
        </w:tc>
        <w:tc>
          <w:tcPr>
            <w:tcW w:w="280" w:type="dxa"/>
            <w:vAlign w:val="bottom"/>
          </w:tcPr>
          <w:p>
            <w:pPr>
              <w:jc w:val="right"/>
              <w:spacing w:after="0"/>
              <w:rPr>
                <w:sz w:val="20"/>
                <w:szCs w:val="20"/>
                <w:color w:val="auto"/>
              </w:rPr>
            </w:pPr>
            <w:r>
              <w:rPr>
                <w:rFonts w:ascii="Arial" w:cs="Arial" w:eastAsia="Arial" w:hAnsi="Arial"/>
                <w:sz w:val="18"/>
                <w:szCs w:val="18"/>
                <w:color w:val="auto"/>
              </w:rPr>
              <w:t>7</w:t>
            </w:r>
          </w:p>
        </w:tc>
      </w:tr>
      <w:tr>
        <w:trPr>
          <w:trHeight w:val="20"/>
        </w:trPr>
        <w:tc>
          <w:tcPr>
            <w:tcW w:w="44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600" w:type="dxa"/>
            <w:vAlign w:val="bottom"/>
            <w:shd w:val="clear" w:color="auto" w:fill="0000EE"/>
          </w:tcPr>
          <w:p>
            <w:pPr>
              <w:spacing w:after="0" w:line="20" w:lineRule="exact"/>
              <w:rPr>
                <w:sz w:val="1"/>
                <w:szCs w:val="1"/>
                <w:color w:val="auto"/>
              </w:rPr>
            </w:pPr>
          </w:p>
        </w:tc>
        <w:tc>
          <w:tcPr>
            <w:tcW w:w="320" w:type="dxa"/>
            <w:vAlign w:val="bottom"/>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280" w:type="dxa"/>
            <w:vAlign w:val="bottom"/>
            <w:gridSpan w:val="2"/>
            <w:shd w:val="clear" w:color="auto" w:fill="0000EE"/>
          </w:tcPr>
          <w:p>
            <w:pPr>
              <w:spacing w:after="0" w:line="20" w:lineRule="exact"/>
              <w:rPr>
                <w:sz w:val="1"/>
                <w:szCs w:val="1"/>
                <w:color w:val="auto"/>
              </w:rPr>
            </w:pPr>
          </w:p>
        </w:tc>
        <w:tc>
          <w:tcPr>
            <w:tcW w:w="420" w:type="dxa"/>
            <w:vAlign w:val="bottom"/>
            <w:gridSpan w:val="2"/>
            <w:shd w:val="clear" w:color="auto" w:fill="0000EE"/>
          </w:tcPr>
          <w:p>
            <w:pPr>
              <w:spacing w:after="0" w:line="20" w:lineRule="exact"/>
              <w:rPr>
                <w:sz w:val="1"/>
                <w:szCs w:val="1"/>
                <w:color w:val="auto"/>
              </w:rPr>
            </w:pPr>
          </w:p>
        </w:tc>
        <w:tc>
          <w:tcPr>
            <w:tcW w:w="196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40" w:type="dxa"/>
            <w:vAlign w:val="bottom"/>
            <w:gridSpan w:val="2"/>
          </w:tcPr>
          <w:p>
            <w:pPr>
              <w:spacing w:after="0" w:line="20" w:lineRule="exact"/>
              <w:rPr>
                <w:sz w:val="1"/>
                <w:szCs w:val="1"/>
                <w:color w:val="auto"/>
              </w:rPr>
            </w:pPr>
          </w:p>
        </w:tc>
        <w:tc>
          <w:tcPr>
            <w:tcW w:w="3860" w:type="dxa"/>
            <w:vAlign w:val="bottom"/>
            <w:gridSpan w:val="4"/>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r>
      <w:tr>
        <w:trPr>
          <w:trHeight w:val="304"/>
        </w:trPr>
        <w:tc>
          <w:tcPr>
            <w:tcW w:w="4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260" w:type="dxa"/>
            <w:vAlign w:val="bottom"/>
            <w:gridSpan w:val="19"/>
          </w:tcPr>
          <w:p>
            <w:pPr>
              <w:spacing w:after="0"/>
              <w:rPr>
                <w:rFonts w:ascii="Arial" w:cs="Arial" w:eastAsia="Arial" w:hAnsi="Arial"/>
                <w:sz w:val="18"/>
                <w:szCs w:val="18"/>
                <w:color w:val="0000EE"/>
              </w:rPr>
            </w:pPr>
            <w:hyperlink w:anchor="page20">
              <w:r>
                <w:rPr>
                  <w:rFonts w:ascii="Arial" w:cs="Arial" w:eastAsia="Arial" w:hAnsi="Arial"/>
                  <w:sz w:val="18"/>
                  <w:szCs w:val="18"/>
                  <w:color w:val="0000EE"/>
                </w:rPr>
                <w:t>Report of Independent Registered Public Accounting Firm</w:t>
              </w:r>
            </w:hyperlink>
          </w:p>
        </w:tc>
        <w:tc>
          <w:tcPr>
            <w:tcW w:w="280" w:type="dxa"/>
            <w:vAlign w:val="bottom"/>
          </w:tcPr>
          <w:p>
            <w:pPr>
              <w:jc w:val="right"/>
              <w:spacing w:after="0"/>
              <w:rPr>
                <w:sz w:val="20"/>
                <w:szCs w:val="20"/>
                <w:color w:val="auto"/>
              </w:rPr>
            </w:pPr>
            <w:r>
              <w:rPr>
                <w:rFonts w:ascii="Arial" w:cs="Arial" w:eastAsia="Arial" w:hAnsi="Arial"/>
                <w:sz w:val="18"/>
                <w:szCs w:val="18"/>
                <w:color w:val="auto"/>
              </w:rPr>
              <w:t>20</w:t>
            </w:r>
          </w:p>
        </w:tc>
      </w:tr>
      <w:tr>
        <w:trPr>
          <w:trHeight w:val="20"/>
        </w:trPr>
        <w:tc>
          <w:tcPr>
            <w:tcW w:w="44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600" w:type="dxa"/>
            <w:vAlign w:val="bottom"/>
            <w:shd w:val="clear" w:color="auto" w:fill="0000EE"/>
          </w:tcPr>
          <w:p>
            <w:pPr>
              <w:spacing w:after="0" w:line="20" w:lineRule="exact"/>
              <w:rPr>
                <w:sz w:val="1"/>
                <w:szCs w:val="1"/>
                <w:color w:val="auto"/>
              </w:rPr>
            </w:pPr>
          </w:p>
        </w:tc>
        <w:tc>
          <w:tcPr>
            <w:tcW w:w="320" w:type="dxa"/>
            <w:vAlign w:val="bottom"/>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280" w:type="dxa"/>
            <w:vAlign w:val="bottom"/>
            <w:gridSpan w:val="2"/>
            <w:shd w:val="clear" w:color="auto" w:fill="0000EE"/>
          </w:tcPr>
          <w:p>
            <w:pPr>
              <w:spacing w:after="0" w:line="20" w:lineRule="exact"/>
              <w:rPr>
                <w:sz w:val="1"/>
                <w:szCs w:val="1"/>
                <w:color w:val="auto"/>
              </w:rPr>
            </w:pPr>
          </w:p>
        </w:tc>
        <w:tc>
          <w:tcPr>
            <w:tcW w:w="420" w:type="dxa"/>
            <w:vAlign w:val="bottom"/>
            <w:gridSpan w:val="2"/>
            <w:shd w:val="clear" w:color="auto" w:fill="0000EE"/>
          </w:tcPr>
          <w:p>
            <w:pPr>
              <w:spacing w:after="0" w:line="20" w:lineRule="exact"/>
              <w:rPr>
                <w:sz w:val="1"/>
                <w:szCs w:val="1"/>
                <w:color w:val="auto"/>
              </w:rPr>
            </w:pPr>
          </w:p>
        </w:tc>
        <w:tc>
          <w:tcPr>
            <w:tcW w:w="1960" w:type="dxa"/>
            <w:vAlign w:val="bottom"/>
            <w:shd w:val="clear" w:color="auto" w:fill="0000EE"/>
          </w:tcPr>
          <w:p>
            <w:pPr>
              <w:spacing w:after="0" w:line="20" w:lineRule="exact"/>
              <w:rPr>
                <w:sz w:val="1"/>
                <w:szCs w:val="1"/>
                <w:color w:val="auto"/>
              </w:rPr>
            </w:pPr>
          </w:p>
        </w:tc>
        <w:tc>
          <w:tcPr>
            <w:tcW w:w="320" w:type="dxa"/>
            <w:vAlign w:val="bottom"/>
            <w:gridSpan w:val="2"/>
            <w:shd w:val="clear" w:color="auto" w:fill="0000EE"/>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40" w:type="dxa"/>
            <w:vAlign w:val="bottom"/>
            <w:gridSpan w:val="2"/>
          </w:tcPr>
          <w:p>
            <w:pPr>
              <w:spacing w:after="0" w:line="20" w:lineRule="exact"/>
              <w:rPr>
                <w:sz w:val="1"/>
                <w:szCs w:val="1"/>
                <w:color w:val="auto"/>
              </w:rPr>
            </w:pPr>
          </w:p>
        </w:tc>
        <w:tc>
          <w:tcPr>
            <w:tcW w:w="3860" w:type="dxa"/>
            <w:vAlign w:val="bottom"/>
            <w:gridSpan w:val="4"/>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r>
      <w:tr>
        <w:trPr>
          <w:trHeight w:val="304"/>
        </w:trPr>
        <w:tc>
          <w:tcPr>
            <w:tcW w:w="440" w:type="dxa"/>
            <w:vAlign w:val="bottom"/>
          </w:tcPr>
          <w:p>
            <w:pPr>
              <w:spacing w:after="0"/>
              <w:rPr>
                <w:sz w:val="24"/>
                <w:szCs w:val="24"/>
                <w:color w:val="auto"/>
              </w:rPr>
            </w:pPr>
          </w:p>
        </w:tc>
        <w:tc>
          <w:tcPr>
            <w:tcW w:w="10700" w:type="dxa"/>
            <w:vAlign w:val="bottom"/>
            <w:gridSpan w:val="21"/>
          </w:tcPr>
          <w:p>
            <w:pPr>
              <w:spacing w:after="0"/>
              <w:rPr>
                <w:rFonts w:ascii="Arial" w:cs="Arial" w:eastAsia="Arial" w:hAnsi="Arial"/>
                <w:sz w:val="18"/>
                <w:szCs w:val="18"/>
                <w:color w:val="0000EE"/>
              </w:rPr>
            </w:pPr>
            <w:hyperlink w:anchor="page21">
              <w:r>
                <w:rPr>
                  <w:rFonts w:ascii="Arial" w:cs="Arial" w:eastAsia="Arial" w:hAnsi="Arial"/>
                  <w:sz w:val="18"/>
                  <w:szCs w:val="18"/>
                  <w:color w:val="0000EE"/>
                </w:rPr>
                <w:t>Item 2. Management’s Discussion and Analysis of Financial Condition and Results of Operations</w:t>
              </w:r>
            </w:hyperlink>
          </w:p>
        </w:tc>
        <w:tc>
          <w:tcPr>
            <w:tcW w:w="280" w:type="dxa"/>
            <w:vAlign w:val="bottom"/>
          </w:tcPr>
          <w:p>
            <w:pPr>
              <w:jc w:val="right"/>
              <w:spacing w:after="0"/>
              <w:rPr>
                <w:sz w:val="20"/>
                <w:szCs w:val="20"/>
                <w:color w:val="auto"/>
              </w:rPr>
            </w:pPr>
            <w:r>
              <w:rPr>
                <w:rFonts w:ascii="Arial" w:cs="Arial" w:eastAsia="Arial" w:hAnsi="Arial"/>
                <w:sz w:val="18"/>
                <w:szCs w:val="18"/>
                <w:color w:val="auto"/>
              </w:rPr>
              <w:t>21</w:t>
            </w:r>
          </w:p>
        </w:tc>
      </w:tr>
      <w:tr>
        <w:trPr>
          <w:trHeight w:val="304"/>
        </w:trPr>
        <w:tc>
          <w:tcPr>
            <w:tcW w:w="440" w:type="dxa"/>
            <w:vAlign w:val="bottom"/>
          </w:tcPr>
          <w:p>
            <w:pPr>
              <w:spacing w:after="0"/>
              <w:rPr>
                <w:sz w:val="24"/>
                <w:szCs w:val="24"/>
                <w:color w:val="auto"/>
              </w:rPr>
            </w:pPr>
          </w:p>
        </w:tc>
        <w:tc>
          <w:tcPr>
            <w:tcW w:w="4800" w:type="dxa"/>
            <w:vAlign w:val="bottom"/>
            <w:tcBorders>
              <w:top w:val="single" w:sz="8" w:color="0000EE"/>
              <w:bottom w:val="single" w:sz="8" w:color="0000EE"/>
            </w:tcBorders>
            <w:gridSpan w:val="15"/>
          </w:tcPr>
          <w:p>
            <w:pPr>
              <w:spacing w:after="0"/>
              <w:rPr>
                <w:rFonts w:ascii="Arial" w:cs="Arial" w:eastAsia="Arial" w:hAnsi="Arial"/>
                <w:sz w:val="18"/>
                <w:szCs w:val="18"/>
                <w:color w:val="0000EE"/>
                <w:w w:val="89"/>
              </w:rPr>
            </w:pPr>
            <w:hyperlink w:anchor="page33">
              <w:r>
                <w:rPr>
                  <w:rFonts w:ascii="Arial" w:cs="Arial" w:eastAsia="Arial" w:hAnsi="Arial"/>
                  <w:sz w:val="18"/>
                  <w:szCs w:val="18"/>
                  <w:color w:val="0000EE"/>
                  <w:w w:val="89"/>
                </w:rPr>
                <w:t>Item 3. Quantitative and Qualitative Disclosures About Market Risk</w:t>
              </w:r>
            </w:hyperlink>
          </w:p>
        </w:tc>
        <w:tc>
          <w:tcPr>
            <w:tcW w:w="2040" w:type="dxa"/>
            <w:vAlign w:val="bottom"/>
            <w:tcBorders>
              <w:top w:val="single" w:sz="8" w:color="0000EE"/>
            </w:tcBorders>
            <w:gridSpan w:val="2"/>
          </w:tcPr>
          <w:p>
            <w:pPr>
              <w:spacing w:after="0"/>
              <w:rPr>
                <w:sz w:val="24"/>
                <w:szCs w:val="24"/>
                <w:color w:val="auto"/>
              </w:rPr>
            </w:pPr>
          </w:p>
        </w:tc>
        <w:tc>
          <w:tcPr>
            <w:tcW w:w="3860" w:type="dxa"/>
            <w:vAlign w:val="bottom"/>
            <w:gridSpan w:val="4"/>
          </w:tcPr>
          <w:p>
            <w:pPr>
              <w:spacing w:after="0"/>
              <w:rPr>
                <w:sz w:val="24"/>
                <w:szCs w:val="24"/>
                <w:color w:val="auto"/>
              </w:rPr>
            </w:pPr>
          </w:p>
        </w:tc>
        <w:tc>
          <w:tcPr>
            <w:tcW w:w="280" w:type="dxa"/>
            <w:vAlign w:val="bottom"/>
          </w:tcPr>
          <w:p>
            <w:pPr>
              <w:jc w:val="right"/>
              <w:spacing w:after="0"/>
              <w:rPr>
                <w:sz w:val="20"/>
                <w:szCs w:val="20"/>
                <w:color w:val="auto"/>
              </w:rPr>
            </w:pPr>
            <w:r>
              <w:rPr>
                <w:rFonts w:ascii="Arial" w:cs="Arial" w:eastAsia="Arial" w:hAnsi="Arial"/>
                <w:sz w:val="18"/>
                <w:szCs w:val="18"/>
                <w:color w:val="auto"/>
              </w:rPr>
              <w:t>33</w:t>
            </w:r>
          </w:p>
        </w:tc>
      </w:tr>
      <w:tr>
        <w:trPr>
          <w:trHeight w:val="304"/>
        </w:trPr>
        <w:tc>
          <w:tcPr>
            <w:tcW w:w="440" w:type="dxa"/>
            <w:vAlign w:val="bottom"/>
          </w:tcPr>
          <w:p>
            <w:pPr>
              <w:spacing w:after="0"/>
              <w:rPr>
                <w:sz w:val="24"/>
                <w:szCs w:val="24"/>
                <w:color w:val="auto"/>
              </w:rPr>
            </w:pPr>
          </w:p>
        </w:tc>
        <w:tc>
          <w:tcPr>
            <w:tcW w:w="10700" w:type="dxa"/>
            <w:vAlign w:val="bottom"/>
            <w:gridSpan w:val="21"/>
          </w:tcPr>
          <w:p>
            <w:pPr>
              <w:spacing w:after="0"/>
              <w:rPr>
                <w:rFonts w:ascii="Arial" w:cs="Arial" w:eastAsia="Arial" w:hAnsi="Arial"/>
                <w:sz w:val="18"/>
                <w:szCs w:val="18"/>
                <w:color w:val="0000EE"/>
              </w:rPr>
            </w:pPr>
            <w:hyperlink w:anchor="page33">
              <w:r>
                <w:rPr>
                  <w:rFonts w:ascii="Arial" w:cs="Arial" w:eastAsia="Arial" w:hAnsi="Arial"/>
                  <w:sz w:val="18"/>
                  <w:szCs w:val="18"/>
                  <w:color w:val="0000EE"/>
                </w:rPr>
                <w:t>Item 4. Controls and Procedures</w:t>
              </w:r>
            </w:hyperlink>
          </w:p>
        </w:tc>
        <w:tc>
          <w:tcPr>
            <w:tcW w:w="280" w:type="dxa"/>
            <w:vAlign w:val="bottom"/>
          </w:tcPr>
          <w:p>
            <w:pPr>
              <w:jc w:val="right"/>
              <w:spacing w:after="0"/>
              <w:rPr>
                <w:sz w:val="20"/>
                <w:szCs w:val="20"/>
                <w:color w:val="auto"/>
              </w:rPr>
            </w:pPr>
            <w:r>
              <w:rPr>
                <w:rFonts w:ascii="Arial" w:cs="Arial" w:eastAsia="Arial" w:hAnsi="Arial"/>
                <w:sz w:val="18"/>
                <w:szCs w:val="18"/>
                <w:color w:val="auto"/>
              </w:rPr>
              <w:t>33</w:t>
            </w:r>
          </w:p>
        </w:tc>
      </w:tr>
      <w:tr>
        <w:trPr>
          <w:trHeight w:val="20"/>
        </w:trPr>
        <w:tc>
          <w:tcPr>
            <w:tcW w:w="440" w:type="dxa"/>
            <w:vAlign w:val="bottom"/>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220" w:type="dxa"/>
            <w:vAlign w:val="bottom"/>
            <w:gridSpan w:val="2"/>
            <w:shd w:val="clear" w:color="auto" w:fill="0000EE"/>
          </w:tcPr>
          <w:p>
            <w:pPr>
              <w:spacing w:after="0" w:line="20" w:lineRule="exact"/>
              <w:rPr>
                <w:sz w:val="1"/>
                <w:szCs w:val="1"/>
                <w:color w:val="auto"/>
              </w:rPr>
            </w:pPr>
          </w:p>
        </w:tc>
        <w:tc>
          <w:tcPr>
            <w:tcW w:w="600" w:type="dxa"/>
            <w:vAlign w:val="bottom"/>
            <w:shd w:val="clear" w:color="auto" w:fill="0000EE"/>
          </w:tcPr>
          <w:p>
            <w:pPr>
              <w:spacing w:after="0" w:line="20" w:lineRule="exact"/>
              <w:rPr>
                <w:sz w:val="1"/>
                <w:szCs w:val="1"/>
                <w:color w:val="auto"/>
              </w:rPr>
            </w:pPr>
          </w:p>
        </w:tc>
        <w:tc>
          <w:tcPr>
            <w:tcW w:w="320" w:type="dxa"/>
            <w:vAlign w:val="bottom"/>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280" w:type="dxa"/>
            <w:vAlign w:val="bottom"/>
            <w:gridSpan w:val="2"/>
            <w:shd w:val="clear" w:color="auto" w:fill="0000EE"/>
          </w:tcPr>
          <w:p>
            <w:pPr>
              <w:spacing w:after="0" w:line="20" w:lineRule="exact"/>
              <w:rPr>
                <w:sz w:val="1"/>
                <w:szCs w:val="1"/>
                <w:color w:val="auto"/>
              </w:rPr>
            </w:pPr>
          </w:p>
        </w:tc>
        <w:tc>
          <w:tcPr>
            <w:tcW w:w="420" w:type="dxa"/>
            <w:vAlign w:val="bottom"/>
            <w:gridSpan w:val="2"/>
            <w:shd w:val="clear" w:color="auto" w:fill="0000EE"/>
          </w:tcPr>
          <w:p>
            <w:pPr>
              <w:spacing w:after="0" w:line="20" w:lineRule="exact"/>
              <w:rPr>
                <w:sz w:val="1"/>
                <w:szCs w:val="1"/>
                <w:color w:val="auto"/>
              </w:rPr>
            </w:pPr>
          </w:p>
        </w:tc>
        <w:tc>
          <w:tcPr>
            <w:tcW w:w="1960" w:type="dxa"/>
            <w:vAlign w:val="bottom"/>
          </w:tcPr>
          <w:p>
            <w:pPr>
              <w:spacing w:after="0" w:line="20" w:lineRule="exact"/>
              <w:rPr>
                <w:sz w:val="1"/>
                <w:szCs w:val="1"/>
                <w:color w:val="auto"/>
              </w:rPr>
            </w:pPr>
          </w:p>
        </w:tc>
        <w:tc>
          <w:tcPr>
            <w:tcW w:w="560" w:type="dxa"/>
            <w:vAlign w:val="bottom"/>
            <w:gridSpan w:val="3"/>
          </w:tcPr>
          <w:p>
            <w:pPr>
              <w:spacing w:after="0" w:line="20" w:lineRule="exact"/>
              <w:rPr>
                <w:sz w:val="1"/>
                <w:szCs w:val="1"/>
                <w:color w:val="auto"/>
              </w:rPr>
            </w:pPr>
          </w:p>
        </w:tc>
        <w:tc>
          <w:tcPr>
            <w:tcW w:w="5920" w:type="dxa"/>
            <w:vAlign w:val="bottom"/>
            <w:gridSpan w:val="7"/>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r>
      <w:tr>
        <w:trPr>
          <w:trHeight w:val="304"/>
        </w:trPr>
        <w:tc>
          <w:tcPr>
            <w:tcW w:w="11140" w:type="dxa"/>
            <w:vAlign w:val="bottom"/>
            <w:gridSpan w:val="22"/>
          </w:tcPr>
          <w:p>
            <w:pPr>
              <w:spacing w:after="0"/>
              <w:rPr>
                <w:rFonts w:ascii="Arial" w:cs="Arial" w:eastAsia="Arial" w:hAnsi="Arial"/>
                <w:sz w:val="18"/>
                <w:szCs w:val="18"/>
                <w:color w:val="0000EE"/>
              </w:rPr>
            </w:pPr>
            <w:hyperlink w:anchor="page34">
              <w:r>
                <w:rPr>
                  <w:rFonts w:ascii="Arial" w:cs="Arial" w:eastAsia="Arial" w:hAnsi="Arial"/>
                  <w:sz w:val="18"/>
                  <w:szCs w:val="18"/>
                  <w:color w:val="0000EE"/>
                </w:rPr>
                <w:t>Part II - Other Information</w:t>
              </w:r>
            </w:hyperlink>
          </w:p>
        </w:tc>
        <w:tc>
          <w:tcPr>
            <w:tcW w:w="280" w:type="dxa"/>
            <w:vAlign w:val="bottom"/>
          </w:tcPr>
          <w:p>
            <w:pPr>
              <w:jc w:val="right"/>
              <w:spacing w:after="0"/>
              <w:rPr>
                <w:sz w:val="20"/>
                <w:szCs w:val="20"/>
                <w:color w:val="auto"/>
              </w:rPr>
            </w:pPr>
            <w:r>
              <w:rPr>
                <w:rFonts w:ascii="Arial" w:cs="Arial" w:eastAsia="Arial" w:hAnsi="Arial"/>
                <w:sz w:val="18"/>
                <w:szCs w:val="18"/>
                <w:color w:val="auto"/>
              </w:rPr>
              <w:t>34</w:t>
            </w:r>
          </w:p>
        </w:tc>
      </w:tr>
      <w:tr>
        <w:trPr>
          <w:trHeight w:val="20"/>
        </w:trPr>
        <w:tc>
          <w:tcPr>
            <w:tcW w:w="440" w:type="dxa"/>
            <w:vAlign w:val="bottom"/>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220" w:type="dxa"/>
            <w:vAlign w:val="bottom"/>
            <w:gridSpan w:val="2"/>
            <w:shd w:val="clear" w:color="auto" w:fill="0000EE"/>
          </w:tcPr>
          <w:p>
            <w:pPr>
              <w:spacing w:after="0" w:line="20" w:lineRule="exact"/>
              <w:rPr>
                <w:sz w:val="1"/>
                <w:szCs w:val="1"/>
                <w:color w:val="auto"/>
              </w:rPr>
            </w:pPr>
          </w:p>
        </w:tc>
        <w:tc>
          <w:tcPr>
            <w:tcW w:w="600" w:type="dxa"/>
            <w:vAlign w:val="bottom"/>
            <w:shd w:val="clear" w:color="auto" w:fill="0000EE"/>
          </w:tcPr>
          <w:p>
            <w:pPr>
              <w:spacing w:after="0" w:line="20" w:lineRule="exact"/>
              <w:rPr>
                <w:sz w:val="1"/>
                <w:szCs w:val="1"/>
                <w:color w:val="auto"/>
              </w:rPr>
            </w:pPr>
          </w:p>
        </w:tc>
        <w:tc>
          <w:tcPr>
            <w:tcW w:w="320" w:type="dxa"/>
            <w:vAlign w:val="bottom"/>
            <w:shd w:val="clear" w:color="auto" w:fill="0000EE"/>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80" w:type="dxa"/>
            <w:vAlign w:val="bottom"/>
            <w:gridSpan w:val="2"/>
          </w:tcPr>
          <w:p>
            <w:pPr>
              <w:spacing w:after="0" w:line="20" w:lineRule="exact"/>
              <w:rPr>
                <w:sz w:val="1"/>
                <w:szCs w:val="1"/>
                <w:color w:val="auto"/>
              </w:rPr>
            </w:pPr>
          </w:p>
        </w:tc>
        <w:tc>
          <w:tcPr>
            <w:tcW w:w="2380" w:type="dxa"/>
            <w:vAlign w:val="bottom"/>
            <w:gridSpan w:val="3"/>
          </w:tcPr>
          <w:p>
            <w:pPr>
              <w:spacing w:after="0" w:line="20" w:lineRule="exact"/>
              <w:rPr>
                <w:sz w:val="1"/>
                <w:szCs w:val="1"/>
                <w:color w:val="auto"/>
              </w:rPr>
            </w:pPr>
          </w:p>
        </w:tc>
        <w:tc>
          <w:tcPr>
            <w:tcW w:w="560" w:type="dxa"/>
            <w:vAlign w:val="bottom"/>
            <w:gridSpan w:val="3"/>
          </w:tcPr>
          <w:p>
            <w:pPr>
              <w:spacing w:after="0" w:line="20" w:lineRule="exact"/>
              <w:rPr>
                <w:sz w:val="1"/>
                <w:szCs w:val="1"/>
                <w:color w:val="auto"/>
              </w:rPr>
            </w:pPr>
          </w:p>
        </w:tc>
        <w:tc>
          <w:tcPr>
            <w:tcW w:w="5920" w:type="dxa"/>
            <w:vAlign w:val="bottom"/>
            <w:gridSpan w:val="7"/>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r>
      <w:tr>
        <w:trPr>
          <w:trHeight w:val="304"/>
        </w:trPr>
        <w:tc>
          <w:tcPr>
            <w:tcW w:w="440" w:type="dxa"/>
            <w:vAlign w:val="bottom"/>
          </w:tcPr>
          <w:p>
            <w:pPr>
              <w:spacing w:after="0"/>
              <w:rPr>
                <w:sz w:val="24"/>
                <w:szCs w:val="24"/>
                <w:color w:val="auto"/>
              </w:rPr>
            </w:pPr>
          </w:p>
        </w:tc>
        <w:tc>
          <w:tcPr>
            <w:tcW w:w="10700" w:type="dxa"/>
            <w:vAlign w:val="bottom"/>
            <w:gridSpan w:val="21"/>
          </w:tcPr>
          <w:p>
            <w:pPr>
              <w:spacing w:after="0"/>
              <w:rPr>
                <w:rFonts w:ascii="Arial" w:cs="Arial" w:eastAsia="Arial" w:hAnsi="Arial"/>
                <w:sz w:val="18"/>
                <w:szCs w:val="18"/>
                <w:color w:val="0000EE"/>
              </w:rPr>
            </w:pPr>
            <w:hyperlink w:anchor="page34">
              <w:r>
                <w:rPr>
                  <w:rFonts w:ascii="Arial" w:cs="Arial" w:eastAsia="Arial" w:hAnsi="Arial"/>
                  <w:sz w:val="18"/>
                  <w:szCs w:val="18"/>
                  <w:color w:val="0000EE"/>
                </w:rPr>
                <w:t>Item 1. Legal Proceedings</w:t>
              </w:r>
            </w:hyperlink>
          </w:p>
        </w:tc>
        <w:tc>
          <w:tcPr>
            <w:tcW w:w="280" w:type="dxa"/>
            <w:vAlign w:val="bottom"/>
          </w:tcPr>
          <w:p>
            <w:pPr>
              <w:jc w:val="right"/>
              <w:spacing w:after="0"/>
              <w:rPr>
                <w:sz w:val="20"/>
                <w:szCs w:val="20"/>
                <w:color w:val="auto"/>
              </w:rPr>
            </w:pPr>
            <w:r>
              <w:rPr>
                <w:rFonts w:ascii="Arial" w:cs="Arial" w:eastAsia="Arial" w:hAnsi="Arial"/>
                <w:sz w:val="18"/>
                <w:szCs w:val="18"/>
                <w:color w:val="auto"/>
              </w:rPr>
              <w:t>34</w:t>
            </w:r>
          </w:p>
        </w:tc>
      </w:tr>
      <w:tr>
        <w:trPr>
          <w:trHeight w:val="304"/>
        </w:trPr>
        <w:tc>
          <w:tcPr>
            <w:tcW w:w="440" w:type="dxa"/>
            <w:vAlign w:val="bottom"/>
          </w:tcPr>
          <w:p>
            <w:pPr>
              <w:spacing w:after="0"/>
              <w:rPr>
                <w:sz w:val="24"/>
                <w:szCs w:val="24"/>
                <w:color w:val="auto"/>
              </w:rPr>
            </w:pPr>
          </w:p>
        </w:tc>
        <w:tc>
          <w:tcPr>
            <w:tcW w:w="1560" w:type="dxa"/>
            <w:vAlign w:val="bottom"/>
            <w:tcBorders>
              <w:top w:val="single" w:sz="8" w:color="0000EE"/>
              <w:bottom w:val="single" w:sz="8" w:color="0000EE"/>
            </w:tcBorders>
            <w:gridSpan w:val="6"/>
          </w:tcPr>
          <w:p>
            <w:pPr>
              <w:spacing w:after="0"/>
              <w:rPr>
                <w:rFonts w:ascii="Arial" w:cs="Arial" w:eastAsia="Arial" w:hAnsi="Arial"/>
                <w:sz w:val="18"/>
                <w:szCs w:val="18"/>
                <w:color w:val="0000EE"/>
                <w:w w:val="89"/>
              </w:rPr>
            </w:pPr>
            <w:hyperlink w:anchor="page34">
              <w:r>
                <w:rPr>
                  <w:rFonts w:ascii="Arial" w:cs="Arial" w:eastAsia="Arial" w:hAnsi="Arial"/>
                  <w:sz w:val="18"/>
                  <w:szCs w:val="18"/>
                  <w:color w:val="0000EE"/>
                  <w:w w:val="89"/>
                </w:rPr>
                <w:t>Item 1A. Risk Factors</w:t>
              </w:r>
            </w:hyperlink>
          </w:p>
        </w:tc>
        <w:tc>
          <w:tcPr>
            <w:tcW w:w="280" w:type="dxa"/>
            <w:vAlign w:val="bottom"/>
            <w:tcBorders>
              <w:top w:val="single" w:sz="8" w:color="0000EE"/>
            </w:tcBorders>
            <w:gridSpan w:val="2"/>
          </w:tcPr>
          <w:p>
            <w:pPr>
              <w:spacing w:after="0"/>
              <w:rPr>
                <w:sz w:val="24"/>
                <w:szCs w:val="24"/>
                <w:color w:val="auto"/>
              </w:rPr>
            </w:pPr>
          </w:p>
        </w:tc>
        <w:tc>
          <w:tcPr>
            <w:tcW w:w="8860" w:type="dxa"/>
            <w:vAlign w:val="bottom"/>
            <w:gridSpan w:val="13"/>
          </w:tcPr>
          <w:p>
            <w:pPr>
              <w:spacing w:after="0"/>
              <w:rPr>
                <w:sz w:val="24"/>
                <w:szCs w:val="24"/>
                <w:color w:val="auto"/>
              </w:rPr>
            </w:pPr>
          </w:p>
        </w:tc>
        <w:tc>
          <w:tcPr>
            <w:tcW w:w="280" w:type="dxa"/>
            <w:vAlign w:val="bottom"/>
          </w:tcPr>
          <w:p>
            <w:pPr>
              <w:jc w:val="right"/>
              <w:spacing w:after="0"/>
              <w:rPr>
                <w:sz w:val="20"/>
                <w:szCs w:val="20"/>
                <w:color w:val="auto"/>
              </w:rPr>
            </w:pPr>
            <w:r>
              <w:rPr>
                <w:rFonts w:ascii="Arial" w:cs="Arial" w:eastAsia="Arial" w:hAnsi="Arial"/>
                <w:sz w:val="18"/>
                <w:szCs w:val="18"/>
                <w:color w:val="auto"/>
              </w:rPr>
              <w:t>34</w:t>
            </w:r>
          </w:p>
        </w:tc>
      </w:tr>
      <w:tr>
        <w:trPr>
          <w:trHeight w:val="304"/>
        </w:trPr>
        <w:tc>
          <w:tcPr>
            <w:tcW w:w="440" w:type="dxa"/>
            <w:vAlign w:val="bottom"/>
          </w:tcPr>
          <w:p>
            <w:pPr>
              <w:spacing w:after="0"/>
              <w:rPr>
                <w:sz w:val="24"/>
                <w:szCs w:val="24"/>
                <w:color w:val="auto"/>
              </w:rPr>
            </w:pPr>
          </w:p>
        </w:tc>
        <w:tc>
          <w:tcPr>
            <w:tcW w:w="10700" w:type="dxa"/>
            <w:vAlign w:val="bottom"/>
            <w:gridSpan w:val="21"/>
          </w:tcPr>
          <w:p>
            <w:pPr>
              <w:spacing w:after="0"/>
              <w:rPr>
                <w:rFonts w:ascii="Arial" w:cs="Arial" w:eastAsia="Arial" w:hAnsi="Arial"/>
                <w:sz w:val="18"/>
                <w:szCs w:val="18"/>
                <w:color w:val="0000EE"/>
              </w:rPr>
            </w:pPr>
            <w:hyperlink w:anchor="page38">
              <w:r>
                <w:rPr>
                  <w:rFonts w:ascii="Arial" w:cs="Arial" w:eastAsia="Arial" w:hAnsi="Arial"/>
                  <w:sz w:val="18"/>
                  <w:szCs w:val="18"/>
                  <w:color w:val="0000EE"/>
                </w:rPr>
                <w:t>Item 2. Unregistered Sales of Equity Securities and Use of Proceeds</w:t>
              </w:r>
            </w:hyperlink>
          </w:p>
        </w:tc>
        <w:tc>
          <w:tcPr>
            <w:tcW w:w="280" w:type="dxa"/>
            <w:vAlign w:val="bottom"/>
          </w:tcPr>
          <w:p>
            <w:pPr>
              <w:jc w:val="right"/>
              <w:spacing w:after="0"/>
              <w:rPr>
                <w:sz w:val="20"/>
                <w:szCs w:val="20"/>
                <w:color w:val="auto"/>
              </w:rPr>
            </w:pPr>
            <w:r>
              <w:rPr>
                <w:rFonts w:ascii="Arial" w:cs="Arial" w:eastAsia="Arial" w:hAnsi="Arial"/>
                <w:sz w:val="18"/>
                <w:szCs w:val="18"/>
                <w:color w:val="auto"/>
              </w:rPr>
              <w:t>38</w:t>
            </w:r>
          </w:p>
        </w:tc>
      </w:tr>
      <w:tr>
        <w:trPr>
          <w:trHeight w:val="304"/>
        </w:trPr>
        <w:tc>
          <w:tcPr>
            <w:tcW w:w="440" w:type="dxa"/>
            <w:vAlign w:val="bottom"/>
          </w:tcPr>
          <w:p>
            <w:pPr>
              <w:spacing w:after="0"/>
              <w:rPr>
                <w:sz w:val="24"/>
                <w:szCs w:val="24"/>
                <w:color w:val="auto"/>
              </w:rPr>
            </w:pPr>
          </w:p>
        </w:tc>
        <w:tc>
          <w:tcPr>
            <w:tcW w:w="4220" w:type="dxa"/>
            <w:vAlign w:val="bottom"/>
            <w:tcBorders>
              <w:top w:val="single" w:sz="8" w:color="0000EE"/>
              <w:bottom w:val="single" w:sz="8" w:color="0000EE"/>
            </w:tcBorders>
            <w:gridSpan w:val="11"/>
          </w:tcPr>
          <w:p>
            <w:pPr>
              <w:spacing w:after="0"/>
              <w:rPr>
                <w:rFonts w:ascii="Arial" w:cs="Arial" w:eastAsia="Arial" w:hAnsi="Arial"/>
                <w:sz w:val="18"/>
                <w:szCs w:val="18"/>
                <w:color w:val="0000EE"/>
                <w:w w:val="88"/>
              </w:rPr>
            </w:pPr>
            <w:hyperlink w:anchor="page38">
              <w:r>
                <w:rPr>
                  <w:rFonts w:ascii="Arial" w:cs="Arial" w:eastAsia="Arial" w:hAnsi="Arial"/>
                  <w:sz w:val="18"/>
                  <w:szCs w:val="18"/>
                  <w:color w:val="0000EE"/>
                  <w:w w:val="88"/>
                </w:rPr>
                <w:t>Item 4. Submission of Matters to a Vote of Security Holders</w:t>
              </w:r>
            </w:hyperlink>
          </w:p>
        </w:tc>
        <w:tc>
          <w:tcPr>
            <w:tcW w:w="560" w:type="dxa"/>
            <w:vAlign w:val="bottom"/>
            <w:tcBorders>
              <w:top w:val="single" w:sz="8" w:color="0000EE"/>
            </w:tcBorders>
            <w:gridSpan w:val="3"/>
          </w:tcPr>
          <w:p>
            <w:pPr>
              <w:spacing w:after="0"/>
              <w:rPr>
                <w:sz w:val="24"/>
                <w:szCs w:val="24"/>
                <w:color w:val="auto"/>
              </w:rPr>
            </w:pPr>
          </w:p>
        </w:tc>
        <w:tc>
          <w:tcPr>
            <w:tcW w:w="5920" w:type="dxa"/>
            <w:vAlign w:val="bottom"/>
            <w:gridSpan w:val="7"/>
          </w:tcPr>
          <w:p>
            <w:pPr>
              <w:spacing w:after="0"/>
              <w:rPr>
                <w:sz w:val="24"/>
                <w:szCs w:val="24"/>
                <w:color w:val="auto"/>
              </w:rPr>
            </w:pPr>
          </w:p>
        </w:tc>
        <w:tc>
          <w:tcPr>
            <w:tcW w:w="280" w:type="dxa"/>
            <w:vAlign w:val="bottom"/>
          </w:tcPr>
          <w:p>
            <w:pPr>
              <w:jc w:val="right"/>
              <w:spacing w:after="0"/>
              <w:rPr>
                <w:sz w:val="20"/>
                <w:szCs w:val="20"/>
                <w:color w:val="auto"/>
              </w:rPr>
            </w:pPr>
            <w:r>
              <w:rPr>
                <w:rFonts w:ascii="Arial" w:cs="Arial" w:eastAsia="Arial" w:hAnsi="Arial"/>
                <w:sz w:val="18"/>
                <w:szCs w:val="18"/>
                <w:color w:val="auto"/>
              </w:rPr>
              <w:t>38</w:t>
            </w:r>
          </w:p>
        </w:tc>
      </w:tr>
      <w:tr>
        <w:trPr>
          <w:trHeight w:val="304"/>
        </w:trPr>
        <w:tc>
          <w:tcPr>
            <w:tcW w:w="440" w:type="dxa"/>
            <w:vAlign w:val="bottom"/>
          </w:tcPr>
          <w:p>
            <w:pPr>
              <w:spacing w:after="0"/>
              <w:rPr>
                <w:sz w:val="24"/>
                <w:szCs w:val="24"/>
                <w:color w:val="auto"/>
              </w:rPr>
            </w:pPr>
          </w:p>
        </w:tc>
        <w:tc>
          <w:tcPr>
            <w:tcW w:w="10700" w:type="dxa"/>
            <w:vAlign w:val="bottom"/>
            <w:gridSpan w:val="21"/>
          </w:tcPr>
          <w:p>
            <w:pPr>
              <w:spacing w:after="0"/>
              <w:rPr>
                <w:rFonts w:ascii="Arial" w:cs="Arial" w:eastAsia="Arial" w:hAnsi="Arial"/>
                <w:sz w:val="18"/>
                <w:szCs w:val="18"/>
                <w:color w:val="0000EE"/>
              </w:rPr>
            </w:pPr>
            <w:hyperlink w:anchor="page39">
              <w:r>
                <w:rPr>
                  <w:rFonts w:ascii="Arial" w:cs="Arial" w:eastAsia="Arial" w:hAnsi="Arial"/>
                  <w:sz w:val="18"/>
                  <w:szCs w:val="18"/>
                  <w:color w:val="0000EE"/>
                </w:rPr>
                <w:t>Item 6. Exhibits</w:t>
              </w:r>
            </w:hyperlink>
          </w:p>
        </w:tc>
        <w:tc>
          <w:tcPr>
            <w:tcW w:w="280" w:type="dxa"/>
            <w:vAlign w:val="bottom"/>
          </w:tcPr>
          <w:p>
            <w:pPr>
              <w:jc w:val="right"/>
              <w:spacing w:after="0"/>
              <w:rPr>
                <w:sz w:val="20"/>
                <w:szCs w:val="20"/>
                <w:color w:val="auto"/>
              </w:rPr>
            </w:pPr>
            <w:r>
              <w:rPr>
                <w:rFonts w:ascii="Arial" w:cs="Arial" w:eastAsia="Arial" w:hAnsi="Arial"/>
                <w:sz w:val="18"/>
                <w:szCs w:val="18"/>
                <w:color w:val="auto"/>
              </w:rPr>
              <w:t>39</w:t>
            </w:r>
          </w:p>
        </w:tc>
      </w:tr>
      <w:tr>
        <w:trPr>
          <w:trHeight w:val="20"/>
        </w:trPr>
        <w:tc>
          <w:tcPr>
            <w:tcW w:w="440" w:type="dxa"/>
            <w:vAlign w:val="bottom"/>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220" w:type="dxa"/>
            <w:vAlign w:val="bottom"/>
            <w:gridSpan w:val="2"/>
            <w:shd w:val="clear" w:color="auto" w:fill="0000EE"/>
          </w:tcPr>
          <w:p>
            <w:pPr>
              <w:spacing w:after="0" w:line="20" w:lineRule="exact"/>
              <w:rPr>
                <w:sz w:val="1"/>
                <w:szCs w:val="1"/>
                <w:color w:val="auto"/>
              </w:rPr>
            </w:pPr>
          </w:p>
        </w:tc>
        <w:tc>
          <w:tcPr>
            <w:tcW w:w="600" w:type="dxa"/>
            <w:vAlign w:val="bottom"/>
            <w:shd w:val="clear" w:color="auto" w:fill="0000EE"/>
          </w:tcPr>
          <w:p>
            <w:pPr>
              <w:spacing w:after="0" w:line="20" w:lineRule="exact"/>
              <w:rPr>
                <w:sz w:val="1"/>
                <w:szCs w:val="1"/>
                <w:color w:val="auto"/>
              </w:rPr>
            </w:pPr>
          </w:p>
        </w:tc>
        <w:tc>
          <w:tcPr>
            <w:tcW w:w="9580" w:type="dxa"/>
            <w:vAlign w:val="bottom"/>
            <w:gridSpan w:val="17"/>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r>
      <w:tr>
        <w:trPr>
          <w:trHeight w:val="304"/>
        </w:trPr>
        <w:tc>
          <w:tcPr>
            <w:tcW w:w="11140" w:type="dxa"/>
            <w:vAlign w:val="bottom"/>
            <w:gridSpan w:val="22"/>
          </w:tcPr>
          <w:p>
            <w:pPr>
              <w:spacing w:after="0"/>
              <w:rPr>
                <w:rFonts w:ascii="Arial" w:cs="Arial" w:eastAsia="Arial" w:hAnsi="Arial"/>
                <w:sz w:val="18"/>
                <w:szCs w:val="18"/>
                <w:color w:val="0000EE"/>
              </w:rPr>
            </w:pPr>
            <w:hyperlink w:anchor="page40">
              <w:r>
                <w:rPr>
                  <w:rFonts w:ascii="Arial" w:cs="Arial" w:eastAsia="Arial" w:hAnsi="Arial"/>
                  <w:sz w:val="18"/>
                  <w:szCs w:val="18"/>
                  <w:color w:val="0000EE"/>
                </w:rPr>
                <w:t>Signatures</w:t>
              </w:r>
            </w:hyperlink>
          </w:p>
        </w:tc>
        <w:tc>
          <w:tcPr>
            <w:tcW w:w="280" w:type="dxa"/>
            <w:vAlign w:val="bottom"/>
          </w:tcPr>
          <w:p>
            <w:pPr>
              <w:jc w:val="right"/>
              <w:spacing w:after="0"/>
              <w:rPr>
                <w:sz w:val="20"/>
                <w:szCs w:val="20"/>
                <w:color w:val="auto"/>
              </w:rPr>
            </w:pPr>
            <w:r>
              <w:rPr>
                <w:rFonts w:ascii="Arial" w:cs="Arial" w:eastAsia="Arial" w:hAnsi="Arial"/>
                <w:sz w:val="18"/>
                <w:szCs w:val="18"/>
                <w:color w:val="auto"/>
              </w:rPr>
              <w:t>40</w:t>
            </w:r>
          </w:p>
        </w:tc>
      </w:tr>
      <w:tr>
        <w:trPr>
          <w:trHeight w:val="20"/>
        </w:trPr>
        <w:tc>
          <w:tcPr>
            <w:tcW w:w="740" w:type="dxa"/>
            <w:vAlign w:val="bottom"/>
            <w:gridSpan w:val="2"/>
            <w:shd w:val="clear" w:color="auto" w:fill="0000EE"/>
          </w:tcPr>
          <w:p>
            <w:pPr>
              <w:spacing w:after="0" w:line="20" w:lineRule="exact"/>
              <w:rPr>
                <w:sz w:val="1"/>
                <w:szCs w:val="1"/>
                <w:color w:val="auto"/>
              </w:rPr>
            </w:pPr>
          </w:p>
        </w:tc>
        <w:tc>
          <w:tcPr>
            <w:tcW w:w="220" w:type="dxa"/>
            <w:vAlign w:val="bottom"/>
            <w:gridSpan w:val="2"/>
          </w:tcPr>
          <w:p>
            <w:pPr>
              <w:spacing w:after="0" w:line="20" w:lineRule="exact"/>
              <w:rPr>
                <w:sz w:val="1"/>
                <w:szCs w:val="1"/>
                <w:color w:val="auto"/>
              </w:rPr>
            </w:pPr>
          </w:p>
        </w:tc>
        <w:tc>
          <w:tcPr>
            <w:tcW w:w="10180" w:type="dxa"/>
            <w:vAlign w:val="bottom"/>
            <w:gridSpan w:val="18"/>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r>
      <w:tr>
        <w:trPr>
          <w:trHeight w:val="304"/>
        </w:trPr>
        <w:tc>
          <w:tcPr>
            <w:tcW w:w="11140" w:type="dxa"/>
            <w:vAlign w:val="bottom"/>
            <w:gridSpan w:val="22"/>
          </w:tcPr>
          <w:p>
            <w:pPr>
              <w:spacing w:after="0"/>
              <w:rPr>
                <w:rFonts w:ascii="Arial" w:cs="Arial" w:eastAsia="Arial" w:hAnsi="Arial"/>
                <w:sz w:val="18"/>
                <w:szCs w:val="18"/>
                <w:color w:val="0000EE"/>
              </w:rPr>
            </w:pPr>
            <w:hyperlink w:anchor="page41">
              <w:r>
                <w:rPr>
                  <w:rFonts w:ascii="Arial" w:cs="Arial" w:eastAsia="Arial" w:hAnsi="Arial"/>
                  <w:sz w:val="18"/>
                  <w:szCs w:val="18"/>
                  <w:color w:val="0000EE"/>
                </w:rPr>
                <w:t>Exhibit Index</w:t>
              </w:r>
            </w:hyperlink>
          </w:p>
        </w:tc>
        <w:tc>
          <w:tcPr>
            <w:tcW w:w="280" w:type="dxa"/>
            <w:vAlign w:val="bottom"/>
          </w:tcPr>
          <w:p>
            <w:pPr>
              <w:jc w:val="right"/>
              <w:spacing w:after="0"/>
              <w:rPr>
                <w:sz w:val="20"/>
                <w:szCs w:val="20"/>
                <w:color w:val="auto"/>
              </w:rPr>
            </w:pPr>
            <w:r>
              <w:rPr>
                <w:rFonts w:ascii="Arial" w:cs="Arial" w:eastAsia="Arial" w:hAnsi="Arial"/>
                <w:sz w:val="18"/>
                <w:szCs w:val="18"/>
                <w:color w:val="auto"/>
              </w:rPr>
              <w:t>41</w:t>
            </w:r>
          </w:p>
        </w:tc>
      </w:tr>
      <w:tr>
        <w:trPr>
          <w:trHeight w:val="20"/>
        </w:trPr>
        <w:tc>
          <w:tcPr>
            <w:tcW w:w="960" w:type="dxa"/>
            <w:vAlign w:val="bottom"/>
            <w:gridSpan w:val="4"/>
            <w:shd w:val="clear" w:color="auto" w:fill="0000EE"/>
          </w:tcPr>
          <w:p>
            <w:pPr>
              <w:spacing w:after="0" w:line="20" w:lineRule="exact"/>
              <w:rPr>
                <w:sz w:val="1"/>
                <w:szCs w:val="1"/>
                <w:color w:val="auto"/>
              </w:rPr>
            </w:pPr>
          </w:p>
        </w:tc>
        <w:tc>
          <w:tcPr>
            <w:tcW w:w="10180" w:type="dxa"/>
            <w:vAlign w:val="bottom"/>
            <w:gridSpan w:val="18"/>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r>
      <w:tr>
        <w:trPr>
          <w:trHeight w:val="397"/>
        </w:trPr>
        <w:tc>
          <w:tcPr>
            <w:tcW w:w="11140" w:type="dxa"/>
            <w:vAlign w:val="bottom"/>
            <w:gridSpan w:val="22"/>
          </w:tcPr>
          <w:p>
            <w:pPr>
              <w:spacing w:after="0"/>
              <w:rPr>
                <w:sz w:val="20"/>
                <w:szCs w:val="20"/>
                <w:color w:val="auto"/>
              </w:rPr>
            </w:pPr>
            <w:r>
              <w:rPr>
                <w:rFonts w:ascii="Arial" w:cs="Arial" w:eastAsia="Arial" w:hAnsi="Arial"/>
                <w:sz w:val="18"/>
                <w:szCs w:val="18"/>
                <w:color w:val="auto"/>
              </w:rPr>
              <w:t>“We,” “us,” “our” and “UTC,” unless the context otherwise requires, means United Technologies Corporation and its subsidiaries.</w:t>
            </w:r>
          </w:p>
        </w:tc>
        <w:tc>
          <w:tcPr>
            <w:tcW w:w="280" w:type="dxa"/>
            <w:vAlign w:val="bottom"/>
          </w:tcPr>
          <w:p>
            <w:pPr>
              <w:spacing w:after="0"/>
              <w:rPr>
                <w:sz w:val="24"/>
                <w:szCs w:val="24"/>
                <w:color w:val="auto"/>
              </w:rPr>
            </w:pPr>
          </w:p>
        </w:tc>
      </w:tr>
      <w:tr>
        <w:trPr>
          <w:trHeight w:val="365"/>
        </w:trPr>
        <w:tc>
          <w:tcPr>
            <w:tcW w:w="6580" w:type="dxa"/>
            <w:vAlign w:val="bottom"/>
            <w:gridSpan w:val="17"/>
          </w:tcPr>
          <w:p>
            <w:pPr>
              <w:ind w:left="5680"/>
              <w:spacing w:after="0"/>
              <w:rPr>
                <w:sz w:val="20"/>
                <w:szCs w:val="20"/>
                <w:color w:val="auto"/>
              </w:rPr>
            </w:pPr>
            <w:r>
              <w:rPr>
                <w:rFonts w:ascii="Arial" w:cs="Arial" w:eastAsia="Arial" w:hAnsi="Arial"/>
                <w:sz w:val="18"/>
                <w:szCs w:val="18"/>
                <w:color w:val="auto"/>
              </w:rPr>
              <w:t>2</w:t>
            </w:r>
          </w:p>
        </w:tc>
        <w:tc>
          <w:tcPr>
            <w:tcW w:w="70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3220" w:type="dxa"/>
            <w:vAlign w:val="bottom"/>
          </w:tcPr>
          <w:p>
            <w:pPr>
              <w:spacing w:after="0"/>
              <w:rPr>
                <w:sz w:val="24"/>
                <w:szCs w:val="24"/>
                <w:color w:val="auto"/>
              </w:rPr>
            </w:pPr>
          </w:p>
        </w:tc>
        <w:tc>
          <w:tcPr>
            <w:tcW w:w="280" w:type="dxa"/>
            <w:vAlign w:val="bottom"/>
          </w:tcPr>
          <w:p>
            <w:pPr>
              <w:spacing w:after="0"/>
              <w:rPr>
                <w:sz w:val="24"/>
                <w:szCs w:val="24"/>
                <w:color w:val="auto"/>
              </w:rPr>
            </w:pPr>
          </w:p>
        </w:tc>
      </w:tr>
    </w:tbl>
    <w:p>
      <w:pPr>
        <w:sectPr>
          <w:pgSz w:w="11900" w:h="16838" w:orient="portrait"/>
          <w:cols w:equalWidth="0" w:num="1">
            <w:col w:w="11420"/>
          </w:cols>
          <w:pgMar w:left="240" w:top="459" w:right="239" w:bottom="1440" w:gutter="0" w:footer="0" w:header="0"/>
        </w:sectPr>
      </w:pPr>
    </w:p>
    <w:bookmarkStart w:id="2" w:name="page3"/>
    <w:bookmarkEnd w:id="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tbl>
      <w:tblPr>
        <w:tblLayout w:type="fixed"/>
        <w:tblInd w:w="0" w:type="dxa"/>
        <w:tblCellMar>
          <w:top w:w="0" w:type="dxa"/>
          <w:left w:w="0" w:type="dxa"/>
          <w:bottom w:w="0" w:type="dxa"/>
          <w:right w:w="0" w:type="dxa"/>
        </w:tblCellMar>
      </w:tblPr>
      <w:tr>
        <w:trPr>
          <w:trHeight w:val="228"/>
        </w:trPr>
        <w:tc>
          <w:tcPr>
            <w:tcW w:w="10020" w:type="dxa"/>
            <w:vAlign w:val="bottom"/>
            <w:gridSpan w:val="6"/>
          </w:tcPr>
          <w:p>
            <w:pPr>
              <w:spacing w:after="0"/>
              <w:rPr>
                <w:sz w:val="20"/>
                <w:szCs w:val="20"/>
                <w:color w:val="auto"/>
              </w:rPr>
            </w:pPr>
            <w:r>
              <w:rPr>
                <w:rFonts w:ascii="Arial" w:cs="Arial" w:eastAsia="Arial" w:hAnsi="Arial"/>
                <w:sz w:val="18"/>
                <w:szCs w:val="18"/>
                <w:b w:val="1"/>
                <w:bCs w:val="1"/>
                <w:color w:val="auto"/>
              </w:rPr>
              <w:t>Part I – Financial Information</w:t>
            </w:r>
          </w:p>
        </w:tc>
        <w:tc>
          <w:tcPr>
            <w:tcW w:w="10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97"/>
        </w:trPr>
        <w:tc>
          <w:tcPr>
            <w:tcW w:w="1000" w:type="dxa"/>
            <w:vAlign w:val="bottom"/>
            <w:gridSpan w:val="2"/>
          </w:tcPr>
          <w:p>
            <w:pPr>
              <w:spacing w:after="0"/>
              <w:rPr>
                <w:sz w:val="20"/>
                <w:szCs w:val="20"/>
                <w:color w:val="auto"/>
              </w:rPr>
            </w:pPr>
            <w:r>
              <w:rPr>
                <w:rFonts w:ascii="Arial" w:cs="Arial" w:eastAsia="Arial" w:hAnsi="Arial"/>
                <w:sz w:val="18"/>
                <w:szCs w:val="18"/>
                <w:b w:val="1"/>
                <w:bCs w:val="1"/>
                <w:color w:val="auto"/>
              </w:rPr>
              <w:t>Item 1.</w:t>
            </w:r>
          </w:p>
        </w:tc>
        <w:tc>
          <w:tcPr>
            <w:tcW w:w="9020" w:type="dxa"/>
            <w:vAlign w:val="bottom"/>
            <w:gridSpan w:val="4"/>
          </w:tcPr>
          <w:p>
            <w:pPr>
              <w:ind w:left="40"/>
              <w:spacing w:after="0"/>
              <w:rPr>
                <w:sz w:val="20"/>
                <w:szCs w:val="20"/>
                <w:color w:val="auto"/>
              </w:rPr>
            </w:pPr>
            <w:r>
              <w:rPr>
                <w:rFonts w:ascii="Arial" w:cs="Arial" w:eastAsia="Arial" w:hAnsi="Arial"/>
                <w:sz w:val="18"/>
                <w:szCs w:val="18"/>
                <w:b w:val="1"/>
                <w:bCs w:val="1"/>
                <w:color w:val="auto"/>
              </w:rPr>
              <w:t>Financial Statements</w:t>
            </w:r>
          </w:p>
        </w:tc>
        <w:tc>
          <w:tcPr>
            <w:tcW w:w="10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66"/>
        </w:trPr>
        <w:tc>
          <w:tcPr>
            <w:tcW w:w="2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20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6880" w:type="dxa"/>
            <w:vAlign w:val="bottom"/>
            <w:gridSpan w:val="2"/>
          </w:tcPr>
          <w:p>
            <w:pPr>
              <w:jc w:val="center"/>
              <w:ind w:right="1740"/>
              <w:spacing w:after="0"/>
              <w:rPr>
                <w:sz w:val="20"/>
                <w:szCs w:val="20"/>
                <w:color w:val="auto"/>
              </w:rPr>
            </w:pPr>
            <w:r>
              <w:rPr>
                <w:rFonts w:ascii="Arial" w:cs="Arial" w:eastAsia="Arial" w:hAnsi="Arial"/>
                <w:sz w:val="18"/>
                <w:szCs w:val="18"/>
                <w:b w:val="1"/>
                <w:bCs w:val="1"/>
                <w:color w:val="auto"/>
                <w:w w:val="99"/>
              </w:rPr>
              <w:t>UNITED TECHNOLOGIES CORPORATION</w:t>
            </w:r>
          </w:p>
        </w:tc>
        <w:tc>
          <w:tcPr>
            <w:tcW w:w="10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8"/>
        </w:trPr>
        <w:tc>
          <w:tcPr>
            <w:tcW w:w="2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20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6880" w:type="dxa"/>
            <w:vAlign w:val="bottom"/>
            <w:gridSpan w:val="2"/>
          </w:tcPr>
          <w:p>
            <w:pPr>
              <w:jc w:val="center"/>
              <w:ind w:right="1740"/>
              <w:spacing w:after="0"/>
              <w:rPr>
                <w:sz w:val="20"/>
                <w:szCs w:val="20"/>
                <w:color w:val="auto"/>
              </w:rPr>
            </w:pPr>
            <w:r>
              <w:rPr>
                <w:rFonts w:ascii="Arial" w:cs="Arial" w:eastAsia="Arial" w:hAnsi="Arial"/>
                <w:sz w:val="18"/>
                <w:szCs w:val="18"/>
                <w:b w:val="1"/>
                <w:bCs w:val="1"/>
                <w:color w:val="auto"/>
                <w:w w:val="96"/>
              </w:rPr>
              <w:t>AND SUBSIDIARIES</w:t>
            </w:r>
          </w:p>
        </w:tc>
        <w:tc>
          <w:tcPr>
            <w:tcW w:w="10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340"/>
        </w:trPr>
        <w:tc>
          <w:tcPr>
            <w:tcW w:w="2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20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516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w w:val="96"/>
              </w:rPr>
              <w:t>CONDENSED CONSOLIDATED STATEMENT OF OPERATIONS</w:t>
            </w:r>
          </w:p>
        </w:tc>
        <w:tc>
          <w:tcPr>
            <w:tcW w:w="17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5"/>
        </w:trPr>
        <w:tc>
          <w:tcPr>
            <w:tcW w:w="2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20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6880" w:type="dxa"/>
            <w:vAlign w:val="bottom"/>
            <w:gridSpan w:val="2"/>
          </w:tcPr>
          <w:p>
            <w:pPr>
              <w:jc w:val="center"/>
              <w:ind w:right="1740"/>
              <w:spacing w:after="0"/>
              <w:rPr>
                <w:sz w:val="20"/>
                <w:szCs w:val="20"/>
                <w:color w:val="auto"/>
              </w:rPr>
            </w:pPr>
            <w:r>
              <w:rPr>
                <w:rFonts w:ascii="Arial" w:cs="Arial" w:eastAsia="Arial" w:hAnsi="Arial"/>
                <w:sz w:val="18"/>
                <w:szCs w:val="18"/>
                <w:b w:val="1"/>
                <w:bCs w:val="1"/>
                <w:color w:val="auto"/>
                <w:w w:val="89"/>
              </w:rPr>
              <w:t>(Unaudited)</w:t>
            </w:r>
          </w:p>
        </w:tc>
        <w:tc>
          <w:tcPr>
            <w:tcW w:w="10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40"/>
        </w:trPr>
        <w:tc>
          <w:tcPr>
            <w:tcW w:w="2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20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5160" w:type="dxa"/>
            <w:vAlign w:val="bottom"/>
          </w:tcPr>
          <w:p>
            <w:pPr>
              <w:spacing w:after="0"/>
              <w:rPr>
                <w:sz w:val="24"/>
                <w:szCs w:val="24"/>
                <w:color w:val="auto"/>
              </w:rPr>
            </w:pPr>
          </w:p>
        </w:tc>
        <w:tc>
          <w:tcPr>
            <w:tcW w:w="17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320" w:type="dxa"/>
            <w:vAlign w:val="bottom"/>
            <w:gridSpan w:val="5"/>
          </w:tcPr>
          <w:p>
            <w:pPr>
              <w:jc w:val="right"/>
              <w:ind w:right="280"/>
              <w:spacing w:after="0"/>
              <w:rPr>
                <w:sz w:val="20"/>
                <w:szCs w:val="20"/>
                <w:color w:val="auto"/>
              </w:rPr>
            </w:pPr>
            <w:r>
              <w:rPr>
                <w:rFonts w:ascii="Arial" w:cs="Arial" w:eastAsia="Arial" w:hAnsi="Arial"/>
                <w:sz w:val="14"/>
                <w:szCs w:val="14"/>
                <w:b w:val="1"/>
                <w:bCs w:val="1"/>
                <w:color w:val="auto"/>
              </w:rPr>
              <w:t>Quarter Ended</w:t>
            </w:r>
          </w:p>
        </w:tc>
        <w:tc>
          <w:tcPr>
            <w:tcW w:w="0" w:type="dxa"/>
            <w:vAlign w:val="bottom"/>
          </w:tcPr>
          <w:p>
            <w:pPr>
              <w:spacing w:after="0"/>
              <w:rPr>
                <w:sz w:val="1"/>
                <w:szCs w:val="1"/>
                <w:color w:val="auto"/>
              </w:rPr>
            </w:pPr>
          </w:p>
        </w:tc>
      </w:tr>
      <w:tr>
        <w:trPr>
          <w:trHeight w:val="161"/>
        </w:trPr>
        <w:tc>
          <w:tcPr>
            <w:tcW w:w="10020" w:type="dxa"/>
            <w:vAlign w:val="bottom"/>
            <w:gridSpan w:val="6"/>
            <w:vMerge w:val="restart"/>
          </w:tcPr>
          <w:p>
            <w:pPr>
              <w:spacing w:after="0"/>
              <w:rPr>
                <w:sz w:val="20"/>
                <w:szCs w:val="20"/>
                <w:color w:val="auto"/>
              </w:rPr>
            </w:pPr>
            <w:r>
              <w:rPr>
                <w:rFonts w:ascii="Arial" w:cs="Arial" w:eastAsia="Arial" w:hAnsi="Arial"/>
                <w:sz w:val="14"/>
                <w:szCs w:val="14"/>
                <w:b w:val="1"/>
                <w:bCs w:val="1"/>
                <w:color w:val="auto"/>
              </w:rPr>
              <w:t>(in millions of dollars, except per share amounts)</w:t>
            </w:r>
          </w:p>
        </w:tc>
        <w:tc>
          <w:tcPr>
            <w:tcW w:w="100" w:type="dxa"/>
            <w:vAlign w:val="bottom"/>
          </w:tcPr>
          <w:p>
            <w:pPr>
              <w:spacing w:after="0"/>
              <w:rPr>
                <w:sz w:val="14"/>
                <w:szCs w:val="14"/>
                <w:color w:val="auto"/>
              </w:rPr>
            </w:pPr>
          </w:p>
        </w:tc>
        <w:tc>
          <w:tcPr>
            <w:tcW w:w="1320" w:type="dxa"/>
            <w:vAlign w:val="bottom"/>
            <w:gridSpan w:val="5"/>
          </w:tcPr>
          <w:p>
            <w:pPr>
              <w:jc w:val="right"/>
              <w:ind w:right="480"/>
              <w:spacing w:after="0"/>
              <w:rPr>
                <w:sz w:val="20"/>
                <w:szCs w:val="20"/>
                <w:color w:val="auto"/>
              </w:rPr>
            </w:pPr>
            <w:r>
              <w:rPr>
                <w:rFonts w:ascii="Arial" w:cs="Arial" w:eastAsia="Arial" w:hAnsi="Arial"/>
                <w:sz w:val="14"/>
                <w:szCs w:val="14"/>
                <w:b w:val="1"/>
                <w:bCs w:val="1"/>
                <w:color w:val="auto"/>
              </w:rPr>
              <w:t>June 30,</w:t>
            </w:r>
          </w:p>
        </w:tc>
        <w:tc>
          <w:tcPr>
            <w:tcW w:w="0" w:type="dxa"/>
            <w:vAlign w:val="bottom"/>
          </w:tcPr>
          <w:p>
            <w:pPr>
              <w:spacing w:after="0"/>
              <w:rPr>
                <w:sz w:val="1"/>
                <w:szCs w:val="1"/>
                <w:color w:val="auto"/>
              </w:rPr>
            </w:pPr>
          </w:p>
        </w:tc>
      </w:tr>
      <w:tr>
        <w:trPr>
          <w:trHeight w:val="142"/>
        </w:trPr>
        <w:tc>
          <w:tcPr>
            <w:tcW w:w="10020" w:type="dxa"/>
            <w:vAlign w:val="bottom"/>
            <w:gridSpan w:val="6"/>
            <w:vMerge w:val="continue"/>
          </w:tcPr>
          <w:p>
            <w:pPr>
              <w:spacing w:after="0"/>
              <w:rPr>
                <w:sz w:val="12"/>
                <w:szCs w:val="12"/>
                <w:color w:val="auto"/>
              </w:rPr>
            </w:pPr>
          </w:p>
        </w:tc>
        <w:tc>
          <w:tcPr>
            <w:tcW w:w="100" w:type="dxa"/>
            <w:vAlign w:val="bottom"/>
            <w:tcBorders>
              <w:top w:val="single" w:sz="8" w:color="auto"/>
            </w:tcBorders>
          </w:tcPr>
          <w:p>
            <w:pPr>
              <w:spacing w:after="0"/>
              <w:rPr>
                <w:sz w:val="12"/>
                <w:szCs w:val="12"/>
                <w:color w:val="auto"/>
              </w:rPr>
            </w:pPr>
          </w:p>
        </w:tc>
        <w:tc>
          <w:tcPr>
            <w:tcW w:w="480" w:type="dxa"/>
            <w:vAlign w:val="bottom"/>
            <w:tcBorders>
              <w:top w:val="single" w:sz="8" w:color="auto"/>
            </w:tcBorders>
          </w:tcPr>
          <w:p>
            <w:pPr>
              <w:jc w:val="right"/>
              <w:ind w:right="55"/>
              <w:spacing w:after="0" w:line="142" w:lineRule="exact"/>
              <w:rPr>
                <w:sz w:val="20"/>
                <w:szCs w:val="20"/>
                <w:color w:val="auto"/>
              </w:rPr>
            </w:pPr>
            <w:r>
              <w:rPr>
                <w:rFonts w:ascii="Arial" w:cs="Arial" w:eastAsia="Arial" w:hAnsi="Arial"/>
                <w:sz w:val="14"/>
                <w:szCs w:val="14"/>
                <w:b w:val="1"/>
                <w:bCs w:val="1"/>
                <w:color w:val="auto"/>
              </w:rPr>
              <w:t>2008</w:t>
            </w:r>
          </w:p>
        </w:tc>
        <w:tc>
          <w:tcPr>
            <w:tcW w:w="220" w:type="dxa"/>
            <w:vAlign w:val="bottom"/>
            <w:tcBorders>
              <w:top w:val="single" w:sz="8" w:color="auto"/>
            </w:tcBorders>
          </w:tcPr>
          <w:p>
            <w:pPr>
              <w:spacing w:after="0"/>
              <w:rPr>
                <w:sz w:val="12"/>
                <w:szCs w:val="12"/>
                <w:color w:val="auto"/>
              </w:rPr>
            </w:pPr>
          </w:p>
        </w:tc>
        <w:tc>
          <w:tcPr>
            <w:tcW w:w="100" w:type="dxa"/>
            <w:vAlign w:val="bottom"/>
            <w:tcBorders>
              <w:top w:val="single" w:sz="8" w:color="auto"/>
            </w:tcBorders>
          </w:tcPr>
          <w:p>
            <w:pPr>
              <w:spacing w:after="0"/>
              <w:rPr>
                <w:sz w:val="12"/>
                <w:szCs w:val="12"/>
                <w:color w:val="auto"/>
              </w:rPr>
            </w:pPr>
          </w:p>
        </w:tc>
        <w:tc>
          <w:tcPr>
            <w:tcW w:w="500" w:type="dxa"/>
            <w:vAlign w:val="bottom"/>
            <w:tcBorders>
              <w:top w:val="single" w:sz="8" w:color="auto"/>
            </w:tcBorders>
          </w:tcPr>
          <w:p>
            <w:pPr>
              <w:jc w:val="right"/>
              <w:ind w:right="73"/>
              <w:spacing w:after="0" w:line="142" w:lineRule="exact"/>
              <w:rPr>
                <w:sz w:val="20"/>
                <w:szCs w:val="20"/>
                <w:color w:val="auto"/>
              </w:rPr>
            </w:pPr>
            <w:r>
              <w:rPr>
                <w:rFonts w:ascii="Arial" w:cs="Arial" w:eastAsia="Arial" w:hAnsi="Arial"/>
                <w:sz w:val="14"/>
                <w:szCs w:val="14"/>
                <w:b w:val="1"/>
                <w:bCs w:val="1"/>
                <w:color w:val="auto"/>
              </w:rPr>
              <w:t>2007</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98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Revenues:</w:t>
            </w:r>
          </w:p>
        </w:tc>
        <w:tc>
          <w:tcPr>
            <w:tcW w:w="2000" w:type="dxa"/>
            <w:vAlign w:val="bottom"/>
            <w:tcBorders>
              <w:top w:val="single" w:sz="8" w:color="auto"/>
            </w:tcBorders>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5160" w:type="dxa"/>
            <w:vAlign w:val="bottom"/>
            <w:shd w:val="clear" w:color="auto" w:fill="CCEEFF"/>
          </w:tcPr>
          <w:p>
            <w:pPr>
              <w:spacing w:after="0"/>
              <w:rPr>
                <w:sz w:val="18"/>
                <w:szCs w:val="18"/>
                <w:color w:val="auto"/>
              </w:rPr>
            </w:pPr>
          </w:p>
        </w:tc>
        <w:tc>
          <w:tcPr>
            <w:tcW w:w="1720" w:type="dxa"/>
            <w:vAlign w:val="bottom"/>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480" w:type="dxa"/>
            <w:vAlign w:val="bottom"/>
            <w:tcBorders>
              <w:top w:val="single" w:sz="8" w:color="auto"/>
            </w:tcBorders>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500" w:type="dxa"/>
            <w:vAlign w:val="bottom"/>
            <w:tcBorders>
              <w:top w:val="single" w:sz="8" w:color="auto"/>
            </w:tcBorders>
            <w:shd w:val="clear" w:color="auto" w:fill="CCEEFF"/>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0000" w:type="dxa"/>
            <w:vAlign w:val="bottom"/>
            <w:gridSpan w:val="5"/>
          </w:tcPr>
          <w:p>
            <w:pPr>
              <w:ind w:left="420"/>
              <w:spacing w:after="0"/>
              <w:rPr>
                <w:sz w:val="20"/>
                <w:szCs w:val="20"/>
                <w:color w:val="auto"/>
              </w:rPr>
            </w:pPr>
            <w:r>
              <w:rPr>
                <w:rFonts w:ascii="Arial" w:cs="Arial" w:eastAsia="Arial" w:hAnsi="Arial"/>
                <w:sz w:val="18"/>
                <w:szCs w:val="18"/>
                <w:color w:val="auto"/>
              </w:rPr>
              <w:t>Product sales</w:t>
            </w: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480" w:type="dxa"/>
            <w:vAlign w:val="bottom"/>
          </w:tcPr>
          <w:p>
            <w:pPr>
              <w:jc w:val="right"/>
              <w:spacing w:after="0"/>
              <w:rPr>
                <w:sz w:val="20"/>
                <w:szCs w:val="20"/>
                <w:color w:val="auto"/>
              </w:rPr>
            </w:pPr>
            <w:r>
              <w:rPr>
                <w:rFonts w:ascii="Arial" w:cs="Arial" w:eastAsia="Arial" w:hAnsi="Arial"/>
                <w:sz w:val="18"/>
                <w:szCs w:val="18"/>
                <w:color w:val="auto"/>
                <w:w w:val="83"/>
              </w:rPr>
              <w:t>11,384</w:t>
            </w:r>
          </w:p>
        </w:tc>
        <w:tc>
          <w:tcPr>
            <w:tcW w:w="3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500" w:type="dxa"/>
            <w:vAlign w:val="bottom"/>
          </w:tcPr>
          <w:p>
            <w:pPr>
              <w:jc w:val="right"/>
              <w:spacing w:after="0"/>
              <w:rPr>
                <w:sz w:val="20"/>
                <w:szCs w:val="20"/>
                <w:color w:val="auto"/>
              </w:rPr>
            </w:pPr>
            <w:r>
              <w:rPr>
                <w:rFonts w:ascii="Arial" w:cs="Arial" w:eastAsia="Arial" w:hAnsi="Arial"/>
                <w:sz w:val="18"/>
                <w:szCs w:val="18"/>
                <w:color w:val="auto"/>
                <w:w w:val="87"/>
              </w:rPr>
              <w:t>10,196</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0000" w:type="dxa"/>
            <w:vAlign w:val="bottom"/>
            <w:gridSpan w:val="5"/>
            <w:shd w:val="clear" w:color="auto" w:fill="CCEEFF"/>
          </w:tcPr>
          <w:p>
            <w:pPr>
              <w:ind w:left="420"/>
              <w:spacing w:after="0"/>
              <w:rPr>
                <w:sz w:val="20"/>
                <w:szCs w:val="20"/>
                <w:color w:val="auto"/>
              </w:rPr>
            </w:pPr>
            <w:r>
              <w:rPr>
                <w:rFonts w:ascii="Arial" w:cs="Arial" w:eastAsia="Arial" w:hAnsi="Arial"/>
                <w:sz w:val="18"/>
                <w:szCs w:val="18"/>
                <w:color w:val="auto"/>
              </w:rPr>
              <w:t>Service sales</w:t>
            </w:r>
          </w:p>
        </w:tc>
        <w:tc>
          <w:tcPr>
            <w:tcW w:w="100" w:type="dxa"/>
            <w:vAlign w:val="bottom"/>
            <w:shd w:val="clear" w:color="auto" w:fill="CCEEFF"/>
          </w:tcPr>
          <w:p>
            <w:pPr>
              <w:spacing w:after="0"/>
              <w:rPr>
                <w:sz w:val="18"/>
                <w:szCs w:val="18"/>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4,151</w:t>
            </w: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3,570</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10000" w:type="dxa"/>
            <w:vAlign w:val="bottom"/>
            <w:gridSpan w:val="5"/>
          </w:tcPr>
          <w:p>
            <w:pPr>
              <w:ind w:left="420"/>
              <w:spacing w:after="0"/>
              <w:rPr>
                <w:sz w:val="20"/>
                <w:szCs w:val="20"/>
                <w:color w:val="auto"/>
              </w:rPr>
            </w:pPr>
            <w:r>
              <w:rPr>
                <w:rFonts w:ascii="Arial" w:cs="Arial" w:eastAsia="Arial" w:hAnsi="Arial"/>
                <w:sz w:val="18"/>
                <w:szCs w:val="18"/>
                <w:color w:val="auto"/>
              </w:rPr>
              <w:t>Other income, net</w:t>
            </w:r>
          </w:p>
        </w:tc>
        <w:tc>
          <w:tcPr>
            <w:tcW w:w="100" w:type="dxa"/>
            <w:vAlign w:val="bottom"/>
            <w:tcBorders>
              <w:bottom w:val="single" w:sz="8" w:color="auto"/>
            </w:tcBorders>
          </w:tcPr>
          <w:p>
            <w:pPr>
              <w:spacing w:after="0"/>
              <w:rPr>
                <w:sz w:val="19"/>
                <w:szCs w:val="19"/>
                <w:color w:val="auto"/>
              </w:rPr>
            </w:pPr>
          </w:p>
        </w:tc>
        <w:tc>
          <w:tcPr>
            <w:tcW w:w="4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132</w:t>
            </w:r>
          </w:p>
        </w:tc>
        <w:tc>
          <w:tcPr>
            <w:tcW w:w="22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5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138</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20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5160" w:type="dxa"/>
            <w:vAlign w:val="bottom"/>
            <w:shd w:val="clear" w:color="auto" w:fill="CCEEFF"/>
          </w:tcPr>
          <w:p>
            <w:pPr>
              <w:spacing w:after="0"/>
              <w:rPr>
                <w:sz w:val="18"/>
                <w:szCs w:val="18"/>
                <w:color w:val="auto"/>
              </w:rPr>
            </w:pPr>
          </w:p>
        </w:tc>
        <w:tc>
          <w:tcPr>
            <w:tcW w:w="172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4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3"/>
              </w:rPr>
              <w:t>15,667</w:t>
            </w:r>
          </w:p>
        </w:tc>
        <w:tc>
          <w:tcPr>
            <w:tcW w:w="22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5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7"/>
              </w:rPr>
              <w:t>13,904</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1"/>
        </w:trPr>
        <w:tc>
          <w:tcPr>
            <w:tcW w:w="10020" w:type="dxa"/>
            <w:vAlign w:val="bottom"/>
            <w:gridSpan w:val="6"/>
          </w:tcPr>
          <w:p>
            <w:pPr>
              <w:spacing w:after="0"/>
              <w:rPr>
                <w:sz w:val="20"/>
                <w:szCs w:val="20"/>
                <w:color w:val="auto"/>
              </w:rPr>
            </w:pPr>
            <w:r>
              <w:rPr>
                <w:rFonts w:ascii="Arial" w:cs="Arial" w:eastAsia="Arial" w:hAnsi="Arial"/>
                <w:sz w:val="18"/>
                <w:szCs w:val="18"/>
                <w:color w:val="auto"/>
              </w:rPr>
              <w:t>Costs and expenses:</w:t>
            </w:r>
          </w:p>
        </w:tc>
        <w:tc>
          <w:tcPr>
            <w:tcW w:w="10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8"/>
        </w:trPr>
        <w:tc>
          <w:tcPr>
            <w:tcW w:w="20" w:type="dxa"/>
            <w:vAlign w:val="bottom"/>
          </w:tcPr>
          <w:p>
            <w:pPr>
              <w:spacing w:after="0"/>
              <w:rPr>
                <w:sz w:val="18"/>
                <w:szCs w:val="18"/>
                <w:color w:val="auto"/>
              </w:rPr>
            </w:pPr>
          </w:p>
        </w:tc>
        <w:tc>
          <w:tcPr>
            <w:tcW w:w="10000" w:type="dxa"/>
            <w:vAlign w:val="bottom"/>
            <w:gridSpan w:val="5"/>
            <w:shd w:val="clear" w:color="auto" w:fill="CCEEFF"/>
          </w:tcPr>
          <w:p>
            <w:pPr>
              <w:ind w:left="420"/>
              <w:spacing w:after="0"/>
              <w:rPr>
                <w:sz w:val="20"/>
                <w:szCs w:val="20"/>
                <w:color w:val="auto"/>
              </w:rPr>
            </w:pPr>
            <w:r>
              <w:rPr>
                <w:rFonts w:ascii="Arial" w:cs="Arial" w:eastAsia="Arial" w:hAnsi="Arial"/>
                <w:sz w:val="18"/>
                <w:szCs w:val="18"/>
                <w:color w:val="auto"/>
              </w:rPr>
              <w:t>Cost of products sold</w:t>
            </w:r>
          </w:p>
        </w:tc>
        <w:tc>
          <w:tcPr>
            <w:tcW w:w="100" w:type="dxa"/>
            <w:vAlign w:val="bottom"/>
            <w:shd w:val="clear" w:color="auto" w:fill="CCEEFF"/>
          </w:tcPr>
          <w:p>
            <w:pPr>
              <w:spacing w:after="0"/>
              <w:rPr>
                <w:sz w:val="18"/>
                <w:szCs w:val="18"/>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8,556</w:t>
            </w: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7,683</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0000" w:type="dxa"/>
            <w:vAlign w:val="bottom"/>
            <w:gridSpan w:val="5"/>
          </w:tcPr>
          <w:p>
            <w:pPr>
              <w:ind w:left="420"/>
              <w:spacing w:after="0"/>
              <w:rPr>
                <w:sz w:val="20"/>
                <w:szCs w:val="20"/>
                <w:color w:val="auto"/>
              </w:rPr>
            </w:pPr>
            <w:r>
              <w:rPr>
                <w:rFonts w:ascii="Arial" w:cs="Arial" w:eastAsia="Arial" w:hAnsi="Arial"/>
                <w:sz w:val="18"/>
                <w:szCs w:val="18"/>
                <w:color w:val="auto"/>
              </w:rPr>
              <w:t>Cost of services sold</w:t>
            </w:r>
          </w:p>
        </w:tc>
        <w:tc>
          <w:tcPr>
            <w:tcW w:w="100" w:type="dxa"/>
            <w:vAlign w:val="bottom"/>
          </w:tcPr>
          <w:p>
            <w:pPr>
              <w:spacing w:after="0"/>
              <w:rPr>
                <w:sz w:val="18"/>
                <w:szCs w:val="18"/>
                <w:color w:val="auto"/>
              </w:rPr>
            </w:pPr>
          </w:p>
        </w:tc>
        <w:tc>
          <w:tcPr>
            <w:tcW w:w="480" w:type="dxa"/>
            <w:vAlign w:val="bottom"/>
          </w:tcPr>
          <w:p>
            <w:pPr>
              <w:jc w:val="right"/>
              <w:spacing w:after="0"/>
              <w:rPr>
                <w:sz w:val="20"/>
                <w:szCs w:val="20"/>
                <w:color w:val="auto"/>
              </w:rPr>
            </w:pPr>
            <w:r>
              <w:rPr>
                <w:rFonts w:ascii="Arial" w:cs="Arial" w:eastAsia="Arial" w:hAnsi="Arial"/>
                <w:sz w:val="18"/>
                <w:szCs w:val="18"/>
                <w:color w:val="auto"/>
              </w:rPr>
              <w:t>2,803</w:t>
            </w: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rPr>
              <w:t>2,446</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0000" w:type="dxa"/>
            <w:vAlign w:val="bottom"/>
            <w:gridSpan w:val="5"/>
            <w:shd w:val="clear" w:color="auto" w:fill="CCEEFF"/>
          </w:tcPr>
          <w:p>
            <w:pPr>
              <w:ind w:left="420"/>
              <w:spacing w:after="0"/>
              <w:rPr>
                <w:sz w:val="20"/>
                <w:szCs w:val="20"/>
                <w:color w:val="auto"/>
              </w:rPr>
            </w:pPr>
            <w:r>
              <w:rPr>
                <w:rFonts w:ascii="Arial" w:cs="Arial" w:eastAsia="Arial" w:hAnsi="Arial"/>
                <w:sz w:val="18"/>
                <w:szCs w:val="18"/>
                <w:color w:val="auto"/>
              </w:rPr>
              <w:t>Research and development</w:t>
            </w:r>
          </w:p>
        </w:tc>
        <w:tc>
          <w:tcPr>
            <w:tcW w:w="100" w:type="dxa"/>
            <w:vAlign w:val="bottom"/>
            <w:shd w:val="clear" w:color="auto" w:fill="CCEEFF"/>
          </w:tcPr>
          <w:p>
            <w:pPr>
              <w:spacing w:after="0"/>
              <w:rPr>
                <w:sz w:val="18"/>
                <w:szCs w:val="18"/>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434</w:t>
            </w: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416</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10000" w:type="dxa"/>
            <w:vAlign w:val="bottom"/>
            <w:gridSpan w:val="5"/>
          </w:tcPr>
          <w:p>
            <w:pPr>
              <w:ind w:left="420"/>
              <w:spacing w:after="0"/>
              <w:rPr>
                <w:sz w:val="20"/>
                <w:szCs w:val="20"/>
                <w:color w:val="auto"/>
              </w:rPr>
            </w:pPr>
            <w:r>
              <w:rPr>
                <w:rFonts w:ascii="Arial" w:cs="Arial" w:eastAsia="Arial" w:hAnsi="Arial"/>
                <w:sz w:val="18"/>
                <w:szCs w:val="18"/>
                <w:color w:val="auto"/>
              </w:rPr>
              <w:t>Selling, general and administrative</w:t>
            </w:r>
          </w:p>
        </w:tc>
        <w:tc>
          <w:tcPr>
            <w:tcW w:w="100" w:type="dxa"/>
            <w:vAlign w:val="bottom"/>
            <w:tcBorders>
              <w:bottom w:val="single" w:sz="8" w:color="auto"/>
            </w:tcBorders>
          </w:tcPr>
          <w:p>
            <w:pPr>
              <w:spacing w:after="0"/>
              <w:rPr>
                <w:sz w:val="19"/>
                <w:szCs w:val="19"/>
                <w:color w:val="auto"/>
              </w:rPr>
            </w:pPr>
          </w:p>
        </w:tc>
        <w:tc>
          <w:tcPr>
            <w:tcW w:w="4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1,775</w:t>
            </w:r>
          </w:p>
        </w:tc>
        <w:tc>
          <w:tcPr>
            <w:tcW w:w="22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5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1,494</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0000" w:type="dxa"/>
            <w:vAlign w:val="bottom"/>
            <w:gridSpan w:val="5"/>
            <w:shd w:val="clear" w:color="auto" w:fill="CCEEFF"/>
          </w:tcPr>
          <w:p>
            <w:pPr>
              <w:ind w:left="860"/>
              <w:spacing w:after="0"/>
              <w:rPr>
                <w:sz w:val="20"/>
                <w:szCs w:val="20"/>
                <w:color w:val="auto"/>
              </w:rPr>
            </w:pPr>
            <w:r>
              <w:rPr>
                <w:rFonts w:ascii="Arial" w:cs="Arial" w:eastAsia="Arial" w:hAnsi="Arial"/>
                <w:sz w:val="18"/>
                <w:szCs w:val="18"/>
                <w:color w:val="auto"/>
              </w:rPr>
              <w:t>Operating profit</w:t>
            </w:r>
          </w:p>
        </w:tc>
        <w:tc>
          <w:tcPr>
            <w:tcW w:w="100" w:type="dxa"/>
            <w:vAlign w:val="bottom"/>
            <w:shd w:val="clear" w:color="auto" w:fill="CCEEFF"/>
          </w:tcPr>
          <w:p>
            <w:pPr>
              <w:spacing w:after="0"/>
              <w:rPr>
                <w:sz w:val="18"/>
                <w:szCs w:val="18"/>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2,099</w:t>
            </w: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1,865</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980" w:type="dxa"/>
            <w:vAlign w:val="bottom"/>
          </w:tcPr>
          <w:p>
            <w:pPr>
              <w:spacing w:after="0"/>
              <w:rPr>
                <w:sz w:val="20"/>
                <w:szCs w:val="20"/>
                <w:color w:val="auto"/>
              </w:rPr>
            </w:pPr>
            <w:r>
              <w:rPr>
                <w:rFonts w:ascii="Arial" w:cs="Arial" w:eastAsia="Arial" w:hAnsi="Arial"/>
                <w:sz w:val="18"/>
                <w:szCs w:val="18"/>
                <w:color w:val="auto"/>
              </w:rPr>
              <w:t>Interest</w:t>
            </w:r>
          </w:p>
        </w:tc>
        <w:tc>
          <w:tcPr>
            <w:tcW w:w="20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5160" w:type="dxa"/>
            <w:vAlign w:val="bottom"/>
          </w:tcPr>
          <w:p>
            <w:pPr>
              <w:spacing w:after="0"/>
              <w:rPr>
                <w:sz w:val="19"/>
                <w:szCs w:val="19"/>
                <w:color w:val="auto"/>
              </w:rPr>
            </w:pPr>
          </w:p>
        </w:tc>
        <w:tc>
          <w:tcPr>
            <w:tcW w:w="172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4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176</w:t>
            </w:r>
          </w:p>
        </w:tc>
        <w:tc>
          <w:tcPr>
            <w:tcW w:w="22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5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163</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0000" w:type="dxa"/>
            <w:vAlign w:val="bottom"/>
            <w:gridSpan w:val="5"/>
            <w:shd w:val="clear" w:color="auto" w:fill="CCEEFF"/>
          </w:tcPr>
          <w:p>
            <w:pPr>
              <w:ind w:left="420"/>
              <w:spacing w:after="0"/>
              <w:rPr>
                <w:sz w:val="20"/>
                <w:szCs w:val="20"/>
                <w:color w:val="auto"/>
              </w:rPr>
            </w:pPr>
            <w:r>
              <w:rPr>
                <w:rFonts w:ascii="Arial" w:cs="Arial" w:eastAsia="Arial" w:hAnsi="Arial"/>
                <w:sz w:val="18"/>
                <w:szCs w:val="18"/>
                <w:color w:val="auto"/>
              </w:rPr>
              <w:t>Income before income taxes and minority interests</w:t>
            </w:r>
          </w:p>
        </w:tc>
        <w:tc>
          <w:tcPr>
            <w:tcW w:w="100" w:type="dxa"/>
            <w:vAlign w:val="bottom"/>
            <w:shd w:val="clear" w:color="auto" w:fill="CCEEFF"/>
          </w:tcPr>
          <w:p>
            <w:pPr>
              <w:spacing w:after="0"/>
              <w:rPr>
                <w:sz w:val="18"/>
                <w:szCs w:val="18"/>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1,923</w:t>
            </w: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1,702</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80" w:type="dxa"/>
            <w:vAlign w:val="bottom"/>
          </w:tcPr>
          <w:p>
            <w:pPr>
              <w:spacing w:after="0"/>
              <w:rPr>
                <w:sz w:val="20"/>
                <w:szCs w:val="20"/>
                <w:color w:val="auto"/>
              </w:rPr>
            </w:pPr>
            <w:r>
              <w:rPr>
                <w:rFonts w:ascii="Arial" w:cs="Arial" w:eastAsia="Arial" w:hAnsi="Arial"/>
                <w:sz w:val="18"/>
                <w:szCs w:val="18"/>
                <w:color w:val="auto"/>
                <w:w w:val="89"/>
              </w:rPr>
              <w:t>Income taxes</w:t>
            </w:r>
          </w:p>
        </w:tc>
        <w:tc>
          <w:tcPr>
            <w:tcW w:w="20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160" w:type="dxa"/>
            <w:vAlign w:val="bottom"/>
          </w:tcPr>
          <w:p>
            <w:pPr>
              <w:spacing w:after="0"/>
              <w:rPr>
                <w:sz w:val="18"/>
                <w:szCs w:val="18"/>
                <w:color w:val="auto"/>
              </w:rPr>
            </w:pPr>
          </w:p>
        </w:tc>
        <w:tc>
          <w:tcPr>
            <w:tcW w:w="17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80" w:type="dxa"/>
            <w:vAlign w:val="bottom"/>
          </w:tcPr>
          <w:p>
            <w:pPr>
              <w:jc w:val="right"/>
              <w:spacing w:after="0"/>
              <w:rPr>
                <w:sz w:val="20"/>
                <w:szCs w:val="20"/>
                <w:color w:val="auto"/>
              </w:rPr>
            </w:pPr>
            <w:r>
              <w:rPr>
                <w:rFonts w:ascii="Arial" w:cs="Arial" w:eastAsia="Arial" w:hAnsi="Arial"/>
                <w:sz w:val="18"/>
                <w:szCs w:val="18"/>
                <w:color w:val="auto"/>
              </w:rPr>
              <w:t>548</w:t>
            </w: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rPr>
              <w:t>479</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0000" w:type="dxa"/>
            <w:vAlign w:val="bottom"/>
            <w:gridSpan w:val="5"/>
            <w:shd w:val="clear" w:color="auto" w:fill="CCEEFF"/>
          </w:tcPr>
          <w:p>
            <w:pPr>
              <w:spacing w:after="0"/>
              <w:rPr>
                <w:sz w:val="20"/>
                <w:szCs w:val="20"/>
                <w:color w:val="auto"/>
              </w:rPr>
            </w:pPr>
            <w:r>
              <w:rPr>
                <w:rFonts w:ascii="Arial" w:cs="Arial" w:eastAsia="Arial" w:hAnsi="Arial"/>
                <w:sz w:val="18"/>
                <w:szCs w:val="18"/>
                <w:color w:val="auto"/>
              </w:rPr>
              <w:t>Minority interests in subsidiaries’ earnings</w:t>
            </w:r>
          </w:p>
        </w:tc>
        <w:tc>
          <w:tcPr>
            <w:tcW w:w="100" w:type="dxa"/>
            <w:vAlign w:val="bottom"/>
            <w:tcBorders>
              <w:bottom w:val="single" w:sz="8" w:color="auto"/>
            </w:tcBorders>
            <w:shd w:val="clear" w:color="auto" w:fill="CCEEFF"/>
          </w:tcPr>
          <w:p>
            <w:pPr>
              <w:spacing w:after="0"/>
              <w:rPr>
                <w:sz w:val="18"/>
                <w:szCs w:val="18"/>
                <w:color w:val="auto"/>
              </w:rPr>
            </w:pPr>
          </w:p>
        </w:tc>
        <w:tc>
          <w:tcPr>
            <w:tcW w:w="4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100</w:t>
            </w:r>
          </w:p>
        </w:tc>
        <w:tc>
          <w:tcPr>
            <w:tcW w:w="22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5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75</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10000" w:type="dxa"/>
            <w:vAlign w:val="bottom"/>
            <w:gridSpan w:val="5"/>
          </w:tcPr>
          <w:p>
            <w:pPr>
              <w:ind w:left="420"/>
              <w:spacing w:after="0"/>
              <w:rPr>
                <w:sz w:val="20"/>
                <w:szCs w:val="20"/>
                <w:color w:val="auto"/>
              </w:rPr>
            </w:pPr>
            <w:r>
              <w:rPr>
                <w:rFonts w:ascii="Arial" w:cs="Arial" w:eastAsia="Arial" w:hAnsi="Arial"/>
                <w:sz w:val="18"/>
                <w:szCs w:val="18"/>
                <w:color w:val="auto"/>
              </w:rPr>
              <w:t>Net income</w:t>
            </w: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480" w:type="dxa"/>
            <w:vAlign w:val="bottom"/>
          </w:tcPr>
          <w:p>
            <w:pPr>
              <w:jc w:val="right"/>
              <w:spacing w:after="0"/>
              <w:rPr>
                <w:sz w:val="20"/>
                <w:szCs w:val="20"/>
                <w:color w:val="auto"/>
              </w:rPr>
            </w:pPr>
            <w:r>
              <w:rPr>
                <w:rFonts w:ascii="Arial" w:cs="Arial" w:eastAsia="Arial" w:hAnsi="Arial"/>
                <w:sz w:val="18"/>
                <w:szCs w:val="18"/>
                <w:color w:val="auto"/>
              </w:rPr>
              <w:t>1,275</w:t>
            </w:r>
          </w:p>
        </w:tc>
        <w:tc>
          <w:tcPr>
            <w:tcW w:w="3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520" w:type="dxa"/>
            <w:vAlign w:val="bottom"/>
            <w:gridSpan w:val="2"/>
          </w:tcPr>
          <w:p>
            <w:pPr>
              <w:jc w:val="right"/>
              <w:ind w:right="20"/>
              <w:spacing w:after="0"/>
              <w:rPr>
                <w:sz w:val="20"/>
                <w:szCs w:val="20"/>
                <w:color w:val="auto"/>
              </w:rPr>
            </w:pPr>
            <w:r>
              <w:rPr>
                <w:rFonts w:ascii="Arial" w:cs="Arial" w:eastAsia="Arial" w:hAnsi="Arial"/>
                <w:sz w:val="18"/>
                <w:szCs w:val="18"/>
                <w:color w:val="auto"/>
              </w:rPr>
              <w:t>1,148</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20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5160" w:type="dxa"/>
            <w:vAlign w:val="bottom"/>
          </w:tcPr>
          <w:p>
            <w:pPr>
              <w:spacing w:after="0" w:line="20" w:lineRule="exact"/>
              <w:rPr>
                <w:sz w:val="1"/>
                <w:szCs w:val="1"/>
                <w:color w:val="auto"/>
              </w:rPr>
            </w:pPr>
          </w:p>
        </w:tc>
        <w:tc>
          <w:tcPr>
            <w:tcW w:w="17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1"/>
        </w:trPr>
        <w:tc>
          <w:tcPr>
            <w:tcW w:w="20" w:type="dxa"/>
            <w:vAlign w:val="bottom"/>
          </w:tcPr>
          <w:p>
            <w:pPr>
              <w:spacing w:after="0"/>
              <w:rPr>
                <w:sz w:val="18"/>
                <w:szCs w:val="18"/>
                <w:color w:val="auto"/>
              </w:rPr>
            </w:pPr>
          </w:p>
        </w:tc>
        <w:tc>
          <w:tcPr>
            <w:tcW w:w="10000" w:type="dxa"/>
            <w:vAlign w:val="bottom"/>
            <w:gridSpan w:val="5"/>
            <w:shd w:val="clear" w:color="auto" w:fill="CCEEFF"/>
          </w:tcPr>
          <w:p>
            <w:pPr>
              <w:spacing w:after="0"/>
              <w:rPr>
                <w:sz w:val="20"/>
                <w:szCs w:val="20"/>
                <w:color w:val="auto"/>
              </w:rPr>
            </w:pPr>
            <w:r>
              <w:rPr>
                <w:rFonts w:ascii="Arial" w:cs="Arial" w:eastAsia="Arial" w:hAnsi="Arial"/>
                <w:sz w:val="18"/>
                <w:szCs w:val="18"/>
                <w:color w:val="auto"/>
              </w:rPr>
              <w:t>Earnings per share of Common Stock:</w:t>
            </w:r>
          </w:p>
        </w:tc>
        <w:tc>
          <w:tcPr>
            <w:tcW w:w="10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80" w:type="dxa"/>
            <w:vAlign w:val="bottom"/>
          </w:tcPr>
          <w:p>
            <w:pPr>
              <w:ind w:left="420"/>
              <w:spacing w:after="0"/>
              <w:rPr>
                <w:sz w:val="20"/>
                <w:szCs w:val="20"/>
                <w:color w:val="auto"/>
              </w:rPr>
            </w:pPr>
            <w:r>
              <w:rPr>
                <w:rFonts w:ascii="Arial" w:cs="Arial" w:eastAsia="Arial" w:hAnsi="Arial"/>
                <w:sz w:val="18"/>
                <w:szCs w:val="18"/>
                <w:color w:val="auto"/>
              </w:rPr>
              <w:t>Basic</w:t>
            </w:r>
          </w:p>
        </w:tc>
        <w:tc>
          <w:tcPr>
            <w:tcW w:w="20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160" w:type="dxa"/>
            <w:vAlign w:val="bottom"/>
          </w:tcPr>
          <w:p>
            <w:pPr>
              <w:spacing w:after="0"/>
              <w:rPr>
                <w:sz w:val="18"/>
                <w:szCs w:val="18"/>
                <w:color w:val="auto"/>
              </w:rPr>
            </w:pPr>
          </w:p>
        </w:tc>
        <w:tc>
          <w:tcPr>
            <w:tcW w:w="1720" w:type="dxa"/>
            <w:vAlign w:val="bottom"/>
          </w:tcPr>
          <w:p>
            <w:pPr>
              <w:spacing w:after="0"/>
              <w:rPr>
                <w:sz w:val="18"/>
                <w:szCs w:val="18"/>
                <w:color w:val="auto"/>
              </w:rPr>
            </w:pP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480" w:type="dxa"/>
            <w:vAlign w:val="bottom"/>
          </w:tcPr>
          <w:p>
            <w:pPr>
              <w:jc w:val="right"/>
              <w:spacing w:after="0"/>
              <w:rPr>
                <w:sz w:val="20"/>
                <w:szCs w:val="20"/>
                <w:color w:val="auto"/>
              </w:rPr>
            </w:pPr>
            <w:r>
              <w:rPr>
                <w:rFonts w:ascii="Arial" w:cs="Arial" w:eastAsia="Arial" w:hAnsi="Arial"/>
                <w:sz w:val="18"/>
                <w:szCs w:val="18"/>
                <w:color w:val="auto"/>
              </w:rPr>
              <w:t>1.35</w:t>
            </w:r>
          </w:p>
        </w:tc>
        <w:tc>
          <w:tcPr>
            <w:tcW w:w="3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500" w:type="dxa"/>
            <w:vAlign w:val="bottom"/>
          </w:tcPr>
          <w:p>
            <w:pPr>
              <w:jc w:val="right"/>
              <w:spacing w:after="0"/>
              <w:rPr>
                <w:sz w:val="20"/>
                <w:szCs w:val="20"/>
                <w:color w:val="auto"/>
              </w:rPr>
            </w:pPr>
            <w:r>
              <w:rPr>
                <w:rFonts w:ascii="Arial" w:cs="Arial" w:eastAsia="Arial" w:hAnsi="Arial"/>
                <w:sz w:val="18"/>
                <w:szCs w:val="18"/>
                <w:color w:val="auto"/>
              </w:rPr>
              <w:t>1.19</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80" w:type="dxa"/>
            <w:vAlign w:val="bottom"/>
            <w:shd w:val="clear" w:color="auto" w:fill="CCEEFF"/>
          </w:tcPr>
          <w:p>
            <w:pPr>
              <w:ind w:left="420"/>
              <w:spacing w:after="0"/>
              <w:rPr>
                <w:sz w:val="20"/>
                <w:szCs w:val="20"/>
                <w:color w:val="auto"/>
              </w:rPr>
            </w:pPr>
            <w:r>
              <w:rPr>
                <w:rFonts w:ascii="Arial" w:cs="Arial" w:eastAsia="Arial" w:hAnsi="Arial"/>
                <w:sz w:val="18"/>
                <w:szCs w:val="18"/>
                <w:color w:val="auto"/>
                <w:w w:val="96"/>
              </w:rPr>
              <w:t>Diluted</w:t>
            </w:r>
          </w:p>
        </w:tc>
        <w:tc>
          <w:tcPr>
            <w:tcW w:w="20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5160" w:type="dxa"/>
            <w:vAlign w:val="bottom"/>
            <w:shd w:val="clear" w:color="auto" w:fill="CCEEFF"/>
          </w:tcPr>
          <w:p>
            <w:pPr>
              <w:spacing w:after="0"/>
              <w:rPr>
                <w:sz w:val="18"/>
                <w:szCs w:val="18"/>
                <w:color w:val="auto"/>
              </w:rPr>
            </w:pPr>
          </w:p>
        </w:tc>
        <w:tc>
          <w:tcPr>
            <w:tcW w:w="172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1.32</w:t>
            </w:r>
          </w:p>
        </w:tc>
        <w:tc>
          <w:tcPr>
            <w:tcW w:w="3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1.16</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10000" w:type="dxa"/>
            <w:vAlign w:val="bottom"/>
            <w:gridSpan w:val="5"/>
          </w:tcPr>
          <w:p>
            <w:pPr>
              <w:spacing w:after="0"/>
              <w:rPr>
                <w:sz w:val="20"/>
                <w:szCs w:val="20"/>
                <w:color w:val="auto"/>
              </w:rPr>
            </w:pPr>
            <w:r>
              <w:rPr>
                <w:rFonts w:ascii="Arial" w:cs="Arial" w:eastAsia="Arial" w:hAnsi="Arial"/>
                <w:sz w:val="18"/>
                <w:szCs w:val="18"/>
                <w:color w:val="auto"/>
              </w:rPr>
              <w:t>Dividends per share of Common Stock</w:t>
            </w: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480" w:type="dxa"/>
            <w:vAlign w:val="bottom"/>
          </w:tcPr>
          <w:p>
            <w:pPr>
              <w:jc w:val="right"/>
              <w:spacing w:after="0"/>
              <w:rPr>
                <w:sz w:val="20"/>
                <w:szCs w:val="20"/>
                <w:color w:val="auto"/>
              </w:rPr>
            </w:pPr>
            <w:r>
              <w:rPr>
                <w:rFonts w:ascii="Arial" w:cs="Arial" w:eastAsia="Arial" w:hAnsi="Arial"/>
                <w:sz w:val="18"/>
                <w:szCs w:val="18"/>
                <w:color w:val="auto"/>
              </w:rPr>
              <w:t>.32</w:t>
            </w:r>
          </w:p>
        </w:tc>
        <w:tc>
          <w:tcPr>
            <w:tcW w:w="3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500" w:type="dxa"/>
            <w:vAlign w:val="bottom"/>
          </w:tcPr>
          <w:p>
            <w:pPr>
              <w:jc w:val="right"/>
              <w:spacing w:after="0"/>
              <w:rPr>
                <w:sz w:val="20"/>
                <w:szCs w:val="20"/>
                <w:color w:val="auto"/>
              </w:rPr>
            </w:pPr>
            <w:r>
              <w:rPr>
                <w:rFonts w:ascii="Arial" w:cs="Arial" w:eastAsia="Arial" w:hAnsi="Arial"/>
                <w:sz w:val="18"/>
                <w:szCs w:val="18"/>
                <w:color w:val="auto"/>
              </w:rPr>
              <w:t>.27</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2980" w:type="dxa"/>
            <w:vAlign w:val="bottom"/>
            <w:gridSpan w:val="2"/>
          </w:tcPr>
          <w:p>
            <w:pPr>
              <w:spacing w:after="0"/>
              <w:rPr>
                <w:sz w:val="8"/>
                <w:szCs w:val="8"/>
                <w:color w:val="auto"/>
              </w:rPr>
            </w:pPr>
          </w:p>
        </w:tc>
        <w:tc>
          <w:tcPr>
            <w:tcW w:w="140" w:type="dxa"/>
            <w:vAlign w:val="bottom"/>
          </w:tcPr>
          <w:p>
            <w:pPr>
              <w:spacing w:after="0"/>
              <w:rPr>
                <w:sz w:val="8"/>
                <w:szCs w:val="8"/>
                <w:color w:val="auto"/>
              </w:rPr>
            </w:pPr>
          </w:p>
        </w:tc>
        <w:tc>
          <w:tcPr>
            <w:tcW w:w="5160" w:type="dxa"/>
            <w:vAlign w:val="bottom"/>
          </w:tcPr>
          <w:p>
            <w:pPr>
              <w:spacing w:after="0"/>
              <w:rPr>
                <w:sz w:val="8"/>
                <w:szCs w:val="8"/>
                <w:color w:val="auto"/>
              </w:rPr>
            </w:pPr>
          </w:p>
        </w:tc>
        <w:tc>
          <w:tcPr>
            <w:tcW w:w="1720" w:type="dxa"/>
            <w:vAlign w:val="bottom"/>
          </w:tcPr>
          <w:p>
            <w:pPr>
              <w:spacing w:after="0"/>
              <w:rPr>
                <w:sz w:val="8"/>
                <w:szCs w:val="8"/>
                <w:color w:val="auto"/>
              </w:rPr>
            </w:pPr>
          </w:p>
        </w:tc>
        <w:tc>
          <w:tcPr>
            <w:tcW w:w="100" w:type="dxa"/>
            <w:vAlign w:val="bottom"/>
          </w:tcPr>
          <w:p>
            <w:pPr>
              <w:spacing w:after="0"/>
              <w:rPr>
                <w:sz w:val="8"/>
                <w:szCs w:val="8"/>
                <w:color w:val="auto"/>
              </w:rPr>
            </w:pPr>
          </w:p>
        </w:tc>
        <w:tc>
          <w:tcPr>
            <w:tcW w:w="480" w:type="dxa"/>
            <w:vAlign w:val="bottom"/>
          </w:tcPr>
          <w:p>
            <w:pPr>
              <w:spacing w:after="0"/>
              <w:rPr>
                <w:sz w:val="8"/>
                <w:szCs w:val="8"/>
                <w:color w:val="auto"/>
              </w:rPr>
            </w:pPr>
          </w:p>
        </w:tc>
        <w:tc>
          <w:tcPr>
            <w:tcW w:w="220" w:type="dxa"/>
            <w:vAlign w:val="bottom"/>
          </w:tcPr>
          <w:p>
            <w:pPr>
              <w:spacing w:after="0"/>
              <w:rPr>
                <w:sz w:val="8"/>
                <w:szCs w:val="8"/>
                <w:color w:val="auto"/>
              </w:rPr>
            </w:pPr>
          </w:p>
        </w:tc>
        <w:tc>
          <w:tcPr>
            <w:tcW w:w="100" w:type="dxa"/>
            <w:vAlign w:val="bottom"/>
          </w:tcPr>
          <w:p>
            <w:pPr>
              <w:spacing w:after="0"/>
              <w:rPr>
                <w:sz w:val="8"/>
                <w:szCs w:val="8"/>
                <w:color w:val="auto"/>
              </w:rPr>
            </w:pPr>
          </w:p>
        </w:tc>
        <w:tc>
          <w:tcPr>
            <w:tcW w:w="500" w:type="dxa"/>
            <w:vAlign w:val="bottom"/>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10000" w:type="dxa"/>
            <w:vAlign w:val="bottom"/>
            <w:gridSpan w:val="5"/>
            <w:shd w:val="clear" w:color="auto" w:fill="CCEEFF"/>
          </w:tcPr>
          <w:p>
            <w:pPr>
              <w:spacing w:after="0"/>
              <w:rPr>
                <w:sz w:val="20"/>
                <w:szCs w:val="20"/>
                <w:color w:val="auto"/>
              </w:rPr>
            </w:pPr>
            <w:r>
              <w:rPr>
                <w:rFonts w:ascii="Arial" w:cs="Arial" w:eastAsia="Arial" w:hAnsi="Arial"/>
                <w:sz w:val="18"/>
                <w:szCs w:val="18"/>
                <w:color w:val="auto"/>
              </w:rPr>
              <w:t>Average number of shares outstanding:</w:t>
            </w:r>
          </w:p>
        </w:tc>
        <w:tc>
          <w:tcPr>
            <w:tcW w:w="10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80" w:type="dxa"/>
            <w:vAlign w:val="bottom"/>
          </w:tcPr>
          <w:p>
            <w:pPr>
              <w:ind w:left="420"/>
              <w:spacing w:after="0"/>
              <w:rPr>
                <w:sz w:val="20"/>
                <w:szCs w:val="20"/>
                <w:color w:val="auto"/>
              </w:rPr>
            </w:pPr>
            <w:r>
              <w:rPr>
                <w:rFonts w:ascii="Arial" w:cs="Arial" w:eastAsia="Arial" w:hAnsi="Arial"/>
                <w:sz w:val="18"/>
                <w:szCs w:val="18"/>
                <w:color w:val="auto"/>
              </w:rPr>
              <w:t>Basic</w:t>
            </w:r>
          </w:p>
        </w:tc>
        <w:tc>
          <w:tcPr>
            <w:tcW w:w="20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160" w:type="dxa"/>
            <w:vAlign w:val="bottom"/>
          </w:tcPr>
          <w:p>
            <w:pPr>
              <w:spacing w:after="0"/>
              <w:rPr>
                <w:sz w:val="18"/>
                <w:szCs w:val="18"/>
                <w:color w:val="auto"/>
              </w:rPr>
            </w:pPr>
          </w:p>
        </w:tc>
        <w:tc>
          <w:tcPr>
            <w:tcW w:w="17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80" w:type="dxa"/>
            <w:vAlign w:val="bottom"/>
          </w:tcPr>
          <w:p>
            <w:pPr>
              <w:jc w:val="right"/>
              <w:spacing w:after="0"/>
              <w:rPr>
                <w:sz w:val="20"/>
                <w:szCs w:val="20"/>
                <w:color w:val="auto"/>
              </w:rPr>
            </w:pPr>
            <w:r>
              <w:rPr>
                <w:rFonts w:ascii="Arial" w:cs="Arial" w:eastAsia="Arial" w:hAnsi="Arial"/>
                <w:sz w:val="18"/>
                <w:szCs w:val="18"/>
                <w:color w:val="auto"/>
              </w:rPr>
              <w:t>944</w:t>
            </w: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rPr>
              <w:t>966</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80" w:type="dxa"/>
            <w:vAlign w:val="bottom"/>
            <w:shd w:val="clear" w:color="auto" w:fill="CCEEFF"/>
          </w:tcPr>
          <w:p>
            <w:pPr>
              <w:ind w:left="420"/>
              <w:spacing w:after="0"/>
              <w:rPr>
                <w:sz w:val="20"/>
                <w:szCs w:val="20"/>
                <w:color w:val="auto"/>
              </w:rPr>
            </w:pPr>
            <w:r>
              <w:rPr>
                <w:rFonts w:ascii="Arial" w:cs="Arial" w:eastAsia="Arial" w:hAnsi="Arial"/>
                <w:sz w:val="18"/>
                <w:szCs w:val="18"/>
                <w:color w:val="auto"/>
                <w:w w:val="96"/>
              </w:rPr>
              <w:t>Diluted</w:t>
            </w:r>
          </w:p>
        </w:tc>
        <w:tc>
          <w:tcPr>
            <w:tcW w:w="20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5160" w:type="dxa"/>
            <w:vAlign w:val="bottom"/>
            <w:shd w:val="clear" w:color="auto" w:fill="CCEEFF"/>
          </w:tcPr>
          <w:p>
            <w:pPr>
              <w:spacing w:after="0"/>
              <w:rPr>
                <w:sz w:val="18"/>
                <w:szCs w:val="18"/>
                <w:color w:val="auto"/>
              </w:rPr>
            </w:pPr>
          </w:p>
        </w:tc>
        <w:tc>
          <w:tcPr>
            <w:tcW w:w="17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966</w:t>
            </w: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990</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bl>
    <w:p>
      <w:pPr>
        <w:spacing w:after="0" w:line="15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See accompanying Notes to Condensed Consolidated Financial Statements</w:t>
      </w:r>
    </w:p>
    <w:p>
      <w:pPr>
        <w:spacing w:after="0" w:line="15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w:t>
      </w:r>
    </w:p>
    <w:p>
      <w:pPr>
        <w:sectPr>
          <w:pgSz w:w="11900" w:h="16838" w:orient="portrait"/>
          <w:cols w:equalWidth="0" w:num="1">
            <w:col w:w="11420"/>
          </w:cols>
          <w:pgMar w:left="240" w:top="459" w:right="239" w:bottom="1440" w:gutter="0" w:footer="0" w:header="0"/>
        </w:sectPr>
      </w:pPr>
    </w:p>
    <w:bookmarkStart w:id="3" w:name="page4"/>
    <w:bookmarkEnd w:id="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UNITED TECHNOLOGIES CORPORATION</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AND SUBSIDIARIES</w:t>
      </w:r>
    </w:p>
    <w:p>
      <w:pPr>
        <w:spacing w:after="0" w:line="159" w:lineRule="exact"/>
        <w:rPr>
          <w:sz w:val="20"/>
          <w:szCs w:val="20"/>
          <w:color w:val="auto"/>
        </w:rPr>
      </w:pPr>
    </w:p>
    <w:p>
      <w:pPr>
        <w:jc w:val="center"/>
        <w:spacing w:after="0"/>
        <w:rPr>
          <w:sz w:val="20"/>
          <w:szCs w:val="20"/>
          <w:color w:val="auto"/>
        </w:rPr>
      </w:pPr>
      <w:r>
        <w:rPr>
          <w:rFonts w:ascii="Arial" w:cs="Arial" w:eastAsia="Arial" w:hAnsi="Arial"/>
          <w:sz w:val="18"/>
          <w:szCs w:val="18"/>
          <w:b w:val="1"/>
          <w:bCs w:val="1"/>
          <w:u w:val="single" w:color="auto"/>
          <w:color w:val="auto"/>
        </w:rPr>
        <w:t>CONDENSED CONSOLIDATED STATEMENT OF OPERATIONS</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18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2980" w:type="dxa"/>
            <w:vAlign w:val="bottom"/>
          </w:tcPr>
          <w:p>
            <w:pPr>
              <w:spacing w:after="0"/>
              <w:rPr>
                <w:sz w:val="14"/>
                <w:szCs w:val="14"/>
                <w:color w:val="auto"/>
              </w:rPr>
            </w:pPr>
          </w:p>
        </w:tc>
        <w:tc>
          <w:tcPr>
            <w:tcW w:w="70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320" w:type="dxa"/>
            <w:vAlign w:val="bottom"/>
            <w:gridSpan w:val="5"/>
          </w:tcPr>
          <w:p>
            <w:pPr>
              <w:jc w:val="right"/>
              <w:ind w:right="180"/>
              <w:spacing w:after="0"/>
              <w:rPr>
                <w:sz w:val="20"/>
                <w:szCs w:val="20"/>
                <w:color w:val="auto"/>
              </w:rPr>
            </w:pPr>
            <w:r>
              <w:rPr>
                <w:rFonts w:ascii="Arial" w:cs="Arial" w:eastAsia="Arial" w:hAnsi="Arial"/>
                <w:sz w:val="14"/>
                <w:szCs w:val="14"/>
                <w:b w:val="1"/>
                <w:bCs w:val="1"/>
                <w:color w:val="auto"/>
                <w:w w:val="92"/>
              </w:rPr>
              <w:t>Six Months Ended</w:t>
            </w:r>
          </w:p>
        </w:tc>
        <w:tc>
          <w:tcPr>
            <w:tcW w:w="0" w:type="dxa"/>
            <w:vAlign w:val="bottom"/>
          </w:tcPr>
          <w:p>
            <w:pPr>
              <w:spacing w:after="0"/>
              <w:rPr>
                <w:sz w:val="1"/>
                <w:szCs w:val="1"/>
                <w:color w:val="auto"/>
              </w:rPr>
            </w:pPr>
          </w:p>
        </w:tc>
      </w:tr>
      <w:tr>
        <w:trPr>
          <w:trHeight w:val="161"/>
        </w:trPr>
        <w:tc>
          <w:tcPr>
            <w:tcW w:w="10020" w:type="dxa"/>
            <w:vAlign w:val="bottom"/>
            <w:gridSpan w:val="3"/>
            <w:vMerge w:val="restart"/>
          </w:tcPr>
          <w:p>
            <w:pPr>
              <w:spacing w:after="0"/>
              <w:rPr>
                <w:sz w:val="20"/>
                <w:szCs w:val="20"/>
                <w:color w:val="auto"/>
              </w:rPr>
            </w:pPr>
            <w:r>
              <w:rPr>
                <w:rFonts w:ascii="Arial" w:cs="Arial" w:eastAsia="Arial" w:hAnsi="Arial"/>
                <w:sz w:val="14"/>
                <w:szCs w:val="14"/>
                <w:b w:val="1"/>
                <w:bCs w:val="1"/>
                <w:color w:val="auto"/>
              </w:rPr>
              <w:t>(in millions of dollars, except per share amounts)</w:t>
            </w:r>
          </w:p>
        </w:tc>
        <w:tc>
          <w:tcPr>
            <w:tcW w:w="100" w:type="dxa"/>
            <w:vAlign w:val="bottom"/>
          </w:tcPr>
          <w:p>
            <w:pPr>
              <w:spacing w:after="0"/>
              <w:rPr>
                <w:sz w:val="14"/>
                <w:szCs w:val="14"/>
                <w:color w:val="auto"/>
              </w:rPr>
            </w:pPr>
          </w:p>
        </w:tc>
        <w:tc>
          <w:tcPr>
            <w:tcW w:w="1320" w:type="dxa"/>
            <w:vAlign w:val="bottom"/>
            <w:gridSpan w:val="5"/>
          </w:tcPr>
          <w:p>
            <w:pPr>
              <w:jc w:val="right"/>
              <w:ind w:right="480"/>
              <w:spacing w:after="0"/>
              <w:rPr>
                <w:sz w:val="20"/>
                <w:szCs w:val="20"/>
                <w:color w:val="auto"/>
              </w:rPr>
            </w:pPr>
            <w:r>
              <w:rPr>
                <w:rFonts w:ascii="Arial" w:cs="Arial" w:eastAsia="Arial" w:hAnsi="Arial"/>
                <w:sz w:val="14"/>
                <w:szCs w:val="14"/>
                <w:b w:val="1"/>
                <w:bCs w:val="1"/>
                <w:color w:val="auto"/>
              </w:rPr>
              <w:t>June 30,</w:t>
            </w:r>
          </w:p>
        </w:tc>
        <w:tc>
          <w:tcPr>
            <w:tcW w:w="0" w:type="dxa"/>
            <w:vAlign w:val="bottom"/>
          </w:tcPr>
          <w:p>
            <w:pPr>
              <w:spacing w:after="0"/>
              <w:rPr>
                <w:sz w:val="1"/>
                <w:szCs w:val="1"/>
                <w:color w:val="auto"/>
              </w:rPr>
            </w:pPr>
          </w:p>
        </w:tc>
      </w:tr>
      <w:tr>
        <w:trPr>
          <w:trHeight w:val="142"/>
        </w:trPr>
        <w:tc>
          <w:tcPr>
            <w:tcW w:w="10020" w:type="dxa"/>
            <w:vAlign w:val="bottom"/>
            <w:gridSpan w:val="3"/>
            <w:vMerge w:val="continue"/>
          </w:tcPr>
          <w:p>
            <w:pPr>
              <w:spacing w:after="0"/>
              <w:rPr>
                <w:sz w:val="12"/>
                <w:szCs w:val="12"/>
                <w:color w:val="auto"/>
              </w:rPr>
            </w:pPr>
          </w:p>
        </w:tc>
        <w:tc>
          <w:tcPr>
            <w:tcW w:w="100" w:type="dxa"/>
            <w:vAlign w:val="bottom"/>
            <w:tcBorders>
              <w:top w:val="single" w:sz="8" w:color="auto"/>
            </w:tcBorders>
          </w:tcPr>
          <w:p>
            <w:pPr>
              <w:spacing w:after="0"/>
              <w:rPr>
                <w:sz w:val="12"/>
                <w:szCs w:val="12"/>
                <w:color w:val="auto"/>
              </w:rPr>
            </w:pPr>
          </w:p>
        </w:tc>
        <w:tc>
          <w:tcPr>
            <w:tcW w:w="480" w:type="dxa"/>
            <w:vAlign w:val="bottom"/>
            <w:tcBorders>
              <w:top w:val="single" w:sz="8" w:color="auto"/>
            </w:tcBorders>
          </w:tcPr>
          <w:p>
            <w:pPr>
              <w:jc w:val="right"/>
              <w:ind w:right="55"/>
              <w:spacing w:after="0" w:line="142" w:lineRule="exact"/>
              <w:rPr>
                <w:sz w:val="20"/>
                <w:szCs w:val="20"/>
                <w:color w:val="auto"/>
              </w:rPr>
            </w:pPr>
            <w:r>
              <w:rPr>
                <w:rFonts w:ascii="Arial" w:cs="Arial" w:eastAsia="Arial" w:hAnsi="Arial"/>
                <w:sz w:val="14"/>
                <w:szCs w:val="14"/>
                <w:b w:val="1"/>
                <w:bCs w:val="1"/>
                <w:color w:val="auto"/>
              </w:rPr>
              <w:t>2008</w:t>
            </w:r>
          </w:p>
        </w:tc>
        <w:tc>
          <w:tcPr>
            <w:tcW w:w="220" w:type="dxa"/>
            <w:vAlign w:val="bottom"/>
            <w:tcBorders>
              <w:top w:val="single" w:sz="8" w:color="auto"/>
            </w:tcBorders>
          </w:tcPr>
          <w:p>
            <w:pPr>
              <w:spacing w:after="0"/>
              <w:rPr>
                <w:sz w:val="12"/>
                <w:szCs w:val="12"/>
                <w:color w:val="auto"/>
              </w:rPr>
            </w:pPr>
          </w:p>
        </w:tc>
        <w:tc>
          <w:tcPr>
            <w:tcW w:w="100" w:type="dxa"/>
            <w:vAlign w:val="bottom"/>
            <w:tcBorders>
              <w:top w:val="single" w:sz="8" w:color="auto"/>
            </w:tcBorders>
          </w:tcPr>
          <w:p>
            <w:pPr>
              <w:spacing w:after="0"/>
              <w:rPr>
                <w:sz w:val="12"/>
                <w:szCs w:val="12"/>
                <w:color w:val="auto"/>
              </w:rPr>
            </w:pPr>
          </w:p>
        </w:tc>
        <w:tc>
          <w:tcPr>
            <w:tcW w:w="500" w:type="dxa"/>
            <w:vAlign w:val="bottom"/>
            <w:tcBorders>
              <w:top w:val="single" w:sz="8" w:color="auto"/>
            </w:tcBorders>
          </w:tcPr>
          <w:p>
            <w:pPr>
              <w:jc w:val="right"/>
              <w:ind w:right="73"/>
              <w:spacing w:after="0" w:line="142" w:lineRule="exact"/>
              <w:rPr>
                <w:sz w:val="20"/>
                <w:szCs w:val="20"/>
                <w:color w:val="auto"/>
              </w:rPr>
            </w:pPr>
            <w:r>
              <w:rPr>
                <w:rFonts w:ascii="Arial" w:cs="Arial" w:eastAsia="Arial" w:hAnsi="Arial"/>
                <w:sz w:val="14"/>
                <w:szCs w:val="14"/>
                <w:b w:val="1"/>
                <w:bCs w:val="1"/>
                <w:color w:val="auto"/>
              </w:rPr>
              <w:t>2007</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298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Revenues:</w:t>
            </w:r>
          </w:p>
        </w:tc>
        <w:tc>
          <w:tcPr>
            <w:tcW w:w="7020" w:type="dxa"/>
            <w:vAlign w:val="bottom"/>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480" w:type="dxa"/>
            <w:vAlign w:val="bottom"/>
            <w:tcBorders>
              <w:top w:val="single" w:sz="8" w:color="auto"/>
            </w:tcBorders>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500" w:type="dxa"/>
            <w:vAlign w:val="bottom"/>
            <w:tcBorders>
              <w:top w:val="single" w:sz="8" w:color="auto"/>
            </w:tcBorders>
            <w:shd w:val="clear" w:color="auto" w:fill="CCEEFF"/>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0000" w:type="dxa"/>
            <w:vAlign w:val="bottom"/>
            <w:gridSpan w:val="2"/>
          </w:tcPr>
          <w:p>
            <w:pPr>
              <w:ind w:left="420"/>
              <w:spacing w:after="0"/>
              <w:rPr>
                <w:sz w:val="20"/>
                <w:szCs w:val="20"/>
                <w:color w:val="auto"/>
              </w:rPr>
            </w:pPr>
            <w:r>
              <w:rPr>
                <w:rFonts w:ascii="Arial" w:cs="Arial" w:eastAsia="Arial" w:hAnsi="Arial"/>
                <w:sz w:val="18"/>
                <w:szCs w:val="18"/>
                <w:color w:val="auto"/>
              </w:rPr>
              <w:t>Product sales</w:t>
            </w: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480" w:type="dxa"/>
            <w:vAlign w:val="bottom"/>
          </w:tcPr>
          <w:p>
            <w:pPr>
              <w:jc w:val="right"/>
              <w:spacing w:after="0"/>
              <w:rPr>
                <w:sz w:val="20"/>
                <w:szCs w:val="20"/>
                <w:color w:val="auto"/>
              </w:rPr>
            </w:pPr>
            <w:r>
              <w:rPr>
                <w:rFonts w:ascii="Arial" w:cs="Arial" w:eastAsia="Arial" w:hAnsi="Arial"/>
                <w:sz w:val="18"/>
                <w:szCs w:val="18"/>
                <w:color w:val="auto"/>
                <w:w w:val="83"/>
              </w:rPr>
              <w:t>21,075</w:t>
            </w:r>
          </w:p>
        </w:tc>
        <w:tc>
          <w:tcPr>
            <w:tcW w:w="3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500" w:type="dxa"/>
            <w:vAlign w:val="bottom"/>
          </w:tcPr>
          <w:p>
            <w:pPr>
              <w:jc w:val="right"/>
              <w:spacing w:after="0"/>
              <w:rPr>
                <w:sz w:val="20"/>
                <w:szCs w:val="20"/>
                <w:color w:val="auto"/>
              </w:rPr>
            </w:pPr>
            <w:r>
              <w:rPr>
                <w:rFonts w:ascii="Arial" w:cs="Arial" w:eastAsia="Arial" w:hAnsi="Arial"/>
                <w:sz w:val="18"/>
                <w:szCs w:val="18"/>
                <w:color w:val="auto"/>
                <w:w w:val="87"/>
              </w:rPr>
              <w:t>18,731</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0000" w:type="dxa"/>
            <w:vAlign w:val="bottom"/>
            <w:gridSpan w:val="2"/>
            <w:shd w:val="clear" w:color="auto" w:fill="CCEEFF"/>
          </w:tcPr>
          <w:p>
            <w:pPr>
              <w:ind w:left="420"/>
              <w:spacing w:after="0"/>
              <w:rPr>
                <w:sz w:val="20"/>
                <w:szCs w:val="20"/>
                <w:color w:val="auto"/>
              </w:rPr>
            </w:pPr>
            <w:r>
              <w:rPr>
                <w:rFonts w:ascii="Arial" w:cs="Arial" w:eastAsia="Arial" w:hAnsi="Arial"/>
                <w:sz w:val="18"/>
                <w:szCs w:val="18"/>
                <w:color w:val="auto"/>
              </w:rPr>
              <w:t>Service sales</w:t>
            </w:r>
          </w:p>
        </w:tc>
        <w:tc>
          <w:tcPr>
            <w:tcW w:w="100" w:type="dxa"/>
            <w:vAlign w:val="bottom"/>
            <w:shd w:val="clear" w:color="auto" w:fill="CCEEFF"/>
          </w:tcPr>
          <w:p>
            <w:pPr>
              <w:spacing w:after="0"/>
              <w:rPr>
                <w:sz w:val="18"/>
                <w:szCs w:val="18"/>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8,037</w:t>
            </w: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6,971</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10000" w:type="dxa"/>
            <w:vAlign w:val="bottom"/>
            <w:gridSpan w:val="2"/>
          </w:tcPr>
          <w:p>
            <w:pPr>
              <w:ind w:left="420"/>
              <w:spacing w:after="0"/>
              <w:rPr>
                <w:sz w:val="20"/>
                <w:szCs w:val="20"/>
                <w:color w:val="auto"/>
              </w:rPr>
            </w:pPr>
            <w:r>
              <w:rPr>
                <w:rFonts w:ascii="Arial" w:cs="Arial" w:eastAsia="Arial" w:hAnsi="Arial"/>
                <w:sz w:val="18"/>
                <w:szCs w:val="18"/>
                <w:color w:val="auto"/>
              </w:rPr>
              <w:t>Other income, net</w:t>
            </w:r>
          </w:p>
        </w:tc>
        <w:tc>
          <w:tcPr>
            <w:tcW w:w="100" w:type="dxa"/>
            <w:vAlign w:val="bottom"/>
            <w:tcBorders>
              <w:bottom w:val="single" w:sz="8" w:color="auto"/>
            </w:tcBorders>
          </w:tcPr>
          <w:p>
            <w:pPr>
              <w:spacing w:after="0"/>
              <w:rPr>
                <w:sz w:val="19"/>
                <w:szCs w:val="19"/>
                <w:color w:val="auto"/>
              </w:rPr>
            </w:pPr>
          </w:p>
        </w:tc>
        <w:tc>
          <w:tcPr>
            <w:tcW w:w="4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256</w:t>
            </w:r>
          </w:p>
        </w:tc>
        <w:tc>
          <w:tcPr>
            <w:tcW w:w="22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5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480</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980" w:type="dxa"/>
            <w:vAlign w:val="bottom"/>
            <w:shd w:val="clear" w:color="auto" w:fill="CCEEFF"/>
          </w:tcPr>
          <w:p>
            <w:pPr>
              <w:spacing w:after="0"/>
              <w:rPr>
                <w:sz w:val="18"/>
                <w:szCs w:val="18"/>
                <w:color w:val="auto"/>
              </w:rPr>
            </w:pPr>
          </w:p>
        </w:tc>
        <w:tc>
          <w:tcPr>
            <w:tcW w:w="702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4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3"/>
              </w:rPr>
              <w:t>29,368</w:t>
            </w:r>
          </w:p>
        </w:tc>
        <w:tc>
          <w:tcPr>
            <w:tcW w:w="22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5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7"/>
              </w:rPr>
              <w:t>26,182</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1"/>
        </w:trPr>
        <w:tc>
          <w:tcPr>
            <w:tcW w:w="10020" w:type="dxa"/>
            <w:vAlign w:val="bottom"/>
            <w:gridSpan w:val="3"/>
          </w:tcPr>
          <w:p>
            <w:pPr>
              <w:spacing w:after="0"/>
              <w:rPr>
                <w:sz w:val="20"/>
                <w:szCs w:val="20"/>
                <w:color w:val="auto"/>
              </w:rPr>
            </w:pPr>
            <w:r>
              <w:rPr>
                <w:rFonts w:ascii="Arial" w:cs="Arial" w:eastAsia="Arial" w:hAnsi="Arial"/>
                <w:sz w:val="18"/>
                <w:szCs w:val="18"/>
                <w:color w:val="auto"/>
              </w:rPr>
              <w:t>Costs and expenses:</w:t>
            </w:r>
          </w:p>
        </w:tc>
        <w:tc>
          <w:tcPr>
            <w:tcW w:w="10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8"/>
        </w:trPr>
        <w:tc>
          <w:tcPr>
            <w:tcW w:w="20" w:type="dxa"/>
            <w:vAlign w:val="bottom"/>
          </w:tcPr>
          <w:p>
            <w:pPr>
              <w:spacing w:after="0"/>
              <w:rPr>
                <w:sz w:val="18"/>
                <w:szCs w:val="18"/>
                <w:color w:val="auto"/>
              </w:rPr>
            </w:pPr>
          </w:p>
        </w:tc>
        <w:tc>
          <w:tcPr>
            <w:tcW w:w="10000" w:type="dxa"/>
            <w:vAlign w:val="bottom"/>
            <w:gridSpan w:val="2"/>
            <w:shd w:val="clear" w:color="auto" w:fill="CCEEFF"/>
          </w:tcPr>
          <w:p>
            <w:pPr>
              <w:ind w:left="420"/>
              <w:spacing w:after="0"/>
              <w:rPr>
                <w:sz w:val="20"/>
                <w:szCs w:val="20"/>
                <w:color w:val="auto"/>
              </w:rPr>
            </w:pPr>
            <w:r>
              <w:rPr>
                <w:rFonts w:ascii="Arial" w:cs="Arial" w:eastAsia="Arial" w:hAnsi="Arial"/>
                <w:sz w:val="18"/>
                <w:szCs w:val="18"/>
                <w:color w:val="auto"/>
              </w:rPr>
              <w:t>Cost of products sold</w:t>
            </w:r>
          </w:p>
        </w:tc>
        <w:tc>
          <w:tcPr>
            <w:tcW w:w="100" w:type="dxa"/>
            <w:vAlign w:val="bottom"/>
            <w:shd w:val="clear" w:color="auto" w:fill="CCEEFF"/>
          </w:tcPr>
          <w:p>
            <w:pPr>
              <w:spacing w:after="0"/>
              <w:rPr>
                <w:sz w:val="18"/>
                <w:szCs w:val="18"/>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3"/>
              </w:rPr>
              <w:t>15,903</w:t>
            </w: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7"/>
              </w:rPr>
              <w:t>14,318</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0000" w:type="dxa"/>
            <w:vAlign w:val="bottom"/>
            <w:gridSpan w:val="2"/>
          </w:tcPr>
          <w:p>
            <w:pPr>
              <w:ind w:left="420"/>
              <w:spacing w:after="0"/>
              <w:rPr>
                <w:sz w:val="20"/>
                <w:szCs w:val="20"/>
                <w:color w:val="auto"/>
              </w:rPr>
            </w:pPr>
            <w:r>
              <w:rPr>
                <w:rFonts w:ascii="Arial" w:cs="Arial" w:eastAsia="Arial" w:hAnsi="Arial"/>
                <w:sz w:val="18"/>
                <w:szCs w:val="18"/>
                <w:color w:val="auto"/>
              </w:rPr>
              <w:t>Cost of services sold</w:t>
            </w:r>
          </w:p>
        </w:tc>
        <w:tc>
          <w:tcPr>
            <w:tcW w:w="100" w:type="dxa"/>
            <w:vAlign w:val="bottom"/>
          </w:tcPr>
          <w:p>
            <w:pPr>
              <w:spacing w:after="0"/>
              <w:rPr>
                <w:sz w:val="18"/>
                <w:szCs w:val="18"/>
                <w:color w:val="auto"/>
              </w:rPr>
            </w:pPr>
          </w:p>
        </w:tc>
        <w:tc>
          <w:tcPr>
            <w:tcW w:w="480" w:type="dxa"/>
            <w:vAlign w:val="bottom"/>
          </w:tcPr>
          <w:p>
            <w:pPr>
              <w:jc w:val="right"/>
              <w:spacing w:after="0"/>
              <w:rPr>
                <w:sz w:val="20"/>
                <w:szCs w:val="20"/>
                <w:color w:val="auto"/>
              </w:rPr>
            </w:pPr>
            <w:r>
              <w:rPr>
                <w:rFonts w:ascii="Arial" w:cs="Arial" w:eastAsia="Arial" w:hAnsi="Arial"/>
                <w:sz w:val="18"/>
                <w:szCs w:val="18"/>
                <w:color w:val="auto"/>
              </w:rPr>
              <w:t>5,437</w:t>
            </w: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rPr>
              <w:t>4,807</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0000" w:type="dxa"/>
            <w:vAlign w:val="bottom"/>
            <w:gridSpan w:val="2"/>
            <w:shd w:val="clear" w:color="auto" w:fill="CCEEFF"/>
          </w:tcPr>
          <w:p>
            <w:pPr>
              <w:ind w:left="420"/>
              <w:spacing w:after="0"/>
              <w:rPr>
                <w:sz w:val="20"/>
                <w:szCs w:val="20"/>
                <w:color w:val="auto"/>
              </w:rPr>
            </w:pPr>
            <w:r>
              <w:rPr>
                <w:rFonts w:ascii="Arial" w:cs="Arial" w:eastAsia="Arial" w:hAnsi="Arial"/>
                <w:sz w:val="18"/>
                <w:szCs w:val="18"/>
                <w:color w:val="auto"/>
              </w:rPr>
              <w:t>Research and development</w:t>
            </w:r>
          </w:p>
        </w:tc>
        <w:tc>
          <w:tcPr>
            <w:tcW w:w="100" w:type="dxa"/>
            <w:vAlign w:val="bottom"/>
            <w:shd w:val="clear" w:color="auto" w:fill="CCEEFF"/>
          </w:tcPr>
          <w:p>
            <w:pPr>
              <w:spacing w:after="0"/>
              <w:rPr>
                <w:sz w:val="18"/>
                <w:szCs w:val="18"/>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845</w:t>
            </w: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798</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10000" w:type="dxa"/>
            <w:vAlign w:val="bottom"/>
            <w:gridSpan w:val="2"/>
          </w:tcPr>
          <w:p>
            <w:pPr>
              <w:ind w:left="420"/>
              <w:spacing w:after="0"/>
              <w:rPr>
                <w:sz w:val="20"/>
                <w:szCs w:val="20"/>
                <w:color w:val="auto"/>
              </w:rPr>
            </w:pPr>
            <w:r>
              <w:rPr>
                <w:rFonts w:ascii="Arial" w:cs="Arial" w:eastAsia="Arial" w:hAnsi="Arial"/>
                <w:sz w:val="18"/>
                <w:szCs w:val="18"/>
                <w:color w:val="auto"/>
              </w:rPr>
              <w:t>Selling, general and administrative</w:t>
            </w:r>
          </w:p>
        </w:tc>
        <w:tc>
          <w:tcPr>
            <w:tcW w:w="100" w:type="dxa"/>
            <w:vAlign w:val="bottom"/>
            <w:tcBorders>
              <w:bottom w:val="single" w:sz="8" w:color="auto"/>
            </w:tcBorders>
          </w:tcPr>
          <w:p>
            <w:pPr>
              <w:spacing w:after="0"/>
              <w:rPr>
                <w:sz w:val="19"/>
                <w:szCs w:val="19"/>
                <w:color w:val="auto"/>
              </w:rPr>
            </w:pPr>
          </w:p>
        </w:tc>
        <w:tc>
          <w:tcPr>
            <w:tcW w:w="4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3,410</w:t>
            </w:r>
          </w:p>
        </w:tc>
        <w:tc>
          <w:tcPr>
            <w:tcW w:w="22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5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2,890</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0000" w:type="dxa"/>
            <w:vAlign w:val="bottom"/>
            <w:gridSpan w:val="2"/>
            <w:shd w:val="clear" w:color="auto" w:fill="CCEEFF"/>
          </w:tcPr>
          <w:p>
            <w:pPr>
              <w:ind w:left="860"/>
              <w:spacing w:after="0"/>
              <w:rPr>
                <w:sz w:val="20"/>
                <w:szCs w:val="20"/>
                <w:color w:val="auto"/>
              </w:rPr>
            </w:pPr>
            <w:r>
              <w:rPr>
                <w:rFonts w:ascii="Arial" w:cs="Arial" w:eastAsia="Arial" w:hAnsi="Arial"/>
                <w:sz w:val="18"/>
                <w:szCs w:val="18"/>
                <w:color w:val="auto"/>
              </w:rPr>
              <w:t>Operating profit</w:t>
            </w:r>
          </w:p>
        </w:tc>
        <w:tc>
          <w:tcPr>
            <w:tcW w:w="100" w:type="dxa"/>
            <w:vAlign w:val="bottom"/>
            <w:shd w:val="clear" w:color="auto" w:fill="CCEEFF"/>
          </w:tcPr>
          <w:p>
            <w:pPr>
              <w:spacing w:after="0"/>
              <w:rPr>
                <w:sz w:val="18"/>
                <w:szCs w:val="18"/>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3,773</w:t>
            </w: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3,369</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10000" w:type="dxa"/>
            <w:vAlign w:val="bottom"/>
            <w:gridSpan w:val="2"/>
          </w:tcPr>
          <w:p>
            <w:pPr>
              <w:spacing w:after="0"/>
              <w:rPr>
                <w:sz w:val="20"/>
                <w:szCs w:val="20"/>
                <w:color w:val="auto"/>
              </w:rPr>
            </w:pPr>
            <w:r>
              <w:rPr>
                <w:rFonts w:ascii="Arial" w:cs="Arial" w:eastAsia="Arial" w:hAnsi="Arial"/>
                <w:sz w:val="18"/>
                <w:szCs w:val="18"/>
                <w:color w:val="auto"/>
              </w:rPr>
              <w:t>Interest</w:t>
            </w:r>
          </w:p>
        </w:tc>
        <w:tc>
          <w:tcPr>
            <w:tcW w:w="100" w:type="dxa"/>
            <w:vAlign w:val="bottom"/>
            <w:tcBorders>
              <w:bottom w:val="single" w:sz="8" w:color="auto"/>
            </w:tcBorders>
          </w:tcPr>
          <w:p>
            <w:pPr>
              <w:spacing w:after="0"/>
              <w:rPr>
                <w:sz w:val="19"/>
                <w:szCs w:val="19"/>
                <w:color w:val="auto"/>
              </w:rPr>
            </w:pPr>
          </w:p>
        </w:tc>
        <w:tc>
          <w:tcPr>
            <w:tcW w:w="4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341</w:t>
            </w:r>
          </w:p>
        </w:tc>
        <w:tc>
          <w:tcPr>
            <w:tcW w:w="22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5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313</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0000" w:type="dxa"/>
            <w:vAlign w:val="bottom"/>
            <w:gridSpan w:val="2"/>
            <w:shd w:val="clear" w:color="auto" w:fill="CCEEFF"/>
          </w:tcPr>
          <w:p>
            <w:pPr>
              <w:ind w:left="420"/>
              <w:spacing w:after="0"/>
              <w:rPr>
                <w:sz w:val="20"/>
                <w:szCs w:val="20"/>
                <w:color w:val="auto"/>
              </w:rPr>
            </w:pPr>
            <w:r>
              <w:rPr>
                <w:rFonts w:ascii="Arial" w:cs="Arial" w:eastAsia="Arial" w:hAnsi="Arial"/>
                <w:sz w:val="18"/>
                <w:szCs w:val="18"/>
                <w:color w:val="auto"/>
              </w:rPr>
              <w:t>Income before income taxes and minority interests</w:t>
            </w:r>
          </w:p>
        </w:tc>
        <w:tc>
          <w:tcPr>
            <w:tcW w:w="100" w:type="dxa"/>
            <w:vAlign w:val="bottom"/>
            <w:shd w:val="clear" w:color="auto" w:fill="CCEEFF"/>
          </w:tcPr>
          <w:p>
            <w:pPr>
              <w:spacing w:after="0"/>
              <w:rPr>
                <w:sz w:val="18"/>
                <w:szCs w:val="18"/>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3,432</w:t>
            </w: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3,056</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0000" w:type="dxa"/>
            <w:vAlign w:val="bottom"/>
            <w:gridSpan w:val="2"/>
          </w:tcPr>
          <w:p>
            <w:pPr>
              <w:spacing w:after="0"/>
              <w:rPr>
                <w:sz w:val="20"/>
                <w:szCs w:val="20"/>
                <w:color w:val="auto"/>
              </w:rPr>
            </w:pPr>
            <w:r>
              <w:rPr>
                <w:rFonts w:ascii="Arial" w:cs="Arial" w:eastAsia="Arial" w:hAnsi="Arial"/>
                <w:sz w:val="18"/>
                <w:szCs w:val="18"/>
                <w:color w:val="auto"/>
              </w:rPr>
              <w:t>Income taxes</w:t>
            </w:r>
          </w:p>
        </w:tc>
        <w:tc>
          <w:tcPr>
            <w:tcW w:w="100" w:type="dxa"/>
            <w:vAlign w:val="bottom"/>
          </w:tcPr>
          <w:p>
            <w:pPr>
              <w:spacing w:after="0"/>
              <w:rPr>
                <w:sz w:val="18"/>
                <w:szCs w:val="18"/>
                <w:color w:val="auto"/>
              </w:rPr>
            </w:pPr>
          </w:p>
        </w:tc>
        <w:tc>
          <w:tcPr>
            <w:tcW w:w="480" w:type="dxa"/>
            <w:vAlign w:val="bottom"/>
          </w:tcPr>
          <w:p>
            <w:pPr>
              <w:jc w:val="right"/>
              <w:spacing w:after="0"/>
              <w:rPr>
                <w:sz w:val="20"/>
                <w:szCs w:val="20"/>
                <w:color w:val="auto"/>
              </w:rPr>
            </w:pPr>
            <w:r>
              <w:rPr>
                <w:rFonts w:ascii="Arial" w:cs="Arial" w:eastAsia="Arial" w:hAnsi="Arial"/>
                <w:sz w:val="18"/>
                <w:szCs w:val="18"/>
                <w:color w:val="auto"/>
              </w:rPr>
              <w:t>978</w:t>
            </w: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rPr>
              <w:t>921</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00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Minority interests in subsidiaries’ earnings</w:t>
            </w:r>
          </w:p>
        </w:tc>
        <w:tc>
          <w:tcPr>
            <w:tcW w:w="100" w:type="dxa"/>
            <w:vAlign w:val="bottom"/>
            <w:tcBorders>
              <w:bottom w:val="single" w:sz="8" w:color="auto"/>
            </w:tcBorders>
            <w:shd w:val="clear" w:color="auto" w:fill="CCEEFF"/>
          </w:tcPr>
          <w:p>
            <w:pPr>
              <w:spacing w:after="0"/>
              <w:rPr>
                <w:sz w:val="18"/>
                <w:szCs w:val="18"/>
                <w:color w:val="auto"/>
              </w:rPr>
            </w:pPr>
          </w:p>
        </w:tc>
        <w:tc>
          <w:tcPr>
            <w:tcW w:w="4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179</w:t>
            </w:r>
          </w:p>
        </w:tc>
        <w:tc>
          <w:tcPr>
            <w:tcW w:w="22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5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168</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10000" w:type="dxa"/>
            <w:vAlign w:val="bottom"/>
            <w:gridSpan w:val="2"/>
          </w:tcPr>
          <w:p>
            <w:pPr>
              <w:ind w:left="420"/>
              <w:spacing w:after="0"/>
              <w:rPr>
                <w:sz w:val="20"/>
                <w:szCs w:val="20"/>
                <w:color w:val="auto"/>
              </w:rPr>
            </w:pPr>
            <w:r>
              <w:rPr>
                <w:rFonts w:ascii="Arial" w:cs="Arial" w:eastAsia="Arial" w:hAnsi="Arial"/>
                <w:sz w:val="18"/>
                <w:szCs w:val="18"/>
                <w:color w:val="auto"/>
              </w:rPr>
              <w:t>Net income</w:t>
            </w: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480" w:type="dxa"/>
            <w:vAlign w:val="bottom"/>
          </w:tcPr>
          <w:p>
            <w:pPr>
              <w:jc w:val="right"/>
              <w:spacing w:after="0"/>
              <w:rPr>
                <w:sz w:val="20"/>
                <w:szCs w:val="20"/>
                <w:color w:val="auto"/>
              </w:rPr>
            </w:pPr>
            <w:r>
              <w:rPr>
                <w:rFonts w:ascii="Arial" w:cs="Arial" w:eastAsia="Arial" w:hAnsi="Arial"/>
                <w:sz w:val="18"/>
                <w:szCs w:val="18"/>
                <w:color w:val="auto"/>
              </w:rPr>
              <w:t>2,275</w:t>
            </w:r>
          </w:p>
        </w:tc>
        <w:tc>
          <w:tcPr>
            <w:tcW w:w="3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520" w:type="dxa"/>
            <w:vAlign w:val="bottom"/>
            <w:gridSpan w:val="2"/>
          </w:tcPr>
          <w:p>
            <w:pPr>
              <w:jc w:val="right"/>
              <w:ind w:right="20"/>
              <w:spacing w:after="0"/>
              <w:rPr>
                <w:sz w:val="20"/>
                <w:szCs w:val="20"/>
                <w:color w:val="auto"/>
              </w:rPr>
            </w:pPr>
            <w:r>
              <w:rPr>
                <w:rFonts w:ascii="Arial" w:cs="Arial" w:eastAsia="Arial" w:hAnsi="Arial"/>
                <w:sz w:val="18"/>
                <w:szCs w:val="18"/>
                <w:color w:val="auto"/>
              </w:rPr>
              <w:t>1,967</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2980" w:type="dxa"/>
            <w:vAlign w:val="bottom"/>
          </w:tcPr>
          <w:p>
            <w:pPr>
              <w:spacing w:after="0" w:line="20" w:lineRule="exact"/>
              <w:rPr>
                <w:sz w:val="1"/>
                <w:szCs w:val="1"/>
                <w:color w:val="auto"/>
              </w:rPr>
            </w:pPr>
          </w:p>
        </w:tc>
        <w:tc>
          <w:tcPr>
            <w:tcW w:w="70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1"/>
        </w:trPr>
        <w:tc>
          <w:tcPr>
            <w:tcW w:w="20" w:type="dxa"/>
            <w:vAlign w:val="bottom"/>
          </w:tcPr>
          <w:p>
            <w:pPr>
              <w:spacing w:after="0"/>
              <w:rPr>
                <w:sz w:val="18"/>
                <w:szCs w:val="18"/>
                <w:color w:val="auto"/>
              </w:rPr>
            </w:pPr>
          </w:p>
        </w:tc>
        <w:tc>
          <w:tcPr>
            <w:tcW w:w="100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Earnings per share of Common Stock:</w:t>
            </w:r>
          </w:p>
        </w:tc>
        <w:tc>
          <w:tcPr>
            <w:tcW w:w="10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0000" w:type="dxa"/>
            <w:vAlign w:val="bottom"/>
            <w:gridSpan w:val="2"/>
          </w:tcPr>
          <w:p>
            <w:pPr>
              <w:ind w:left="420"/>
              <w:spacing w:after="0"/>
              <w:rPr>
                <w:sz w:val="20"/>
                <w:szCs w:val="20"/>
                <w:color w:val="auto"/>
              </w:rPr>
            </w:pPr>
            <w:r>
              <w:rPr>
                <w:rFonts w:ascii="Arial" w:cs="Arial" w:eastAsia="Arial" w:hAnsi="Arial"/>
                <w:sz w:val="18"/>
                <w:szCs w:val="18"/>
                <w:color w:val="auto"/>
              </w:rPr>
              <w:t>Basic</w:t>
            </w: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480" w:type="dxa"/>
            <w:vAlign w:val="bottom"/>
          </w:tcPr>
          <w:p>
            <w:pPr>
              <w:jc w:val="right"/>
              <w:spacing w:after="0"/>
              <w:rPr>
                <w:sz w:val="20"/>
                <w:szCs w:val="20"/>
                <w:color w:val="auto"/>
              </w:rPr>
            </w:pPr>
            <w:r>
              <w:rPr>
                <w:rFonts w:ascii="Arial" w:cs="Arial" w:eastAsia="Arial" w:hAnsi="Arial"/>
                <w:sz w:val="18"/>
                <w:szCs w:val="18"/>
                <w:color w:val="auto"/>
              </w:rPr>
              <w:t>2.40</w:t>
            </w:r>
          </w:p>
        </w:tc>
        <w:tc>
          <w:tcPr>
            <w:tcW w:w="3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500" w:type="dxa"/>
            <w:vAlign w:val="bottom"/>
          </w:tcPr>
          <w:p>
            <w:pPr>
              <w:jc w:val="right"/>
              <w:spacing w:after="0"/>
              <w:rPr>
                <w:sz w:val="20"/>
                <w:szCs w:val="20"/>
                <w:color w:val="auto"/>
              </w:rPr>
            </w:pPr>
            <w:r>
              <w:rPr>
                <w:rFonts w:ascii="Arial" w:cs="Arial" w:eastAsia="Arial" w:hAnsi="Arial"/>
                <w:sz w:val="18"/>
                <w:szCs w:val="18"/>
                <w:color w:val="auto"/>
              </w:rPr>
              <w:t>2.03</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0000" w:type="dxa"/>
            <w:vAlign w:val="bottom"/>
            <w:gridSpan w:val="2"/>
            <w:shd w:val="clear" w:color="auto" w:fill="CCEEFF"/>
          </w:tcPr>
          <w:p>
            <w:pPr>
              <w:ind w:left="420"/>
              <w:spacing w:after="0"/>
              <w:rPr>
                <w:sz w:val="20"/>
                <w:szCs w:val="20"/>
                <w:color w:val="auto"/>
              </w:rPr>
            </w:pPr>
            <w:r>
              <w:rPr>
                <w:rFonts w:ascii="Arial" w:cs="Arial" w:eastAsia="Arial" w:hAnsi="Arial"/>
                <w:sz w:val="18"/>
                <w:szCs w:val="18"/>
                <w:color w:val="auto"/>
              </w:rPr>
              <w:t>Diluted</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2.34</w:t>
            </w:r>
          </w:p>
        </w:tc>
        <w:tc>
          <w:tcPr>
            <w:tcW w:w="3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1.98</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10000" w:type="dxa"/>
            <w:vAlign w:val="bottom"/>
            <w:gridSpan w:val="2"/>
          </w:tcPr>
          <w:p>
            <w:pPr>
              <w:spacing w:after="0"/>
              <w:rPr>
                <w:sz w:val="20"/>
                <w:szCs w:val="20"/>
                <w:color w:val="auto"/>
              </w:rPr>
            </w:pPr>
            <w:r>
              <w:rPr>
                <w:rFonts w:ascii="Arial" w:cs="Arial" w:eastAsia="Arial" w:hAnsi="Arial"/>
                <w:sz w:val="18"/>
                <w:szCs w:val="18"/>
                <w:color w:val="auto"/>
              </w:rPr>
              <w:t>Dividends per share of Common Stock</w:t>
            </w: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480" w:type="dxa"/>
            <w:vAlign w:val="bottom"/>
          </w:tcPr>
          <w:p>
            <w:pPr>
              <w:jc w:val="right"/>
              <w:spacing w:after="0"/>
              <w:rPr>
                <w:sz w:val="20"/>
                <w:szCs w:val="20"/>
                <w:color w:val="auto"/>
              </w:rPr>
            </w:pPr>
            <w:r>
              <w:rPr>
                <w:rFonts w:ascii="Arial" w:cs="Arial" w:eastAsia="Arial" w:hAnsi="Arial"/>
                <w:sz w:val="18"/>
                <w:szCs w:val="18"/>
                <w:color w:val="auto"/>
              </w:rPr>
              <w:t>.64</w:t>
            </w:r>
          </w:p>
        </w:tc>
        <w:tc>
          <w:tcPr>
            <w:tcW w:w="3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500" w:type="dxa"/>
            <w:vAlign w:val="bottom"/>
          </w:tcPr>
          <w:p>
            <w:pPr>
              <w:jc w:val="right"/>
              <w:spacing w:after="0"/>
              <w:rPr>
                <w:sz w:val="20"/>
                <w:szCs w:val="20"/>
                <w:color w:val="auto"/>
              </w:rPr>
            </w:pPr>
            <w:r>
              <w:rPr>
                <w:rFonts w:ascii="Arial" w:cs="Arial" w:eastAsia="Arial" w:hAnsi="Arial"/>
                <w:sz w:val="18"/>
                <w:szCs w:val="18"/>
                <w:color w:val="auto"/>
              </w:rPr>
              <w:t>.53</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2980" w:type="dxa"/>
            <w:vAlign w:val="bottom"/>
          </w:tcPr>
          <w:p>
            <w:pPr>
              <w:spacing w:after="0"/>
              <w:rPr>
                <w:sz w:val="8"/>
                <w:szCs w:val="8"/>
                <w:color w:val="auto"/>
              </w:rPr>
            </w:pPr>
          </w:p>
        </w:tc>
        <w:tc>
          <w:tcPr>
            <w:tcW w:w="7020" w:type="dxa"/>
            <w:vAlign w:val="bottom"/>
          </w:tcPr>
          <w:p>
            <w:pPr>
              <w:spacing w:after="0"/>
              <w:rPr>
                <w:sz w:val="8"/>
                <w:szCs w:val="8"/>
                <w:color w:val="auto"/>
              </w:rPr>
            </w:pPr>
          </w:p>
        </w:tc>
        <w:tc>
          <w:tcPr>
            <w:tcW w:w="100" w:type="dxa"/>
            <w:vAlign w:val="bottom"/>
          </w:tcPr>
          <w:p>
            <w:pPr>
              <w:spacing w:after="0"/>
              <w:rPr>
                <w:sz w:val="8"/>
                <w:szCs w:val="8"/>
                <w:color w:val="auto"/>
              </w:rPr>
            </w:pPr>
          </w:p>
        </w:tc>
        <w:tc>
          <w:tcPr>
            <w:tcW w:w="480" w:type="dxa"/>
            <w:vAlign w:val="bottom"/>
          </w:tcPr>
          <w:p>
            <w:pPr>
              <w:spacing w:after="0"/>
              <w:rPr>
                <w:sz w:val="8"/>
                <w:szCs w:val="8"/>
                <w:color w:val="auto"/>
              </w:rPr>
            </w:pPr>
          </w:p>
        </w:tc>
        <w:tc>
          <w:tcPr>
            <w:tcW w:w="220" w:type="dxa"/>
            <w:vAlign w:val="bottom"/>
          </w:tcPr>
          <w:p>
            <w:pPr>
              <w:spacing w:after="0"/>
              <w:rPr>
                <w:sz w:val="8"/>
                <w:szCs w:val="8"/>
                <w:color w:val="auto"/>
              </w:rPr>
            </w:pPr>
          </w:p>
        </w:tc>
        <w:tc>
          <w:tcPr>
            <w:tcW w:w="100" w:type="dxa"/>
            <w:vAlign w:val="bottom"/>
          </w:tcPr>
          <w:p>
            <w:pPr>
              <w:spacing w:after="0"/>
              <w:rPr>
                <w:sz w:val="8"/>
                <w:szCs w:val="8"/>
                <w:color w:val="auto"/>
              </w:rPr>
            </w:pPr>
          </w:p>
        </w:tc>
        <w:tc>
          <w:tcPr>
            <w:tcW w:w="500" w:type="dxa"/>
            <w:vAlign w:val="bottom"/>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100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Average number of shares outstanding:</w:t>
            </w:r>
          </w:p>
        </w:tc>
        <w:tc>
          <w:tcPr>
            <w:tcW w:w="10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0000" w:type="dxa"/>
            <w:vAlign w:val="bottom"/>
            <w:gridSpan w:val="2"/>
          </w:tcPr>
          <w:p>
            <w:pPr>
              <w:ind w:left="420"/>
              <w:spacing w:after="0"/>
              <w:rPr>
                <w:sz w:val="20"/>
                <w:szCs w:val="20"/>
                <w:color w:val="auto"/>
              </w:rPr>
            </w:pPr>
            <w:r>
              <w:rPr>
                <w:rFonts w:ascii="Arial" w:cs="Arial" w:eastAsia="Arial" w:hAnsi="Arial"/>
                <w:sz w:val="18"/>
                <w:szCs w:val="18"/>
                <w:color w:val="auto"/>
              </w:rPr>
              <w:t>Basic</w:t>
            </w:r>
          </w:p>
        </w:tc>
        <w:tc>
          <w:tcPr>
            <w:tcW w:w="100" w:type="dxa"/>
            <w:vAlign w:val="bottom"/>
          </w:tcPr>
          <w:p>
            <w:pPr>
              <w:spacing w:after="0"/>
              <w:rPr>
                <w:sz w:val="18"/>
                <w:szCs w:val="18"/>
                <w:color w:val="auto"/>
              </w:rPr>
            </w:pPr>
          </w:p>
        </w:tc>
        <w:tc>
          <w:tcPr>
            <w:tcW w:w="480" w:type="dxa"/>
            <w:vAlign w:val="bottom"/>
          </w:tcPr>
          <w:p>
            <w:pPr>
              <w:jc w:val="right"/>
              <w:spacing w:after="0"/>
              <w:rPr>
                <w:sz w:val="20"/>
                <w:szCs w:val="20"/>
                <w:color w:val="auto"/>
              </w:rPr>
            </w:pPr>
            <w:r>
              <w:rPr>
                <w:rFonts w:ascii="Arial" w:cs="Arial" w:eastAsia="Arial" w:hAnsi="Arial"/>
                <w:sz w:val="18"/>
                <w:szCs w:val="18"/>
                <w:color w:val="auto"/>
              </w:rPr>
              <w:t>948</w:t>
            </w: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rPr>
              <w:t>967</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0000" w:type="dxa"/>
            <w:vAlign w:val="bottom"/>
            <w:gridSpan w:val="2"/>
            <w:shd w:val="clear" w:color="auto" w:fill="CCEEFF"/>
          </w:tcPr>
          <w:p>
            <w:pPr>
              <w:ind w:left="420"/>
              <w:spacing w:after="0"/>
              <w:rPr>
                <w:sz w:val="20"/>
                <w:szCs w:val="20"/>
                <w:color w:val="auto"/>
              </w:rPr>
            </w:pPr>
            <w:r>
              <w:rPr>
                <w:rFonts w:ascii="Arial" w:cs="Arial" w:eastAsia="Arial" w:hAnsi="Arial"/>
                <w:sz w:val="18"/>
                <w:szCs w:val="18"/>
                <w:color w:val="auto"/>
              </w:rPr>
              <w:t>Diluted</w:t>
            </w:r>
          </w:p>
        </w:tc>
        <w:tc>
          <w:tcPr>
            <w:tcW w:w="100" w:type="dxa"/>
            <w:vAlign w:val="bottom"/>
            <w:shd w:val="clear" w:color="auto" w:fill="CCEEFF"/>
          </w:tcPr>
          <w:p>
            <w:pPr>
              <w:spacing w:after="0"/>
              <w:rPr>
                <w:sz w:val="18"/>
                <w:szCs w:val="18"/>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971</w:t>
            </w: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991</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bl>
    <w:p>
      <w:pPr>
        <w:spacing w:after="0" w:line="15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See accompanying Notes to Condensed Consolidated Financial Statements</w:t>
      </w:r>
    </w:p>
    <w:p>
      <w:pPr>
        <w:spacing w:after="0" w:line="15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w:t>
      </w:r>
    </w:p>
    <w:p>
      <w:pPr>
        <w:sectPr>
          <w:pgSz w:w="11900" w:h="16838" w:orient="portrait"/>
          <w:cols w:equalWidth="0" w:num="1">
            <w:col w:w="11420"/>
          </w:cols>
          <w:pgMar w:left="240" w:top="459" w:right="239" w:bottom="1440" w:gutter="0" w:footer="0" w:header="0"/>
        </w:sectPr>
      </w:pPr>
    </w:p>
    <w:bookmarkStart w:id="4" w:name="page5"/>
    <w:bookmarkEnd w:id="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UNITED TECHNOLOGIES CORPORATION</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AND SUBSIDIARIES</w:t>
      </w:r>
    </w:p>
    <w:p>
      <w:pPr>
        <w:spacing w:after="0" w:line="159" w:lineRule="exact"/>
        <w:rPr>
          <w:sz w:val="20"/>
          <w:szCs w:val="20"/>
          <w:color w:val="auto"/>
        </w:rPr>
      </w:pPr>
    </w:p>
    <w:p>
      <w:pPr>
        <w:jc w:val="center"/>
        <w:spacing w:after="0"/>
        <w:rPr>
          <w:sz w:val="20"/>
          <w:szCs w:val="20"/>
          <w:color w:val="auto"/>
        </w:rPr>
      </w:pPr>
      <w:r>
        <w:rPr>
          <w:rFonts w:ascii="Arial" w:cs="Arial" w:eastAsia="Arial" w:hAnsi="Arial"/>
          <w:sz w:val="18"/>
          <w:szCs w:val="18"/>
          <w:b w:val="1"/>
          <w:bCs w:val="1"/>
          <w:u w:val="single" w:color="auto"/>
          <w:color w:val="auto"/>
        </w:rPr>
        <w:t>CONDENSED CONSOLIDATED BALANCE SHEET</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18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8160" w:type="dxa"/>
            <w:vAlign w:val="bottom"/>
          </w:tcPr>
          <w:p>
            <w:pPr>
              <w:spacing w:after="0"/>
              <w:rPr>
                <w:sz w:val="14"/>
                <w:szCs w:val="14"/>
                <w:color w:val="auto"/>
              </w:rPr>
            </w:pPr>
          </w:p>
        </w:tc>
        <w:tc>
          <w:tcPr>
            <w:tcW w:w="860" w:type="dxa"/>
            <w:vAlign w:val="bottom"/>
            <w:gridSpan w:val="3"/>
          </w:tcPr>
          <w:p>
            <w:pPr>
              <w:jc w:val="center"/>
              <w:ind w:right="220"/>
              <w:spacing w:after="0"/>
              <w:rPr>
                <w:sz w:val="20"/>
                <w:szCs w:val="20"/>
                <w:color w:val="auto"/>
              </w:rPr>
            </w:pPr>
            <w:r>
              <w:rPr>
                <w:rFonts w:ascii="Arial" w:cs="Arial" w:eastAsia="Arial" w:hAnsi="Arial"/>
                <w:sz w:val="14"/>
                <w:szCs w:val="14"/>
                <w:b w:val="1"/>
                <w:bCs w:val="1"/>
                <w:color w:val="auto"/>
                <w:w w:val="85"/>
              </w:rPr>
              <w:t>June 30,</w:t>
            </w:r>
          </w:p>
        </w:tc>
        <w:tc>
          <w:tcPr>
            <w:tcW w:w="180" w:type="dxa"/>
            <w:vAlign w:val="bottom"/>
          </w:tcPr>
          <w:p>
            <w:pPr>
              <w:spacing w:after="0"/>
              <w:rPr>
                <w:sz w:val="14"/>
                <w:szCs w:val="14"/>
                <w:color w:val="auto"/>
              </w:rPr>
            </w:pPr>
          </w:p>
        </w:tc>
        <w:tc>
          <w:tcPr>
            <w:tcW w:w="860" w:type="dxa"/>
            <w:vAlign w:val="bottom"/>
            <w:gridSpan w:val="3"/>
          </w:tcPr>
          <w:p>
            <w:pPr>
              <w:spacing w:after="0"/>
              <w:rPr>
                <w:sz w:val="20"/>
                <w:szCs w:val="20"/>
                <w:color w:val="auto"/>
              </w:rPr>
            </w:pPr>
            <w:r>
              <w:rPr>
                <w:rFonts w:ascii="Arial" w:cs="Arial" w:eastAsia="Arial" w:hAnsi="Arial"/>
                <w:sz w:val="14"/>
                <w:szCs w:val="14"/>
                <w:b w:val="1"/>
                <w:bCs w:val="1"/>
                <w:color w:val="auto"/>
                <w:w w:val="92"/>
              </w:rPr>
              <w:t>December 31,</w:t>
            </w:r>
          </w:p>
        </w:tc>
        <w:tc>
          <w:tcPr>
            <w:tcW w:w="0" w:type="dxa"/>
            <w:vAlign w:val="bottom"/>
          </w:tcPr>
          <w:p>
            <w:pPr>
              <w:spacing w:after="0"/>
              <w:rPr>
                <w:sz w:val="1"/>
                <w:szCs w:val="1"/>
                <w:color w:val="auto"/>
              </w:rPr>
            </w:pPr>
          </w:p>
        </w:tc>
      </w:tr>
      <w:tr>
        <w:trPr>
          <w:trHeight w:val="161"/>
        </w:trPr>
        <w:tc>
          <w:tcPr>
            <w:tcW w:w="9520" w:type="dxa"/>
            <w:vAlign w:val="bottom"/>
            <w:gridSpan w:val="3"/>
          </w:tcPr>
          <w:p>
            <w:pPr>
              <w:spacing w:after="0"/>
              <w:rPr>
                <w:sz w:val="20"/>
                <w:szCs w:val="20"/>
                <w:color w:val="auto"/>
              </w:rPr>
            </w:pPr>
            <w:r>
              <w:rPr>
                <w:rFonts w:ascii="Arial" w:cs="Arial" w:eastAsia="Arial" w:hAnsi="Arial"/>
                <w:sz w:val="14"/>
                <w:szCs w:val="14"/>
                <w:b w:val="1"/>
                <w:bCs w:val="1"/>
                <w:color w:val="auto"/>
              </w:rPr>
              <w:t>(in millions of dollars)</w:t>
            </w:r>
          </w:p>
        </w:tc>
        <w:tc>
          <w:tcPr>
            <w:tcW w:w="100" w:type="dxa"/>
            <w:vAlign w:val="bottom"/>
          </w:tcPr>
          <w:p>
            <w:pPr>
              <w:spacing w:after="0"/>
              <w:rPr>
                <w:sz w:val="14"/>
                <w:szCs w:val="14"/>
                <w:color w:val="auto"/>
              </w:rPr>
            </w:pPr>
          </w:p>
        </w:tc>
        <w:tc>
          <w:tcPr>
            <w:tcW w:w="540" w:type="dxa"/>
            <w:vAlign w:val="bottom"/>
          </w:tcPr>
          <w:p>
            <w:pPr>
              <w:jc w:val="right"/>
              <w:ind w:right="93"/>
              <w:spacing w:after="0"/>
              <w:rPr>
                <w:sz w:val="20"/>
                <w:szCs w:val="20"/>
                <w:color w:val="auto"/>
              </w:rPr>
            </w:pPr>
            <w:r>
              <w:rPr>
                <w:rFonts w:ascii="Arial" w:cs="Arial" w:eastAsia="Arial" w:hAnsi="Arial"/>
                <w:sz w:val="14"/>
                <w:szCs w:val="14"/>
                <w:b w:val="1"/>
                <w:bCs w:val="1"/>
                <w:color w:val="auto"/>
              </w:rPr>
              <w:t>2008</w:t>
            </w:r>
          </w:p>
        </w:tc>
        <w:tc>
          <w:tcPr>
            <w:tcW w:w="2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620" w:type="dxa"/>
            <w:vAlign w:val="bottom"/>
          </w:tcPr>
          <w:p>
            <w:pPr>
              <w:jc w:val="right"/>
              <w:ind w:right="193"/>
              <w:spacing w:after="0"/>
              <w:rPr>
                <w:sz w:val="20"/>
                <w:szCs w:val="20"/>
                <w:color w:val="auto"/>
              </w:rPr>
            </w:pPr>
            <w:r>
              <w:rPr>
                <w:rFonts w:ascii="Arial" w:cs="Arial" w:eastAsia="Arial" w:hAnsi="Arial"/>
                <w:sz w:val="14"/>
                <w:szCs w:val="14"/>
                <w:b w:val="1"/>
                <w:bCs w:val="1"/>
                <w:color w:val="auto"/>
              </w:rPr>
              <w:t>2007</w:t>
            </w: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1340" w:type="dxa"/>
            <w:vAlign w:val="bottom"/>
            <w:tcBorders>
              <w:top w:val="single" w:sz="8" w:color="auto"/>
            </w:tcBorders>
            <w:shd w:val="clear" w:color="auto" w:fill="CCEEFF"/>
          </w:tcPr>
          <w:p>
            <w:pPr>
              <w:spacing w:after="0"/>
              <w:rPr>
                <w:sz w:val="18"/>
                <w:szCs w:val="18"/>
                <w:color w:val="auto"/>
              </w:rPr>
            </w:pPr>
          </w:p>
        </w:tc>
        <w:tc>
          <w:tcPr>
            <w:tcW w:w="8160" w:type="dxa"/>
            <w:vAlign w:val="bottom"/>
            <w:shd w:val="clear" w:color="auto" w:fill="CCEEFF"/>
          </w:tcPr>
          <w:p>
            <w:pPr>
              <w:jc w:val="center"/>
              <w:ind w:right="1592"/>
              <w:spacing w:after="0"/>
              <w:rPr>
                <w:sz w:val="20"/>
                <w:szCs w:val="20"/>
                <w:color w:val="auto"/>
              </w:rPr>
            </w:pPr>
            <w:r>
              <w:rPr>
                <w:rFonts w:ascii="Arial" w:cs="Arial" w:eastAsia="Arial" w:hAnsi="Arial"/>
                <w:sz w:val="18"/>
                <w:szCs w:val="18"/>
                <w:b w:val="1"/>
                <w:bCs w:val="1"/>
                <w:color w:val="auto"/>
                <w:w w:val="81"/>
              </w:rPr>
              <w:t>Assets</w:t>
            </w:r>
          </w:p>
        </w:tc>
        <w:tc>
          <w:tcPr>
            <w:tcW w:w="100" w:type="dxa"/>
            <w:vAlign w:val="bottom"/>
            <w:tcBorders>
              <w:top w:val="single" w:sz="8" w:color="auto"/>
            </w:tcBorders>
            <w:shd w:val="clear" w:color="auto" w:fill="CCEEFF"/>
          </w:tcPr>
          <w:p>
            <w:pPr>
              <w:spacing w:after="0"/>
              <w:rPr>
                <w:sz w:val="18"/>
                <w:szCs w:val="18"/>
                <w:color w:val="auto"/>
              </w:rPr>
            </w:pPr>
          </w:p>
        </w:tc>
        <w:tc>
          <w:tcPr>
            <w:tcW w:w="540" w:type="dxa"/>
            <w:vAlign w:val="bottom"/>
            <w:tcBorders>
              <w:top w:val="single" w:sz="8" w:color="auto"/>
            </w:tcBorders>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spacing w:after="0"/>
              <w:rPr>
                <w:sz w:val="18"/>
                <w:szCs w:val="18"/>
                <w:color w:val="auto"/>
              </w:rPr>
            </w:pPr>
          </w:p>
        </w:tc>
        <w:tc>
          <w:tcPr>
            <w:tcW w:w="620" w:type="dxa"/>
            <w:vAlign w:val="bottom"/>
            <w:tcBorders>
              <w:top w:val="single" w:sz="8" w:color="auto"/>
            </w:tcBorders>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500" w:type="dxa"/>
            <w:vAlign w:val="bottom"/>
            <w:gridSpan w:val="2"/>
          </w:tcPr>
          <w:p>
            <w:pPr>
              <w:spacing w:after="0"/>
              <w:rPr>
                <w:sz w:val="20"/>
                <w:szCs w:val="20"/>
                <w:color w:val="auto"/>
              </w:rPr>
            </w:pPr>
            <w:r>
              <w:rPr>
                <w:rFonts w:ascii="Arial" w:cs="Arial" w:eastAsia="Arial" w:hAnsi="Arial"/>
                <w:sz w:val="18"/>
                <w:szCs w:val="18"/>
                <w:color w:val="auto"/>
              </w:rPr>
              <w:t>Cash and cash equivalents</w:t>
            </w: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760" w:type="dxa"/>
            <w:vAlign w:val="bottom"/>
            <w:gridSpan w:val="2"/>
          </w:tcPr>
          <w:p>
            <w:pPr>
              <w:jc w:val="right"/>
              <w:ind w:right="220"/>
              <w:spacing w:after="0"/>
              <w:rPr>
                <w:sz w:val="20"/>
                <w:szCs w:val="20"/>
                <w:color w:val="auto"/>
              </w:rPr>
            </w:pPr>
            <w:r>
              <w:rPr>
                <w:rFonts w:ascii="Arial" w:cs="Arial" w:eastAsia="Arial" w:hAnsi="Arial"/>
                <w:sz w:val="18"/>
                <w:szCs w:val="18"/>
                <w:color w:val="auto"/>
              </w:rPr>
              <w:t>3,442</w:t>
            </w:r>
          </w:p>
        </w:tc>
        <w:tc>
          <w:tcPr>
            <w:tcW w:w="360" w:type="dxa"/>
            <w:vAlign w:val="bottom"/>
            <w:gridSpan w:val="2"/>
          </w:tcPr>
          <w:p>
            <w:pPr>
              <w:ind w:left="180"/>
              <w:spacing w:after="0"/>
              <w:rPr>
                <w:sz w:val="20"/>
                <w:szCs w:val="20"/>
                <w:color w:val="auto"/>
              </w:rPr>
            </w:pPr>
            <w:r>
              <w:rPr>
                <w:rFonts w:ascii="Arial" w:cs="Arial" w:eastAsia="Arial" w:hAnsi="Arial"/>
                <w:sz w:val="18"/>
                <w:szCs w:val="18"/>
                <w:color w:val="auto"/>
              </w:rPr>
              <w:t>$</w:t>
            </w:r>
          </w:p>
        </w:tc>
        <w:tc>
          <w:tcPr>
            <w:tcW w:w="620" w:type="dxa"/>
            <w:vAlign w:val="bottom"/>
          </w:tcPr>
          <w:p>
            <w:pPr>
              <w:jc w:val="right"/>
              <w:spacing w:after="0"/>
              <w:rPr>
                <w:sz w:val="20"/>
                <w:szCs w:val="20"/>
                <w:color w:val="auto"/>
              </w:rPr>
            </w:pPr>
            <w:r>
              <w:rPr>
                <w:rFonts w:ascii="Arial" w:cs="Arial" w:eastAsia="Arial" w:hAnsi="Arial"/>
                <w:sz w:val="18"/>
                <w:szCs w:val="18"/>
                <w:color w:val="auto"/>
              </w:rPr>
              <w:t>2,904</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5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Accounts receivable, net</w:t>
            </w:r>
          </w:p>
        </w:tc>
        <w:tc>
          <w:tcPr>
            <w:tcW w:w="10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w w:val="94"/>
              </w:rPr>
              <w:t>10,103</w:t>
            </w:r>
          </w:p>
        </w:tc>
        <w:tc>
          <w:tcPr>
            <w:tcW w:w="1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8,844</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500" w:type="dxa"/>
            <w:vAlign w:val="bottom"/>
            <w:gridSpan w:val="2"/>
          </w:tcPr>
          <w:p>
            <w:pPr>
              <w:spacing w:after="0"/>
              <w:rPr>
                <w:sz w:val="20"/>
                <w:szCs w:val="20"/>
                <w:color w:val="auto"/>
              </w:rPr>
            </w:pPr>
            <w:r>
              <w:rPr>
                <w:rFonts w:ascii="Arial" w:cs="Arial" w:eastAsia="Arial" w:hAnsi="Arial"/>
                <w:sz w:val="18"/>
                <w:szCs w:val="18"/>
                <w:color w:val="auto"/>
              </w:rPr>
              <w:t>Inventories and contracts in progress, net</w:t>
            </w:r>
          </w:p>
        </w:tc>
        <w:tc>
          <w:tcPr>
            <w:tcW w:w="100" w:type="dxa"/>
            <w:vAlign w:val="bottom"/>
          </w:tcPr>
          <w:p>
            <w:pPr>
              <w:spacing w:after="0"/>
              <w:rPr>
                <w:sz w:val="18"/>
                <w:szCs w:val="18"/>
                <w:color w:val="auto"/>
              </w:rPr>
            </w:pPr>
          </w:p>
        </w:tc>
        <w:tc>
          <w:tcPr>
            <w:tcW w:w="760" w:type="dxa"/>
            <w:vAlign w:val="bottom"/>
            <w:gridSpan w:val="2"/>
          </w:tcPr>
          <w:p>
            <w:pPr>
              <w:jc w:val="right"/>
              <w:ind w:right="220"/>
              <w:spacing w:after="0"/>
              <w:rPr>
                <w:sz w:val="20"/>
                <w:szCs w:val="20"/>
                <w:color w:val="auto"/>
              </w:rPr>
            </w:pPr>
            <w:r>
              <w:rPr>
                <w:rFonts w:ascii="Arial" w:cs="Arial" w:eastAsia="Arial" w:hAnsi="Arial"/>
                <w:sz w:val="18"/>
                <w:szCs w:val="18"/>
                <w:color w:val="auto"/>
              </w:rPr>
              <w:t>9,082</w:t>
            </w:r>
          </w:p>
        </w:tc>
        <w:tc>
          <w:tcPr>
            <w:tcW w:w="1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8,101</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5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Future income tax benefits</w:t>
            </w:r>
          </w:p>
        </w:tc>
        <w:tc>
          <w:tcPr>
            <w:tcW w:w="10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1,276</w:t>
            </w:r>
          </w:p>
        </w:tc>
        <w:tc>
          <w:tcPr>
            <w:tcW w:w="1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1,267</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500" w:type="dxa"/>
            <w:vAlign w:val="bottom"/>
            <w:gridSpan w:val="2"/>
          </w:tcPr>
          <w:p>
            <w:pPr>
              <w:spacing w:after="0"/>
              <w:rPr>
                <w:sz w:val="20"/>
                <w:szCs w:val="20"/>
                <w:color w:val="auto"/>
              </w:rPr>
            </w:pPr>
            <w:r>
              <w:rPr>
                <w:rFonts w:ascii="Arial" w:cs="Arial" w:eastAsia="Arial" w:hAnsi="Arial"/>
                <w:sz w:val="18"/>
                <w:szCs w:val="18"/>
                <w:color w:val="auto"/>
              </w:rPr>
              <w:t>Other current assets</w:t>
            </w:r>
          </w:p>
        </w:tc>
        <w:tc>
          <w:tcPr>
            <w:tcW w:w="100" w:type="dxa"/>
            <w:vAlign w:val="bottom"/>
          </w:tcPr>
          <w:p>
            <w:pPr>
              <w:spacing w:after="0"/>
              <w:rPr>
                <w:sz w:val="18"/>
                <w:szCs w:val="18"/>
                <w:color w:val="auto"/>
              </w:rPr>
            </w:pPr>
          </w:p>
        </w:tc>
        <w:tc>
          <w:tcPr>
            <w:tcW w:w="760" w:type="dxa"/>
            <w:vAlign w:val="bottom"/>
            <w:gridSpan w:val="2"/>
          </w:tcPr>
          <w:p>
            <w:pPr>
              <w:jc w:val="right"/>
              <w:ind w:right="220"/>
              <w:spacing w:after="0"/>
              <w:rPr>
                <w:sz w:val="20"/>
                <w:szCs w:val="20"/>
                <w:color w:val="auto"/>
              </w:rPr>
            </w:pPr>
            <w:r>
              <w:rPr>
                <w:rFonts w:ascii="Arial" w:cs="Arial" w:eastAsia="Arial" w:hAnsi="Arial"/>
                <w:sz w:val="18"/>
                <w:szCs w:val="18"/>
                <w:color w:val="auto"/>
              </w:rPr>
              <w:t>876</w:t>
            </w:r>
          </w:p>
        </w:tc>
        <w:tc>
          <w:tcPr>
            <w:tcW w:w="1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955</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1340" w:type="dxa"/>
            <w:vAlign w:val="bottom"/>
          </w:tcPr>
          <w:p>
            <w:pPr>
              <w:spacing w:after="0"/>
              <w:rPr>
                <w:sz w:val="2"/>
                <w:szCs w:val="2"/>
                <w:color w:val="auto"/>
              </w:rPr>
            </w:pPr>
          </w:p>
        </w:tc>
        <w:tc>
          <w:tcPr>
            <w:tcW w:w="816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4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620" w:type="dxa"/>
            <w:vAlign w:val="bottom"/>
            <w:shd w:val="clear" w:color="auto" w:fill="000000"/>
          </w:tcPr>
          <w:p>
            <w:pPr>
              <w:spacing w:after="0"/>
              <w:rPr>
                <w:sz w:val="2"/>
                <w:szCs w:val="2"/>
                <w:color w:val="auto"/>
              </w:rPr>
            </w:pPr>
          </w:p>
        </w:tc>
        <w:tc>
          <w:tcPr>
            <w:tcW w:w="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tcPr>
          <w:p>
            <w:pPr>
              <w:spacing w:after="0"/>
              <w:rPr>
                <w:sz w:val="18"/>
                <w:szCs w:val="18"/>
                <w:color w:val="auto"/>
              </w:rPr>
            </w:pPr>
          </w:p>
        </w:tc>
        <w:tc>
          <w:tcPr>
            <w:tcW w:w="9500" w:type="dxa"/>
            <w:vAlign w:val="bottom"/>
            <w:gridSpan w:val="2"/>
            <w:shd w:val="clear" w:color="auto" w:fill="CCEEFF"/>
          </w:tcPr>
          <w:p>
            <w:pPr>
              <w:ind w:left="860"/>
              <w:spacing w:after="0"/>
              <w:rPr>
                <w:sz w:val="20"/>
                <w:szCs w:val="20"/>
                <w:color w:val="auto"/>
              </w:rPr>
            </w:pPr>
            <w:r>
              <w:rPr>
                <w:rFonts w:ascii="Arial" w:cs="Arial" w:eastAsia="Arial" w:hAnsi="Arial"/>
                <w:sz w:val="18"/>
                <w:szCs w:val="18"/>
                <w:color w:val="auto"/>
              </w:rPr>
              <w:t>Total Current Assets</w:t>
            </w:r>
          </w:p>
        </w:tc>
        <w:tc>
          <w:tcPr>
            <w:tcW w:w="10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w w:val="94"/>
              </w:rPr>
              <w:t>24,779</w:t>
            </w:r>
          </w:p>
        </w:tc>
        <w:tc>
          <w:tcPr>
            <w:tcW w:w="1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22,071</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9520" w:type="dxa"/>
            <w:vAlign w:val="bottom"/>
            <w:gridSpan w:val="3"/>
            <w:vMerge w:val="restart"/>
          </w:tcPr>
          <w:p>
            <w:pPr>
              <w:spacing w:after="0"/>
              <w:rPr>
                <w:sz w:val="20"/>
                <w:szCs w:val="20"/>
                <w:color w:val="auto"/>
              </w:rPr>
            </w:pPr>
            <w:r>
              <w:rPr>
                <w:rFonts w:ascii="Arial" w:cs="Arial" w:eastAsia="Arial" w:hAnsi="Arial"/>
                <w:sz w:val="18"/>
                <w:szCs w:val="18"/>
                <w:color w:val="auto"/>
              </w:rPr>
              <w:t>Customer financing assets</w:t>
            </w:r>
          </w:p>
        </w:tc>
        <w:tc>
          <w:tcPr>
            <w:tcW w:w="100" w:type="dxa"/>
            <w:vAlign w:val="bottom"/>
            <w:shd w:val="clear" w:color="auto" w:fill="000000"/>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1"/>
        </w:trPr>
        <w:tc>
          <w:tcPr>
            <w:tcW w:w="9520" w:type="dxa"/>
            <w:vAlign w:val="bottom"/>
            <w:gridSpan w:val="3"/>
            <w:vMerge w:val="continue"/>
          </w:tcPr>
          <w:p>
            <w:pPr>
              <w:spacing w:after="0"/>
              <w:rPr>
                <w:sz w:val="19"/>
                <w:szCs w:val="19"/>
                <w:color w:val="auto"/>
              </w:rPr>
            </w:pPr>
          </w:p>
        </w:tc>
        <w:tc>
          <w:tcPr>
            <w:tcW w:w="100" w:type="dxa"/>
            <w:vAlign w:val="bottom"/>
          </w:tcPr>
          <w:p>
            <w:pPr>
              <w:spacing w:after="0"/>
              <w:rPr>
                <w:sz w:val="19"/>
                <w:szCs w:val="19"/>
                <w:color w:val="auto"/>
              </w:rPr>
            </w:pPr>
          </w:p>
        </w:tc>
        <w:tc>
          <w:tcPr>
            <w:tcW w:w="760" w:type="dxa"/>
            <w:vAlign w:val="bottom"/>
            <w:gridSpan w:val="2"/>
          </w:tcPr>
          <w:p>
            <w:pPr>
              <w:jc w:val="right"/>
              <w:ind w:right="220"/>
              <w:spacing w:after="0"/>
              <w:rPr>
                <w:sz w:val="20"/>
                <w:szCs w:val="20"/>
                <w:color w:val="auto"/>
              </w:rPr>
            </w:pPr>
            <w:r>
              <w:rPr>
                <w:rFonts w:ascii="Arial" w:cs="Arial" w:eastAsia="Arial" w:hAnsi="Arial"/>
                <w:sz w:val="18"/>
                <w:szCs w:val="18"/>
                <w:color w:val="auto"/>
              </w:rPr>
              <w:t>1,005</w:t>
            </w:r>
          </w:p>
        </w:tc>
        <w:tc>
          <w:tcPr>
            <w:tcW w:w="1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963</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8"/>
        </w:trPr>
        <w:tc>
          <w:tcPr>
            <w:tcW w:w="20" w:type="dxa"/>
            <w:vAlign w:val="bottom"/>
          </w:tcPr>
          <w:p>
            <w:pPr>
              <w:spacing w:after="0"/>
              <w:rPr>
                <w:sz w:val="18"/>
                <w:szCs w:val="18"/>
                <w:color w:val="auto"/>
              </w:rPr>
            </w:pPr>
          </w:p>
        </w:tc>
        <w:tc>
          <w:tcPr>
            <w:tcW w:w="95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Future income tax benefits</w:t>
            </w:r>
          </w:p>
        </w:tc>
        <w:tc>
          <w:tcPr>
            <w:tcW w:w="10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1,296</w:t>
            </w:r>
          </w:p>
        </w:tc>
        <w:tc>
          <w:tcPr>
            <w:tcW w:w="1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1,126</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500" w:type="dxa"/>
            <w:vAlign w:val="bottom"/>
            <w:gridSpan w:val="2"/>
          </w:tcPr>
          <w:p>
            <w:pPr>
              <w:spacing w:after="0"/>
              <w:rPr>
                <w:sz w:val="20"/>
                <w:szCs w:val="20"/>
                <w:color w:val="auto"/>
              </w:rPr>
            </w:pPr>
            <w:r>
              <w:rPr>
                <w:rFonts w:ascii="Arial" w:cs="Arial" w:eastAsia="Arial" w:hAnsi="Arial"/>
                <w:sz w:val="18"/>
                <w:szCs w:val="18"/>
                <w:color w:val="auto"/>
              </w:rPr>
              <w:t>Fixed assets</w:t>
            </w:r>
          </w:p>
        </w:tc>
        <w:tc>
          <w:tcPr>
            <w:tcW w:w="100" w:type="dxa"/>
            <w:vAlign w:val="bottom"/>
          </w:tcPr>
          <w:p>
            <w:pPr>
              <w:spacing w:after="0"/>
              <w:rPr>
                <w:sz w:val="18"/>
                <w:szCs w:val="18"/>
                <w:color w:val="auto"/>
              </w:rPr>
            </w:pPr>
          </w:p>
        </w:tc>
        <w:tc>
          <w:tcPr>
            <w:tcW w:w="760" w:type="dxa"/>
            <w:vAlign w:val="bottom"/>
            <w:gridSpan w:val="2"/>
          </w:tcPr>
          <w:p>
            <w:pPr>
              <w:jc w:val="right"/>
              <w:ind w:right="220"/>
              <w:spacing w:after="0"/>
              <w:rPr>
                <w:sz w:val="20"/>
                <w:szCs w:val="20"/>
                <w:color w:val="auto"/>
              </w:rPr>
            </w:pPr>
            <w:r>
              <w:rPr>
                <w:rFonts w:ascii="Arial" w:cs="Arial" w:eastAsia="Arial" w:hAnsi="Arial"/>
                <w:sz w:val="18"/>
                <w:szCs w:val="18"/>
                <w:color w:val="auto"/>
                <w:w w:val="94"/>
              </w:rPr>
              <w:t>15,638</w:t>
            </w:r>
          </w:p>
        </w:tc>
        <w:tc>
          <w:tcPr>
            <w:tcW w:w="1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14,877</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500" w:type="dxa"/>
            <w:vAlign w:val="bottom"/>
            <w:gridSpan w:val="2"/>
            <w:shd w:val="clear" w:color="auto" w:fill="CCEEFF"/>
          </w:tcPr>
          <w:p>
            <w:pPr>
              <w:ind w:left="860"/>
              <w:spacing w:after="0"/>
              <w:rPr>
                <w:sz w:val="20"/>
                <w:szCs w:val="20"/>
                <w:color w:val="auto"/>
              </w:rPr>
            </w:pPr>
            <w:r>
              <w:rPr>
                <w:rFonts w:ascii="Arial" w:cs="Arial" w:eastAsia="Arial" w:hAnsi="Arial"/>
                <w:sz w:val="18"/>
                <w:szCs w:val="18"/>
                <w:color w:val="auto"/>
              </w:rPr>
              <w:t>Less: Accumulated depreciation</w:t>
            </w:r>
          </w:p>
        </w:tc>
        <w:tc>
          <w:tcPr>
            <w:tcW w:w="10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(9,088)</w:t>
            </w:r>
          </w:p>
        </w:tc>
        <w:tc>
          <w:tcPr>
            <w:tcW w:w="1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(8,581)</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9500" w:type="dxa"/>
            <w:vAlign w:val="bottom"/>
            <w:gridSpan w:val="2"/>
            <w:vMerge w:val="restart"/>
          </w:tcPr>
          <w:p>
            <w:pPr>
              <w:ind w:left="860"/>
              <w:spacing w:after="0"/>
              <w:rPr>
                <w:sz w:val="20"/>
                <w:szCs w:val="20"/>
                <w:color w:val="auto"/>
              </w:rPr>
            </w:pPr>
            <w:r>
              <w:rPr>
                <w:rFonts w:ascii="Arial" w:cs="Arial" w:eastAsia="Arial" w:hAnsi="Arial"/>
                <w:sz w:val="18"/>
                <w:szCs w:val="18"/>
                <w:color w:val="auto"/>
              </w:rPr>
              <w:t>Net Fixed Assets</w:t>
            </w:r>
          </w:p>
        </w:tc>
        <w:tc>
          <w:tcPr>
            <w:tcW w:w="100" w:type="dxa"/>
            <w:vAlign w:val="bottom"/>
            <w:shd w:val="clear" w:color="auto" w:fill="000000"/>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2"/>
        </w:trPr>
        <w:tc>
          <w:tcPr>
            <w:tcW w:w="20" w:type="dxa"/>
            <w:vAlign w:val="bottom"/>
          </w:tcPr>
          <w:p>
            <w:pPr>
              <w:spacing w:after="0"/>
              <w:rPr>
                <w:sz w:val="19"/>
                <w:szCs w:val="19"/>
                <w:color w:val="auto"/>
              </w:rPr>
            </w:pPr>
          </w:p>
        </w:tc>
        <w:tc>
          <w:tcPr>
            <w:tcW w:w="9500" w:type="dxa"/>
            <w:vAlign w:val="bottom"/>
            <w:gridSpan w:val="2"/>
            <w:vMerge w:val="continue"/>
          </w:tcPr>
          <w:p>
            <w:pPr>
              <w:spacing w:after="0"/>
              <w:rPr>
                <w:sz w:val="19"/>
                <w:szCs w:val="19"/>
                <w:color w:val="auto"/>
              </w:rPr>
            </w:pPr>
          </w:p>
        </w:tc>
        <w:tc>
          <w:tcPr>
            <w:tcW w:w="100" w:type="dxa"/>
            <w:vAlign w:val="bottom"/>
          </w:tcPr>
          <w:p>
            <w:pPr>
              <w:spacing w:after="0"/>
              <w:rPr>
                <w:sz w:val="19"/>
                <w:szCs w:val="19"/>
                <w:color w:val="auto"/>
              </w:rPr>
            </w:pPr>
          </w:p>
        </w:tc>
        <w:tc>
          <w:tcPr>
            <w:tcW w:w="760" w:type="dxa"/>
            <w:vAlign w:val="bottom"/>
            <w:gridSpan w:val="2"/>
          </w:tcPr>
          <w:p>
            <w:pPr>
              <w:jc w:val="right"/>
              <w:ind w:right="220"/>
              <w:spacing w:after="0"/>
              <w:rPr>
                <w:sz w:val="20"/>
                <w:szCs w:val="20"/>
                <w:color w:val="auto"/>
              </w:rPr>
            </w:pPr>
            <w:r>
              <w:rPr>
                <w:rFonts w:ascii="Arial" w:cs="Arial" w:eastAsia="Arial" w:hAnsi="Arial"/>
                <w:sz w:val="18"/>
                <w:szCs w:val="18"/>
                <w:color w:val="auto"/>
              </w:rPr>
              <w:t>6,550</w:t>
            </w:r>
          </w:p>
        </w:tc>
        <w:tc>
          <w:tcPr>
            <w:tcW w:w="1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6,296</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8"/>
        </w:trPr>
        <w:tc>
          <w:tcPr>
            <w:tcW w:w="20" w:type="dxa"/>
            <w:vAlign w:val="bottom"/>
            <w:vMerge w:val="restart"/>
          </w:tcPr>
          <w:p>
            <w:pPr>
              <w:spacing w:after="0"/>
              <w:rPr>
                <w:sz w:val="2"/>
                <w:szCs w:val="2"/>
                <w:color w:val="auto"/>
              </w:rPr>
            </w:pPr>
          </w:p>
        </w:tc>
        <w:tc>
          <w:tcPr>
            <w:tcW w:w="1340" w:type="dxa"/>
            <w:vAlign w:val="bottom"/>
          </w:tcPr>
          <w:p>
            <w:pPr>
              <w:spacing w:after="0"/>
              <w:rPr>
                <w:sz w:val="2"/>
                <w:szCs w:val="2"/>
                <w:color w:val="auto"/>
              </w:rPr>
            </w:pPr>
          </w:p>
        </w:tc>
        <w:tc>
          <w:tcPr>
            <w:tcW w:w="816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4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620" w:type="dxa"/>
            <w:vAlign w:val="bottom"/>
            <w:shd w:val="clear" w:color="auto" w:fill="000000"/>
          </w:tcPr>
          <w:p>
            <w:pPr>
              <w:spacing w:after="0"/>
              <w:rPr>
                <w:sz w:val="2"/>
                <w:szCs w:val="2"/>
                <w:color w:val="auto"/>
              </w:rPr>
            </w:pPr>
          </w:p>
        </w:tc>
        <w:tc>
          <w:tcPr>
            <w:tcW w:w="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95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Goodwill</w:t>
            </w:r>
          </w:p>
        </w:tc>
        <w:tc>
          <w:tcPr>
            <w:tcW w:w="10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w w:val="94"/>
              </w:rPr>
              <w:t>16,619</w:t>
            </w:r>
          </w:p>
        </w:tc>
        <w:tc>
          <w:tcPr>
            <w:tcW w:w="1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16,120</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500" w:type="dxa"/>
            <w:vAlign w:val="bottom"/>
            <w:gridSpan w:val="2"/>
          </w:tcPr>
          <w:p>
            <w:pPr>
              <w:spacing w:after="0"/>
              <w:rPr>
                <w:sz w:val="20"/>
                <w:szCs w:val="20"/>
                <w:color w:val="auto"/>
              </w:rPr>
            </w:pPr>
            <w:r>
              <w:rPr>
                <w:rFonts w:ascii="Arial" w:cs="Arial" w:eastAsia="Arial" w:hAnsi="Arial"/>
                <w:sz w:val="18"/>
                <w:szCs w:val="18"/>
                <w:color w:val="auto"/>
              </w:rPr>
              <w:t>Intangible assets</w:t>
            </w:r>
          </w:p>
        </w:tc>
        <w:tc>
          <w:tcPr>
            <w:tcW w:w="100" w:type="dxa"/>
            <w:vAlign w:val="bottom"/>
          </w:tcPr>
          <w:p>
            <w:pPr>
              <w:spacing w:after="0"/>
              <w:rPr>
                <w:sz w:val="18"/>
                <w:szCs w:val="18"/>
                <w:color w:val="auto"/>
              </w:rPr>
            </w:pPr>
          </w:p>
        </w:tc>
        <w:tc>
          <w:tcPr>
            <w:tcW w:w="760" w:type="dxa"/>
            <w:vAlign w:val="bottom"/>
            <w:gridSpan w:val="2"/>
          </w:tcPr>
          <w:p>
            <w:pPr>
              <w:jc w:val="right"/>
              <w:ind w:right="220"/>
              <w:spacing w:after="0"/>
              <w:rPr>
                <w:sz w:val="20"/>
                <w:szCs w:val="20"/>
                <w:color w:val="auto"/>
              </w:rPr>
            </w:pPr>
            <w:r>
              <w:rPr>
                <w:rFonts w:ascii="Arial" w:cs="Arial" w:eastAsia="Arial" w:hAnsi="Arial"/>
                <w:sz w:val="18"/>
                <w:szCs w:val="18"/>
                <w:color w:val="auto"/>
              </w:rPr>
              <w:t>3,847</w:t>
            </w:r>
          </w:p>
        </w:tc>
        <w:tc>
          <w:tcPr>
            <w:tcW w:w="1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3,757</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5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Other assets</w:t>
            </w:r>
          </w:p>
        </w:tc>
        <w:tc>
          <w:tcPr>
            <w:tcW w:w="10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4,390</w:t>
            </w:r>
          </w:p>
        </w:tc>
        <w:tc>
          <w:tcPr>
            <w:tcW w:w="1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4,242</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9500" w:type="dxa"/>
            <w:vAlign w:val="bottom"/>
            <w:gridSpan w:val="2"/>
            <w:vMerge w:val="restart"/>
          </w:tcPr>
          <w:p>
            <w:pPr>
              <w:ind w:left="420"/>
              <w:spacing w:after="0"/>
              <w:rPr>
                <w:sz w:val="20"/>
                <w:szCs w:val="20"/>
                <w:color w:val="auto"/>
              </w:rPr>
            </w:pPr>
            <w:r>
              <w:rPr>
                <w:rFonts w:ascii="Arial" w:cs="Arial" w:eastAsia="Arial" w:hAnsi="Arial"/>
                <w:sz w:val="18"/>
                <w:szCs w:val="18"/>
                <w:color w:val="auto"/>
              </w:rPr>
              <w:t>Total Assets</w:t>
            </w:r>
          </w:p>
        </w:tc>
        <w:tc>
          <w:tcPr>
            <w:tcW w:w="100" w:type="dxa"/>
            <w:vAlign w:val="bottom"/>
            <w:shd w:val="clear" w:color="auto" w:fill="000000"/>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2"/>
        </w:trPr>
        <w:tc>
          <w:tcPr>
            <w:tcW w:w="20" w:type="dxa"/>
            <w:vAlign w:val="bottom"/>
          </w:tcPr>
          <w:p>
            <w:pPr>
              <w:spacing w:after="0"/>
              <w:rPr>
                <w:sz w:val="19"/>
                <w:szCs w:val="19"/>
                <w:color w:val="auto"/>
              </w:rPr>
            </w:pPr>
          </w:p>
        </w:tc>
        <w:tc>
          <w:tcPr>
            <w:tcW w:w="9500" w:type="dxa"/>
            <w:vAlign w:val="bottom"/>
            <w:gridSpan w:val="2"/>
            <w:vMerge w:val="continue"/>
          </w:tcPr>
          <w:p>
            <w:pPr>
              <w:spacing w:after="0"/>
              <w:rPr>
                <w:sz w:val="19"/>
                <w:szCs w:val="19"/>
                <w:color w:val="auto"/>
              </w:rPr>
            </w:pP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760" w:type="dxa"/>
            <w:vAlign w:val="bottom"/>
            <w:gridSpan w:val="2"/>
          </w:tcPr>
          <w:p>
            <w:pPr>
              <w:jc w:val="right"/>
              <w:ind w:right="220"/>
              <w:spacing w:after="0"/>
              <w:rPr>
                <w:sz w:val="20"/>
                <w:szCs w:val="20"/>
                <w:color w:val="auto"/>
              </w:rPr>
            </w:pPr>
            <w:r>
              <w:rPr>
                <w:rFonts w:ascii="Arial" w:cs="Arial" w:eastAsia="Arial" w:hAnsi="Arial"/>
                <w:sz w:val="18"/>
                <w:szCs w:val="18"/>
                <w:color w:val="auto"/>
                <w:w w:val="94"/>
              </w:rPr>
              <w:t>58,486</w:t>
            </w:r>
          </w:p>
        </w:tc>
        <w:tc>
          <w:tcPr>
            <w:tcW w:w="360" w:type="dxa"/>
            <w:vAlign w:val="bottom"/>
            <w:gridSpan w:val="2"/>
          </w:tcPr>
          <w:p>
            <w:pPr>
              <w:ind w:left="180"/>
              <w:spacing w:after="0"/>
              <w:rPr>
                <w:sz w:val="20"/>
                <w:szCs w:val="20"/>
                <w:color w:val="auto"/>
              </w:rPr>
            </w:pPr>
            <w:r>
              <w:rPr>
                <w:rFonts w:ascii="Arial" w:cs="Arial" w:eastAsia="Arial" w:hAnsi="Arial"/>
                <w:sz w:val="18"/>
                <w:szCs w:val="18"/>
                <w:color w:val="auto"/>
              </w:rPr>
              <w:t>$</w:t>
            </w:r>
          </w:p>
        </w:tc>
        <w:tc>
          <w:tcPr>
            <w:tcW w:w="620" w:type="dxa"/>
            <w:vAlign w:val="bottom"/>
          </w:tcPr>
          <w:p>
            <w:pPr>
              <w:jc w:val="right"/>
              <w:spacing w:after="0"/>
              <w:rPr>
                <w:sz w:val="20"/>
                <w:szCs w:val="20"/>
                <w:color w:val="auto"/>
              </w:rPr>
            </w:pPr>
            <w:r>
              <w:rPr>
                <w:rFonts w:ascii="Arial" w:cs="Arial" w:eastAsia="Arial" w:hAnsi="Arial"/>
                <w:sz w:val="18"/>
                <w:szCs w:val="18"/>
                <w:color w:val="auto"/>
              </w:rPr>
              <w:t>54,575</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340" w:type="dxa"/>
            <w:vAlign w:val="bottom"/>
          </w:tcPr>
          <w:p>
            <w:pPr>
              <w:spacing w:after="0" w:line="20" w:lineRule="exact"/>
              <w:rPr>
                <w:sz w:val="1"/>
                <w:szCs w:val="1"/>
                <w:color w:val="auto"/>
              </w:rPr>
            </w:pPr>
          </w:p>
        </w:tc>
        <w:tc>
          <w:tcPr>
            <w:tcW w:w="81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1"/>
        </w:trPr>
        <w:tc>
          <w:tcPr>
            <w:tcW w:w="20" w:type="dxa"/>
            <w:vAlign w:val="bottom"/>
          </w:tcPr>
          <w:p>
            <w:pPr>
              <w:spacing w:after="0"/>
              <w:rPr>
                <w:sz w:val="18"/>
                <w:szCs w:val="18"/>
                <w:color w:val="auto"/>
              </w:rPr>
            </w:pPr>
          </w:p>
        </w:tc>
        <w:tc>
          <w:tcPr>
            <w:tcW w:w="1340" w:type="dxa"/>
            <w:vAlign w:val="bottom"/>
            <w:shd w:val="clear" w:color="auto" w:fill="CCEEFF"/>
          </w:tcPr>
          <w:p>
            <w:pPr>
              <w:spacing w:after="0"/>
              <w:rPr>
                <w:sz w:val="18"/>
                <w:szCs w:val="18"/>
                <w:color w:val="auto"/>
              </w:rPr>
            </w:pPr>
          </w:p>
        </w:tc>
        <w:tc>
          <w:tcPr>
            <w:tcW w:w="8160" w:type="dxa"/>
            <w:vAlign w:val="bottom"/>
            <w:shd w:val="clear" w:color="auto" w:fill="CCEEFF"/>
          </w:tcPr>
          <w:p>
            <w:pPr>
              <w:jc w:val="center"/>
              <w:ind w:right="1592"/>
              <w:spacing w:after="0"/>
              <w:rPr>
                <w:sz w:val="20"/>
                <w:szCs w:val="20"/>
                <w:color w:val="auto"/>
              </w:rPr>
            </w:pPr>
            <w:r>
              <w:rPr>
                <w:rFonts w:ascii="Arial" w:cs="Arial" w:eastAsia="Arial" w:hAnsi="Arial"/>
                <w:sz w:val="18"/>
                <w:szCs w:val="18"/>
                <w:b w:val="1"/>
                <w:bCs w:val="1"/>
                <w:color w:val="auto"/>
                <w:w w:val="89"/>
              </w:rPr>
              <w:t>Liabilities and Shareowners’ Equity</w:t>
            </w:r>
          </w:p>
        </w:tc>
        <w:tc>
          <w:tcPr>
            <w:tcW w:w="10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500" w:type="dxa"/>
            <w:vAlign w:val="bottom"/>
            <w:gridSpan w:val="2"/>
          </w:tcPr>
          <w:p>
            <w:pPr>
              <w:spacing w:after="0"/>
              <w:rPr>
                <w:sz w:val="20"/>
                <w:szCs w:val="20"/>
                <w:color w:val="auto"/>
              </w:rPr>
            </w:pPr>
            <w:r>
              <w:rPr>
                <w:rFonts w:ascii="Arial" w:cs="Arial" w:eastAsia="Arial" w:hAnsi="Arial"/>
                <w:sz w:val="18"/>
                <w:szCs w:val="18"/>
                <w:color w:val="auto"/>
              </w:rPr>
              <w:t>Short-term borrowings</w:t>
            </w: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760" w:type="dxa"/>
            <w:vAlign w:val="bottom"/>
            <w:gridSpan w:val="2"/>
          </w:tcPr>
          <w:p>
            <w:pPr>
              <w:jc w:val="right"/>
              <w:ind w:right="220"/>
              <w:spacing w:after="0"/>
              <w:rPr>
                <w:sz w:val="20"/>
                <w:szCs w:val="20"/>
                <w:color w:val="auto"/>
              </w:rPr>
            </w:pPr>
            <w:r>
              <w:rPr>
                <w:rFonts w:ascii="Arial" w:cs="Arial" w:eastAsia="Arial" w:hAnsi="Arial"/>
                <w:sz w:val="18"/>
                <w:szCs w:val="18"/>
                <w:color w:val="auto"/>
              </w:rPr>
              <w:t>1,672</w:t>
            </w:r>
          </w:p>
        </w:tc>
        <w:tc>
          <w:tcPr>
            <w:tcW w:w="360" w:type="dxa"/>
            <w:vAlign w:val="bottom"/>
            <w:gridSpan w:val="2"/>
          </w:tcPr>
          <w:p>
            <w:pPr>
              <w:ind w:left="180"/>
              <w:spacing w:after="0"/>
              <w:rPr>
                <w:sz w:val="20"/>
                <w:szCs w:val="20"/>
                <w:color w:val="auto"/>
              </w:rPr>
            </w:pPr>
            <w:r>
              <w:rPr>
                <w:rFonts w:ascii="Arial" w:cs="Arial" w:eastAsia="Arial" w:hAnsi="Arial"/>
                <w:sz w:val="18"/>
                <w:szCs w:val="18"/>
                <w:color w:val="auto"/>
              </w:rPr>
              <w:t>$</w:t>
            </w:r>
          </w:p>
        </w:tc>
        <w:tc>
          <w:tcPr>
            <w:tcW w:w="620" w:type="dxa"/>
            <w:vAlign w:val="bottom"/>
          </w:tcPr>
          <w:p>
            <w:pPr>
              <w:jc w:val="right"/>
              <w:spacing w:after="0"/>
              <w:rPr>
                <w:sz w:val="20"/>
                <w:szCs w:val="20"/>
                <w:color w:val="auto"/>
              </w:rPr>
            </w:pPr>
            <w:r>
              <w:rPr>
                <w:rFonts w:ascii="Arial" w:cs="Arial" w:eastAsia="Arial" w:hAnsi="Arial"/>
                <w:sz w:val="18"/>
                <w:szCs w:val="18"/>
                <w:color w:val="auto"/>
              </w:rPr>
              <w:t>1,085</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5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Accounts payable</w:t>
            </w:r>
          </w:p>
        </w:tc>
        <w:tc>
          <w:tcPr>
            <w:tcW w:w="10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5,577</w:t>
            </w:r>
          </w:p>
        </w:tc>
        <w:tc>
          <w:tcPr>
            <w:tcW w:w="1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5,059</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500" w:type="dxa"/>
            <w:vAlign w:val="bottom"/>
            <w:gridSpan w:val="2"/>
          </w:tcPr>
          <w:p>
            <w:pPr>
              <w:spacing w:after="0"/>
              <w:rPr>
                <w:sz w:val="20"/>
                <w:szCs w:val="20"/>
                <w:color w:val="auto"/>
              </w:rPr>
            </w:pPr>
            <w:r>
              <w:rPr>
                <w:rFonts w:ascii="Arial" w:cs="Arial" w:eastAsia="Arial" w:hAnsi="Arial"/>
                <w:sz w:val="18"/>
                <w:szCs w:val="18"/>
                <w:color w:val="auto"/>
              </w:rPr>
              <w:t>Accrued liabilities</w:t>
            </w:r>
          </w:p>
        </w:tc>
        <w:tc>
          <w:tcPr>
            <w:tcW w:w="100" w:type="dxa"/>
            <w:vAlign w:val="bottom"/>
          </w:tcPr>
          <w:p>
            <w:pPr>
              <w:spacing w:after="0"/>
              <w:rPr>
                <w:sz w:val="18"/>
                <w:szCs w:val="18"/>
                <w:color w:val="auto"/>
              </w:rPr>
            </w:pPr>
          </w:p>
        </w:tc>
        <w:tc>
          <w:tcPr>
            <w:tcW w:w="760" w:type="dxa"/>
            <w:vAlign w:val="bottom"/>
            <w:gridSpan w:val="2"/>
          </w:tcPr>
          <w:p>
            <w:pPr>
              <w:jc w:val="right"/>
              <w:ind w:right="220"/>
              <w:spacing w:after="0"/>
              <w:rPr>
                <w:sz w:val="20"/>
                <w:szCs w:val="20"/>
                <w:color w:val="auto"/>
              </w:rPr>
            </w:pPr>
            <w:r>
              <w:rPr>
                <w:rFonts w:ascii="Arial" w:cs="Arial" w:eastAsia="Arial" w:hAnsi="Arial"/>
                <w:sz w:val="18"/>
                <w:szCs w:val="18"/>
                <w:color w:val="auto"/>
                <w:w w:val="94"/>
              </w:rPr>
              <w:t>12,304</w:t>
            </w:r>
          </w:p>
        </w:tc>
        <w:tc>
          <w:tcPr>
            <w:tcW w:w="1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11,277</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5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Long-term debt currently due</w:t>
            </w:r>
          </w:p>
        </w:tc>
        <w:tc>
          <w:tcPr>
            <w:tcW w:w="10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952</w:t>
            </w:r>
          </w:p>
        </w:tc>
        <w:tc>
          <w:tcPr>
            <w:tcW w:w="1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48</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9500" w:type="dxa"/>
            <w:vAlign w:val="bottom"/>
            <w:gridSpan w:val="2"/>
            <w:vMerge w:val="restart"/>
          </w:tcPr>
          <w:p>
            <w:pPr>
              <w:ind w:left="860"/>
              <w:spacing w:after="0"/>
              <w:rPr>
                <w:sz w:val="20"/>
                <w:szCs w:val="20"/>
                <w:color w:val="auto"/>
              </w:rPr>
            </w:pPr>
            <w:r>
              <w:rPr>
                <w:rFonts w:ascii="Arial" w:cs="Arial" w:eastAsia="Arial" w:hAnsi="Arial"/>
                <w:sz w:val="18"/>
                <w:szCs w:val="18"/>
                <w:color w:val="auto"/>
              </w:rPr>
              <w:t>Total Current Liabilities</w:t>
            </w:r>
          </w:p>
        </w:tc>
        <w:tc>
          <w:tcPr>
            <w:tcW w:w="100" w:type="dxa"/>
            <w:vAlign w:val="bottom"/>
            <w:shd w:val="clear" w:color="auto" w:fill="000000"/>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2"/>
        </w:trPr>
        <w:tc>
          <w:tcPr>
            <w:tcW w:w="20" w:type="dxa"/>
            <w:vAlign w:val="bottom"/>
          </w:tcPr>
          <w:p>
            <w:pPr>
              <w:spacing w:after="0"/>
              <w:rPr>
                <w:sz w:val="19"/>
                <w:szCs w:val="19"/>
                <w:color w:val="auto"/>
              </w:rPr>
            </w:pPr>
          </w:p>
        </w:tc>
        <w:tc>
          <w:tcPr>
            <w:tcW w:w="9500" w:type="dxa"/>
            <w:vAlign w:val="bottom"/>
            <w:gridSpan w:val="2"/>
            <w:vMerge w:val="continue"/>
          </w:tcPr>
          <w:p>
            <w:pPr>
              <w:spacing w:after="0"/>
              <w:rPr>
                <w:sz w:val="19"/>
                <w:szCs w:val="19"/>
                <w:color w:val="auto"/>
              </w:rPr>
            </w:pPr>
          </w:p>
        </w:tc>
        <w:tc>
          <w:tcPr>
            <w:tcW w:w="100" w:type="dxa"/>
            <w:vAlign w:val="bottom"/>
          </w:tcPr>
          <w:p>
            <w:pPr>
              <w:spacing w:after="0"/>
              <w:rPr>
                <w:sz w:val="19"/>
                <w:szCs w:val="19"/>
                <w:color w:val="auto"/>
              </w:rPr>
            </w:pPr>
          </w:p>
        </w:tc>
        <w:tc>
          <w:tcPr>
            <w:tcW w:w="760" w:type="dxa"/>
            <w:vAlign w:val="bottom"/>
            <w:gridSpan w:val="2"/>
          </w:tcPr>
          <w:p>
            <w:pPr>
              <w:jc w:val="right"/>
              <w:ind w:right="220"/>
              <w:spacing w:after="0"/>
              <w:rPr>
                <w:sz w:val="20"/>
                <w:szCs w:val="20"/>
                <w:color w:val="auto"/>
              </w:rPr>
            </w:pPr>
            <w:r>
              <w:rPr>
                <w:rFonts w:ascii="Arial" w:cs="Arial" w:eastAsia="Arial" w:hAnsi="Arial"/>
                <w:sz w:val="18"/>
                <w:szCs w:val="18"/>
                <w:color w:val="auto"/>
                <w:w w:val="94"/>
              </w:rPr>
              <w:t>20,505</w:t>
            </w:r>
          </w:p>
        </w:tc>
        <w:tc>
          <w:tcPr>
            <w:tcW w:w="1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17,469</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8"/>
        </w:trPr>
        <w:tc>
          <w:tcPr>
            <w:tcW w:w="20" w:type="dxa"/>
            <w:vAlign w:val="bottom"/>
            <w:vMerge w:val="restart"/>
          </w:tcPr>
          <w:p>
            <w:pPr>
              <w:spacing w:after="0"/>
              <w:rPr>
                <w:sz w:val="2"/>
                <w:szCs w:val="2"/>
                <w:color w:val="auto"/>
              </w:rPr>
            </w:pPr>
          </w:p>
        </w:tc>
        <w:tc>
          <w:tcPr>
            <w:tcW w:w="1340" w:type="dxa"/>
            <w:vAlign w:val="bottom"/>
          </w:tcPr>
          <w:p>
            <w:pPr>
              <w:spacing w:after="0"/>
              <w:rPr>
                <w:sz w:val="2"/>
                <w:szCs w:val="2"/>
                <w:color w:val="auto"/>
              </w:rPr>
            </w:pPr>
          </w:p>
        </w:tc>
        <w:tc>
          <w:tcPr>
            <w:tcW w:w="816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4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620" w:type="dxa"/>
            <w:vAlign w:val="bottom"/>
            <w:shd w:val="clear" w:color="auto" w:fill="000000"/>
          </w:tcPr>
          <w:p>
            <w:pPr>
              <w:spacing w:after="0"/>
              <w:rPr>
                <w:sz w:val="2"/>
                <w:szCs w:val="2"/>
                <w:color w:val="auto"/>
              </w:rPr>
            </w:pPr>
          </w:p>
        </w:tc>
        <w:tc>
          <w:tcPr>
            <w:tcW w:w="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95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Long-term debt</w:t>
            </w:r>
          </w:p>
        </w:tc>
        <w:tc>
          <w:tcPr>
            <w:tcW w:w="10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8,106</w:t>
            </w:r>
          </w:p>
        </w:tc>
        <w:tc>
          <w:tcPr>
            <w:tcW w:w="1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8,015</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500" w:type="dxa"/>
            <w:vAlign w:val="bottom"/>
            <w:gridSpan w:val="2"/>
          </w:tcPr>
          <w:p>
            <w:pPr>
              <w:spacing w:after="0"/>
              <w:rPr>
                <w:sz w:val="20"/>
                <w:szCs w:val="20"/>
                <w:color w:val="auto"/>
              </w:rPr>
            </w:pPr>
            <w:r>
              <w:rPr>
                <w:rFonts w:ascii="Arial" w:cs="Arial" w:eastAsia="Arial" w:hAnsi="Arial"/>
                <w:sz w:val="18"/>
                <w:szCs w:val="18"/>
                <w:color w:val="auto"/>
              </w:rPr>
              <w:t>Future pension and postretirement benefit obligations</w:t>
            </w:r>
          </w:p>
        </w:tc>
        <w:tc>
          <w:tcPr>
            <w:tcW w:w="100" w:type="dxa"/>
            <w:vAlign w:val="bottom"/>
          </w:tcPr>
          <w:p>
            <w:pPr>
              <w:spacing w:after="0"/>
              <w:rPr>
                <w:sz w:val="18"/>
                <w:szCs w:val="18"/>
                <w:color w:val="auto"/>
              </w:rPr>
            </w:pPr>
          </w:p>
        </w:tc>
        <w:tc>
          <w:tcPr>
            <w:tcW w:w="760" w:type="dxa"/>
            <w:vAlign w:val="bottom"/>
            <w:gridSpan w:val="2"/>
          </w:tcPr>
          <w:p>
            <w:pPr>
              <w:jc w:val="right"/>
              <w:ind w:right="220"/>
              <w:spacing w:after="0"/>
              <w:rPr>
                <w:sz w:val="20"/>
                <w:szCs w:val="20"/>
                <w:color w:val="auto"/>
              </w:rPr>
            </w:pPr>
            <w:r>
              <w:rPr>
                <w:rFonts w:ascii="Arial" w:cs="Arial" w:eastAsia="Arial" w:hAnsi="Arial"/>
                <w:sz w:val="18"/>
                <w:szCs w:val="18"/>
                <w:color w:val="auto"/>
              </w:rPr>
              <w:t>2,523</w:t>
            </w:r>
          </w:p>
        </w:tc>
        <w:tc>
          <w:tcPr>
            <w:tcW w:w="1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2,562</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5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Other long-term liabilities</w:t>
            </w:r>
          </w:p>
        </w:tc>
        <w:tc>
          <w:tcPr>
            <w:tcW w:w="10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4,483</w:t>
            </w:r>
          </w:p>
        </w:tc>
        <w:tc>
          <w:tcPr>
            <w:tcW w:w="1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4,262</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9500" w:type="dxa"/>
            <w:vAlign w:val="bottom"/>
            <w:gridSpan w:val="2"/>
            <w:vMerge w:val="restart"/>
          </w:tcPr>
          <w:p>
            <w:pPr>
              <w:ind w:left="860"/>
              <w:spacing w:after="0"/>
              <w:rPr>
                <w:sz w:val="20"/>
                <w:szCs w:val="20"/>
                <w:color w:val="auto"/>
              </w:rPr>
            </w:pPr>
            <w:r>
              <w:rPr>
                <w:rFonts w:ascii="Arial" w:cs="Arial" w:eastAsia="Arial" w:hAnsi="Arial"/>
                <w:sz w:val="18"/>
                <w:szCs w:val="18"/>
                <w:color w:val="auto"/>
              </w:rPr>
              <w:t>Total Liabilities</w:t>
            </w:r>
          </w:p>
        </w:tc>
        <w:tc>
          <w:tcPr>
            <w:tcW w:w="100" w:type="dxa"/>
            <w:vAlign w:val="bottom"/>
            <w:shd w:val="clear" w:color="auto" w:fill="000000"/>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2"/>
        </w:trPr>
        <w:tc>
          <w:tcPr>
            <w:tcW w:w="20" w:type="dxa"/>
            <w:vAlign w:val="bottom"/>
          </w:tcPr>
          <w:p>
            <w:pPr>
              <w:spacing w:after="0"/>
              <w:rPr>
                <w:sz w:val="19"/>
                <w:szCs w:val="19"/>
                <w:color w:val="auto"/>
              </w:rPr>
            </w:pPr>
          </w:p>
        </w:tc>
        <w:tc>
          <w:tcPr>
            <w:tcW w:w="9500" w:type="dxa"/>
            <w:vAlign w:val="bottom"/>
            <w:gridSpan w:val="2"/>
            <w:vMerge w:val="continue"/>
          </w:tcPr>
          <w:p>
            <w:pPr>
              <w:spacing w:after="0"/>
              <w:rPr>
                <w:sz w:val="19"/>
                <w:szCs w:val="19"/>
                <w:color w:val="auto"/>
              </w:rPr>
            </w:pPr>
          </w:p>
        </w:tc>
        <w:tc>
          <w:tcPr>
            <w:tcW w:w="100" w:type="dxa"/>
            <w:vAlign w:val="bottom"/>
          </w:tcPr>
          <w:p>
            <w:pPr>
              <w:spacing w:after="0"/>
              <w:rPr>
                <w:sz w:val="19"/>
                <w:szCs w:val="19"/>
                <w:color w:val="auto"/>
              </w:rPr>
            </w:pPr>
          </w:p>
        </w:tc>
        <w:tc>
          <w:tcPr>
            <w:tcW w:w="760" w:type="dxa"/>
            <w:vAlign w:val="bottom"/>
            <w:gridSpan w:val="2"/>
          </w:tcPr>
          <w:p>
            <w:pPr>
              <w:jc w:val="right"/>
              <w:ind w:right="220"/>
              <w:spacing w:after="0"/>
              <w:rPr>
                <w:sz w:val="20"/>
                <w:szCs w:val="20"/>
                <w:color w:val="auto"/>
              </w:rPr>
            </w:pPr>
            <w:r>
              <w:rPr>
                <w:rFonts w:ascii="Arial" w:cs="Arial" w:eastAsia="Arial" w:hAnsi="Arial"/>
                <w:sz w:val="18"/>
                <w:szCs w:val="18"/>
                <w:color w:val="auto"/>
                <w:w w:val="94"/>
              </w:rPr>
              <w:t>35,617</w:t>
            </w:r>
          </w:p>
        </w:tc>
        <w:tc>
          <w:tcPr>
            <w:tcW w:w="1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32,308</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8"/>
        </w:trPr>
        <w:tc>
          <w:tcPr>
            <w:tcW w:w="20" w:type="dxa"/>
            <w:vAlign w:val="bottom"/>
            <w:vMerge w:val="restart"/>
          </w:tcPr>
          <w:p>
            <w:pPr>
              <w:spacing w:after="0"/>
              <w:rPr>
                <w:sz w:val="2"/>
                <w:szCs w:val="2"/>
                <w:color w:val="auto"/>
              </w:rPr>
            </w:pPr>
          </w:p>
        </w:tc>
        <w:tc>
          <w:tcPr>
            <w:tcW w:w="1340" w:type="dxa"/>
            <w:vAlign w:val="bottom"/>
          </w:tcPr>
          <w:p>
            <w:pPr>
              <w:spacing w:after="0"/>
              <w:rPr>
                <w:sz w:val="2"/>
                <w:szCs w:val="2"/>
                <w:color w:val="auto"/>
              </w:rPr>
            </w:pPr>
          </w:p>
        </w:tc>
        <w:tc>
          <w:tcPr>
            <w:tcW w:w="816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4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620" w:type="dxa"/>
            <w:vAlign w:val="bottom"/>
            <w:shd w:val="clear" w:color="auto" w:fill="000000"/>
          </w:tcPr>
          <w:p>
            <w:pPr>
              <w:spacing w:after="0"/>
              <w:rPr>
                <w:sz w:val="2"/>
                <w:szCs w:val="2"/>
                <w:color w:val="auto"/>
              </w:rPr>
            </w:pPr>
          </w:p>
        </w:tc>
        <w:tc>
          <w:tcPr>
            <w:tcW w:w="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95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Minority interests in subsidiary companies</w:t>
            </w:r>
          </w:p>
        </w:tc>
        <w:tc>
          <w:tcPr>
            <w:tcW w:w="10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957</w:t>
            </w:r>
          </w:p>
        </w:tc>
        <w:tc>
          <w:tcPr>
            <w:tcW w:w="1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912</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500" w:type="dxa"/>
            <w:vAlign w:val="bottom"/>
            <w:gridSpan w:val="2"/>
          </w:tcPr>
          <w:p>
            <w:pPr>
              <w:spacing w:after="0"/>
              <w:rPr>
                <w:sz w:val="20"/>
                <w:szCs w:val="20"/>
                <w:color w:val="auto"/>
              </w:rPr>
            </w:pPr>
            <w:r>
              <w:rPr>
                <w:rFonts w:ascii="Arial" w:cs="Arial" w:eastAsia="Arial" w:hAnsi="Arial"/>
                <w:sz w:val="18"/>
                <w:szCs w:val="18"/>
                <w:color w:val="auto"/>
              </w:rPr>
              <w:t>Shareowners’ Equity:</w:t>
            </w:r>
          </w:p>
        </w:tc>
        <w:tc>
          <w:tcPr>
            <w:tcW w:w="10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500" w:type="dxa"/>
            <w:vAlign w:val="bottom"/>
            <w:gridSpan w:val="2"/>
            <w:shd w:val="clear" w:color="auto" w:fill="CCEEFF"/>
          </w:tcPr>
          <w:p>
            <w:pPr>
              <w:ind w:left="860"/>
              <w:spacing w:after="0"/>
              <w:rPr>
                <w:sz w:val="20"/>
                <w:szCs w:val="20"/>
                <w:color w:val="auto"/>
              </w:rPr>
            </w:pPr>
            <w:r>
              <w:rPr>
                <w:rFonts w:ascii="Arial" w:cs="Arial" w:eastAsia="Arial" w:hAnsi="Arial"/>
                <w:sz w:val="18"/>
                <w:szCs w:val="18"/>
                <w:color w:val="auto"/>
              </w:rPr>
              <w:t>Common Stock</w:t>
            </w:r>
          </w:p>
        </w:tc>
        <w:tc>
          <w:tcPr>
            <w:tcW w:w="10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w w:val="94"/>
              </w:rPr>
              <w:t>10,864</w:t>
            </w:r>
          </w:p>
        </w:tc>
        <w:tc>
          <w:tcPr>
            <w:tcW w:w="1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10,572</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500" w:type="dxa"/>
            <w:vAlign w:val="bottom"/>
            <w:gridSpan w:val="2"/>
          </w:tcPr>
          <w:p>
            <w:pPr>
              <w:ind w:left="860"/>
              <w:spacing w:after="0"/>
              <w:rPr>
                <w:sz w:val="20"/>
                <w:szCs w:val="20"/>
                <w:color w:val="auto"/>
              </w:rPr>
            </w:pPr>
            <w:r>
              <w:rPr>
                <w:rFonts w:ascii="Arial" w:cs="Arial" w:eastAsia="Arial" w:hAnsi="Arial"/>
                <w:sz w:val="18"/>
                <w:szCs w:val="18"/>
                <w:color w:val="auto"/>
              </w:rPr>
              <w:t>Treasury Stock</w:t>
            </w:r>
          </w:p>
        </w:tc>
        <w:tc>
          <w:tcPr>
            <w:tcW w:w="100" w:type="dxa"/>
            <w:vAlign w:val="bottom"/>
          </w:tcPr>
          <w:p>
            <w:pPr>
              <w:spacing w:after="0"/>
              <w:rPr>
                <w:sz w:val="18"/>
                <w:szCs w:val="18"/>
                <w:color w:val="auto"/>
              </w:rPr>
            </w:pPr>
          </w:p>
        </w:tc>
        <w:tc>
          <w:tcPr>
            <w:tcW w:w="760" w:type="dxa"/>
            <w:vAlign w:val="bottom"/>
            <w:gridSpan w:val="2"/>
          </w:tcPr>
          <w:p>
            <w:pPr>
              <w:jc w:val="right"/>
              <w:ind w:right="160"/>
              <w:spacing w:after="0"/>
              <w:rPr>
                <w:sz w:val="20"/>
                <w:szCs w:val="20"/>
                <w:color w:val="auto"/>
              </w:rPr>
            </w:pPr>
            <w:r>
              <w:rPr>
                <w:rFonts w:ascii="Arial" w:cs="Arial" w:eastAsia="Arial" w:hAnsi="Arial"/>
                <w:sz w:val="18"/>
                <w:szCs w:val="18"/>
                <w:color w:val="auto"/>
                <w:w w:val="86"/>
              </w:rPr>
              <w:t>(12,901)</w:t>
            </w:r>
          </w:p>
        </w:tc>
        <w:tc>
          <w:tcPr>
            <w:tcW w:w="1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80" w:type="dxa"/>
            <w:vAlign w:val="bottom"/>
            <w:gridSpan w:val="2"/>
          </w:tcPr>
          <w:p>
            <w:pPr>
              <w:jc w:val="right"/>
              <w:spacing w:after="0"/>
              <w:rPr>
                <w:sz w:val="20"/>
                <w:szCs w:val="20"/>
                <w:color w:val="auto"/>
              </w:rPr>
            </w:pPr>
            <w:r>
              <w:rPr>
                <w:rFonts w:ascii="Arial" w:cs="Arial" w:eastAsia="Arial" w:hAnsi="Arial"/>
                <w:sz w:val="18"/>
                <w:szCs w:val="18"/>
                <w:color w:val="auto"/>
                <w:w w:val="98"/>
              </w:rPr>
              <w:t>(11,338)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500" w:type="dxa"/>
            <w:vAlign w:val="bottom"/>
            <w:gridSpan w:val="2"/>
            <w:shd w:val="clear" w:color="auto" w:fill="CCEEFF"/>
          </w:tcPr>
          <w:p>
            <w:pPr>
              <w:ind w:left="860"/>
              <w:spacing w:after="0"/>
              <w:rPr>
                <w:sz w:val="20"/>
                <w:szCs w:val="20"/>
                <w:color w:val="auto"/>
              </w:rPr>
            </w:pPr>
            <w:r>
              <w:rPr>
                <w:rFonts w:ascii="Arial" w:cs="Arial" w:eastAsia="Arial" w:hAnsi="Arial"/>
                <w:sz w:val="18"/>
                <w:szCs w:val="18"/>
                <w:color w:val="auto"/>
              </w:rPr>
              <w:t>Retained earnings</w:t>
            </w:r>
          </w:p>
        </w:tc>
        <w:tc>
          <w:tcPr>
            <w:tcW w:w="10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w w:val="94"/>
              </w:rPr>
              <w:t>23,410</w:t>
            </w:r>
          </w:p>
        </w:tc>
        <w:tc>
          <w:tcPr>
            <w:tcW w:w="1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21,751</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500" w:type="dxa"/>
            <w:vAlign w:val="bottom"/>
            <w:gridSpan w:val="2"/>
          </w:tcPr>
          <w:p>
            <w:pPr>
              <w:ind w:left="860"/>
              <w:spacing w:after="0"/>
              <w:rPr>
                <w:sz w:val="20"/>
                <w:szCs w:val="20"/>
                <w:color w:val="auto"/>
              </w:rPr>
            </w:pPr>
            <w:r>
              <w:rPr>
                <w:rFonts w:ascii="Arial" w:cs="Arial" w:eastAsia="Arial" w:hAnsi="Arial"/>
                <w:sz w:val="18"/>
                <w:szCs w:val="18"/>
                <w:color w:val="auto"/>
              </w:rPr>
              <w:t>Unearned ESOP shares</w:t>
            </w:r>
          </w:p>
        </w:tc>
        <w:tc>
          <w:tcPr>
            <w:tcW w:w="100" w:type="dxa"/>
            <w:vAlign w:val="bottom"/>
          </w:tcPr>
          <w:p>
            <w:pPr>
              <w:spacing w:after="0"/>
              <w:rPr>
                <w:sz w:val="18"/>
                <w:szCs w:val="18"/>
                <w:color w:val="auto"/>
              </w:rPr>
            </w:pPr>
          </w:p>
        </w:tc>
        <w:tc>
          <w:tcPr>
            <w:tcW w:w="760" w:type="dxa"/>
            <w:vAlign w:val="bottom"/>
            <w:gridSpan w:val="2"/>
          </w:tcPr>
          <w:p>
            <w:pPr>
              <w:jc w:val="right"/>
              <w:ind w:right="160"/>
              <w:spacing w:after="0"/>
              <w:rPr>
                <w:sz w:val="20"/>
                <w:szCs w:val="20"/>
                <w:color w:val="auto"/>
              </w:rPr>
            </w:pPr>
            <w:r>
              <w:rPr>
                <w:rFonts w:ascii="Arial" w:cs="Arial" w:eastAsia="Arial" w:hAnsi="Arial"/>
                <w:sz w:val="18"/>
                <w:szCs w:val="18"/>
                <w:color w:val="auto"/>
              </w:rPr>
              <w:t>(207)</w:t>
            </w:r>
          </w:p>
        </w:tc>
        <w:tc>
          <w:tcPr>
            <w:tcW w:w="1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80" w:type="dxa"/>
            <w:vAlign w:val="bottom"/>
            <w:gridSpan w:val="2"/>
          </w:tcPr>
          <w:p>
            <w:pPr>
              <w:jc w:val="right"/>
              <w:spacing w:after="0"/>
              <w:rPr>
                <w:sz w:val="20"/>
                <w:szCs w:val="20"/>
                <w:color w:val="auto"/>
              </w:rPr>
            </w:pPr>
            <w:r>
              <w:rPr>
                <w:rFonts w:ascii="Arial" w:cs="Arial" w:eastAsia="Arial" w:hAnsi="Arial"/>
                <w:sz w:val="18"/>
                <w:szCs w:val="18"/>
                <w:color w:val="auto"/>
              </w:rPr>
              <w:t>(214)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500" w:type="dxa"/>
            <w:vAlign w:val="bottom"/>
            <w:gridSpan w:val="2"/>
            <w:shd w:val="clear" w:color="auto" w:fill="CCEEFF"/>
          </w:tcPr>
          <w:p>
            <w:pPr>
              <w:ind w:left="860"/>
              <w:spacing w:after="0"/>
              <w:rPr>
                <w:sz w:val="20"/>
                <w:szCs w:val="20"/>
                <w:color w:val="auto"/>
              </w:rPr>
            </w:pPr>
            <w:r>
              <w:rPr>
                <w:rFonts w:ascii="Arial" w:cs="Arial" w:eastAsia="Arial" w:hAnsi="Arial"/>
                <w:sz w:val="18"/>
                <w:szCs w:val="18"/>
                <w:color w:val="auto"/>
              </w:rPr>
              <w:t>Accumulated other non-shareowners’ changes in equity</w:t>
            </w:r>
          </w:p>
        </w:tc>
        <w:tc>
          <w:tcPr>
            <w:tcW w:w="10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746</w:t>
            </w:r>
          </w:p>
        </w:tc>
        <w:tc>
          <w:tcPr>
            <w:tcW w:w="1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584</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9500" w:type="dxa"/>
            <w:vAlign w:val="bottom"/>
            <w:gridSpan w:val="2"/>
            <w:vMerge w:val="restart"/>
          </w:tcPr>
          <w:p>
            <w:pPr>
              <w:ind w:left="1280"/>
              <w:spacing w:after="0"/>
              <w:rPr>
                <w:sz w:val="20"/>
                <w:szCs w:val="20"/>
                <w:color w:val="auto"/>
              </w:rPr>
            </w:pPr>
            <w:r>
              <w:rPr>
                <w:rFonts w:ascii="Arial" w:cs="Arial" w:eastAsia="Arial" w:hAnsi="Arial"/>
                <w:sz w:val="18"/>
                <w:szCs w:val="18"/>
                <w:color w:val="auto"/>
              </w:rPr>
              <w:t>Total Shareowners’ Equity</w:t>
            </w:r>
          </w:p>
        </w:tc>
        <w:tc>
          <w:tcPr>
            <w:tcW w:w="100" w:type="dxa"/>
            <w:vAlign w:val="bottom"/>
            <w:shd w:val="clear" w:color="auto" w:fill="000000"/>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2"/>
        </w:trPr>
        <w:tc>
          <w:tcPr>
            <w:tcW w:w="20" w:type="dxa"/>
            <w:vAlign w:val="bottom"/>
          </w:tcPr>
          <w:p>
            <w:pPr>
              <w:spacing w:after="0"/>
              <w:rPr>
                <w:sz w:val="19"/>
                <w:szCs w:val="19"/>
                <w:color w:val="auto"/>
              </w:rPr>
            </w:pPr>
          </w:p>
        </w:tc>
        <w:tc>
          <w:tcPr>
            <w:tcW w:w="9500" w:type="dxa"/>
            <w:vAlign w:val="bottom"/>
            <w:gridSpan w:val="2"/>
            <w:vMerge w:val="continue"/>
          </w:tcPr>
          <w:p>
            <w:pPr>
              <w:spacing w:after="0"/>
              <w:rPr>
                <w:sz w:val="19"/>
                <w:szCs w:val="19"/>
                <w:color w:val="auto"/>
              </w:rPr>
            </w:pPr>
          </w:p>
        </w:tc>
        <w:tc>
          <w:tcPr>
            <w:tcW w:w="100" w:type="dxa"/>
            <w:vAlign w:val="bottom"/>
          </w:tcPr>
          <w:p>
            <w:pPr>
              <w:spacing w:after="0"/>
              <w:rPr>
                <w:sz w:val="19"/>
                <w:szCs w:val="19"/>
                <w:color w:val="auto"/>
              </w:rPr>
            </w:pPr>
          </w:p>
        </w:tc>
        <w:tc>
          <w:tcPr>
            <w:tcW w:w="760" w:type="dxa"/>
            <w:vAlign w:val="bottom"/>
            <w:gridSpan w:val="2"/>
          </w:tcPr>
          <w:p>
            <w:pPr>
              <w:jc w:val="right"/>
              <w:ind w:right="220"/>
              <w:spacing w:after="0"/>
              <w:rPr>
                <w:sz w:val="20"/>
                <w:szCs w:val="20"/>
                <w:color w:val="auto"/>
              </w:rPr>
            </w:pPr>
            <w:r>
              <w:rPr>
                <w:rFonts w:ascii="Arial" w:cs="Arial" w:eastAsia="Arial" w:hAnsi="Arial"/>
                <w:sz w:val="18"/>
                <w:szCs w:val="18"/>
                <w:color w:val="auto"/>
                <w:w w:val="94"/>
              </w:rPr>
              <w:t>21,912</w:t>
            </w:r>
          </w:p>
        </w:tc>
        <w:tc>
          <w:tcPr>
            <w:tcW w:w="1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21,355</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8"/>
        </w:trPr>
        <w:tc>
          <w:tcPr>
            <w:tcW w:w="20" w:type="dxa"/>
            <w:vAlign w:val="bottom"/>
          </w:tcPr>
          <w:p>
            <w:pPr>
              <w:spacing w:after="0"/>
              <w:rPr>
                <w:sz w:val="2"/>
                <w:szCs w:val="2"/>
                <w:color w:val="auto"/>
              </w:rPr>
            </w:pPr>
          </w:p>
        </w:tc>
        <w:tc>
          <w:tcPr>
            <w:tcW w:w="1340" w:type="dxa"/>
            <w:vAlign w:val="bottom"/>
          </w:tcPr>
          <w:p>
            <w:pPr>
              <w:spacing w:after="0"/>
              <w:rPr>
                <w:sz w:val="2"/>
                <w:szCs w:val="2"/>
                <w:color w:val="auto"/>
              </w:rPr>
            </w:pPr>
          </w:p>
        </w:tc>
        <w:tc>
          <w:tcPr>
            <w:tcW w:w="816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4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620" w:type="dxa"/>
            <w:vAlign w:val="bottom"/>
            <w:shd w:val="clear" w:color="auto" w:fill="000000"/>
          </w:tcPr>
          <w:p>
            <w:pPr>
              <w:spacing w:after="0"/>
              <w:rPr>
                <w:sz w:val="2"/>
                <w:szCs w:val="2"/>
                <w:color w:val="auto"/>
              </w:rPr>
            </w:pPr>
          </w:p>
        </w:tc>
        <w:tc>
          <w:tcPr>
            <w:tcW w:w="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tcPr>
          <w:p>
            <w:pPr>
              <w:spacing w:after="0"/>
              <w:rPr>
                <w:sz w:val="18"/>
                <w:szCs w:val="18"/>
                <w:color w:val="auto"/>
              </w:rPr>
            </w:pPr>
          </w:p>
        </w:tc>
        <w:tc>
          <w:tcPr>
            <w:tcW w:w="9500" w:type="dxa"/>
            <w:vAlign w:val="bottom"/>
            <w:gridSpan w:val="2"/>
            <w:shd w:val="clear" w:color="auto" w:fill="CCEEFF"/>
          </w:tcPr>
          <w:p>
            <w:pPr>
              <w:ind w:left="420"/>
              <w:spacing w:after="0"/>
              <w:rPr>
                <w:sz w:val="20"/>
                <w:szCs w:val="20"/>
                <w:color w:val="auto"/>
              </w:rPr>
            </w:pPr>
            <w:r>
              <w:rPr>
                <w:rFonts w:ascii="Arial" w:cs="Arial" w:eastAsia="Arial" w:hAnsi="Arial"/>
                <w:sz w:val="18"/>
                <w:szCs w:val="18"/>
                <w:color w:val="auto"/>
              </w:rPr>
              <w:t>Total Liabilities and Shareowners’ Equity</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7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w w:val="94"/>
              </w:rPr>
              <w:t>58,486</w:t>
            </w:r>
          </w:p>
        </w:tc>
        <w:tc>
          <w:tcPr>
            <w:tcW w:w="360" w:type="dxa"/>
            <w:vAlign w:val="bottom"/>
            <w:gridSpan w:val="2"/>
            <w:shd w:val="clear" w:color="auto" w:fill="CCEEFF"/>
          </w:tcPr>
          <w:p>
            <w:pPr>
              <w:ind w:left="180"/>
              <w:spacing w:after="0"/>
              <w:rPr>
                <w:sz w:val="20"/>
                <w:szCs w:val="20"/>
                <w:color w:val="auto"/>
              </w:rPr>
            </w:pPr>
            <w:r>
              <w:rPr>
                <w:rFonts w:ascii="Arial" w:cs="Arial" w:eastAsia="Arial" w:hAnsi="Arial"/>
                <w:sz w:val="18"/>
                <w:szCs w:val="18"/>
                <w:color w:val="auto"/>
              </w:rPr>
              <w:t>$</w:t>
            </w: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54,575</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340" w:type="dxa"/>
            <w:vAlign w:val="bottom"/>
          </w:tcPr>
          <w:p>
            <w:pPr>
              <w:spacing w:after="0" w:line="20" w:lineRule="exact"/>
              <w:rPr>
                <w:sz w:val="1"/>
                <w:szCs w:val="1"/>
                <w:color w:val="auto"/>
              </w:rPr>
            </w:pPr>
          </w:p>
        </w:tc>
        <w:tc>
          <w:tcPr>
            <w:tcW w:w="81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6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See accompanying Notes to Condensed Consolidated Financial Statements</w:t>
      </w:r>
    </w:p>
    <w:p>
      <w:pPr>
        <w:spacing w:after="0" w:line="15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w:t>
      </w:r>
    </w:p>
    <w:p>
      <w:pPr>
        <w:sectPr>
          <w:pgSz w:w="11900" w:h="16838" w:orient="portrait"/>
          <w:cols w:equalWidth="0" w:num="1">
            <w:col w:w="11420"/>
          </w:cols>
          <w:pgMar w:left="240" w:top="459" w:right="239" w:bottom="1440" w:gutter="0" w:footer="0" w:header="0"/>
        </w:sectPr>
      </w:pPr>
    </w:p>
    <w:bookmarkStart w:id="5" w:name="page6"/>
    <w:bookmarkEnd w:id="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UNITED TECHNOLOGIES CORPORATION</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AND SUBSIDIARIES</w:t>
      </w:r>
    </w:p>
    <w:p>
      <w:pPr>
        <w:spacing w:after="0" w:line="159" w:lineRule="exact"/>
        <w:rPr>
          <w:sz w:val="20"/>
          <w:szCs w:val="20"/>
          <w:color w:val="auto"/>
        </w:rPr>
      </w:pPr>
    </w:p>
    <w:p>
      <w:pPr>
        <w:jc w:val="center"/>
        <w:spacing w:after="0"/>
        <w:rPr>
          <w:sz w:val="20"/>
          <w:szCs w:val="20"/>
          <w:color w:val="auto"/>
        </w:rPr>
      </w:pPr>
      <w:r>
        <w:rPr>
          <w:rFonts w:ascii="Arial" w:cs="Arial" w:eastAsia="Arial" w:hAnsi="Arial"/>
          <w:sz w:val="18"/>
          <w:szCs w:val="18"/>
          <w:b w:val="1"/>
          <w:bCs w:val="1"/>
          <w:u w:val="single" w:color="auto"/>
          <w:color w:val="auto"/>
        </w:rPr>
        <w:t>CONDENSED CONSOLIDATED STATEMENT OF CASH FLOWS</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18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6840" w:type="dxa"/>
            <w:vAlign w:val="bottom"/>
          </w:tcPr>
          <w:p>
            <w:pPr>
              <w:spacing w:after="0"/>
              <w:rPr>
                <w:sz w:val="14"/>
                <w:szCs w:val="14"/>
                <w:color w:val="auto"/>
              </w:rPr>
            </w:pPr>
          </w:p>
        </w:tc>
        <w:tc>
          <w:tcPr>
            <w:tcW w:w="1640" w:type="dxa"/>
            <w:vAlign w:val="bottom"/>
          </w:tcPr>
          <w:p>
            <w:pPr>
              <w:spacing w:after="0"/>
              <w:rPr>
                <w:sz w:val="14"/>
                <w:szCs w:val="14"/>
                <w:color w:val="auto"/>
              </w:rPr>
            </w:pPr>
          </w:p>
        </w:tc>
        <w:tc>
          <w:tcPr>
            <w:tcW w:w="1580" w:type="dxa"/>
            <w:vAlign w:val="bottom"/>
            <w:gridSpan w:val="4"/>
          </w:tcPr>
          <w:p>
            <w:pPr>
              <w:jc w:val="right"/>
              <w:ind w:right="300"/>
              <w:spacing w:after="0"/>
              <w:rPr>
                <w:sz w:val="20"/>
                <w:szCs w:val="20"/>
                <w:color w:val="auto"/>
              </w:rPr>
            </w:pPr>
            <w:r>
              <w:rPr>
                <w:rFonts w:ascii="Arial" w:cs="Arial" w:eastAsia="Arial" w:hAnsi="Arial"/>
                <w:sz w:val="14"/>
                <w:szCs w:val="14"/>
                <w:b w:val="1"/>
                <w:bCs w:val="1"/>
                <w:color w:val="auto"/>
              </w:rPr>
              <w:t>Six Months Ended</w:t>
            </w:r>
          </w:p>
        </w:tc>
        <w:tc>
          <w:tcPr>
            <w:tcW w:w="0" w:type="dxa"/>
            <w:vAlign w:val="bottom"/>
          </w:tcPr>
          <w:p>
            <w:pPr>
              <w:spacing w:after="0"/>
              <w:rPr>
                <w:sz w:val="1"/>
                <w:szCs w:val="1"/>
                <w:color w:val="auto"/>
              </w:rPr>
            </w:pPr>
          </w:p>
        </w:tc>
      </w:tr>
      <w:tr>
        <w:trPr>
          <w:trHeight w:val="161"/>
        </w:trPr>
        <w:tc>
          <w:tcPr>
            <w:tcW w:w="8200" w:type="dxa"/>
            <w:vAlign w:val="bottom"/>
            <w:gridSpan w:val="3"/>
            <w:vMerge w:val="restart"/>
          </w:tcPr>
          <w:p>
            <w:pPr>
              <w:spacing w:after="0"/>
              <w:rPr>
                <w:sz w:val="20"/>
                <w:szCs w:val="20"/>
                <w:color w:val="auto"/>
              </w:rPr>
            </w:pPr>
            <w:r>
              <w:rPr>
                <w:rFonts w:ascii="Arial" w:cs="Arial" w:eastAsia="Arial" w:hAnsi="Arial"/>
                <w:sz w:val="14"/>
                <w:szCs w:val="14"/>
                <w:b w:val="1"/>
                <w:bCs w:val="1"/>
                <w:color w:val="auto"/>
              </w:rPr>
              <w:t>(in millions of dollars)</w:t>
            </w:r>
          </w:p>
        </w:tc>
        <w:tc>
          <w:tcPr>
            <w:tcW w:w="1640" w:type="dxa"/>
            <w:vAlign w:val="bottom"/>
          </w:tcPr>
          <w:p>
            <w:pPr>
              <w:spacing w:after="0"/>
              <w:rPr>
                <w:sz w:val="14"/>
                <w:szCs w:val="14"/>
                <w:color w:val="auto"/>
              </w:rPr>
            </w:pPr>
          </w:p>
        </w:tc>
        <w:tc>
          <w:tcPr>
            <w:tcW w:w="1580" w:type="dxa"/>
            <w:vAlign w:val="bottom"/>
            <w:gridSpan w:val="4"/>
          </w:tcPr>
          <w:p>
            <w:pPr>
              <w:jc w:val="right"/>
              <w:ind w:right="580"/>
              <w:spacing w:after="0"/>
              <w:rPr>
                <w:sz w:val="20"/>
                <w:szCs w:val="20"/>
                <w:color w:val="auto"/>
              </w:rPr>
            </w:pPr>
            <w:r>
              <w:rPr>
                <w:rFonts w:ascii="Arial" w:cs="Arial" w:eastAsia="Arial" w:hAnsi="Arial"/>
                <w:sz w:val="14"/>
                <w:szCs w:val="14"/>
                <w:b w:val="1"/>
                <w:bCs w:val="1"/>
                <w:color w:val="auto"/>
              </w:rPr>
              <w:t>June 30,</w:t>
            </w:r>
          </w:p>
        </w:tc>
        <w:tc>
          <w:tcPr>
            <w:tcW w:w="0" w:type="dxa"/>
            <w:vAlign w:val="bottom"/>
          </w:tcPr>
          <w:p>
            <w:pPr>
              <w:spacing w:after="0"/>
              <w:rPr>
                <w:sz w:val="1"/>
                <w:szCs w:val="1"/>
                <w:color w:val="auto"/>
              </w:rPr>
            </w:pPr>
          </w:p>
        </w:tc>
      </w:tr>
      <w:tr>
        <w:trPr>
          <w:trHeight w:val="142"/>
        </w:trPr>
        <w:tc>
          <w:tcPr>
            <w:tcW w:w="8200" w:type="dxa"/>
            <w:vAlign w:val="bottom"/>
            <w:gridSpan w:val="3"/>
            <w:vMerge w:val="continue"/>
          </w:tcPr>
          <w:p>
            <w:pPr>
              <w:spacing w:after="0"/>
              <w:rPr>
                <w:sz w:val="12"/>
                <w:szCs w:val="12"/>
                <w:color w:val="auto"/>
              </w:rPr>
            </w:pPr>
          </w:p>
        </w:tc>
        <w:tc>
          <w:tcPr>
            <w:tcW w:w="1640" w:type="dxa"/>
            <w:vAlign w:val="bottom"/>
          </w:tcPr>
          <w:p>
            <w:pPr>
              <w:spacing w:after="0"/>
              <w:rPr>
                <w:sz w:val="12"/>
                <w:szCs w:val="12"/>
                <w:color w:val="auto"/>
              </w:rPr>
            </w:pPr>
          </w:p>
        </w:tc>
        <w:tc>
          <w:tcPr>
            <w:tcW w:w="560" w:type="dxa"/>
            <w:vAlign w:val="bottom"/>
            <w:tcBorders>
              <w:top w:val="single" w:sz="8" w:color="auto"/>
            </w:tcBorders>
          </w:tcPr>
          <w:p>
            <w:pPr>
              <w:jc w:val="right"/>
              <w:ind w:right="58"/>
              <w:spacing w:after="0" w:line="142" w:lineRule="exact"/>
              <w:rPr>
                <w:sz w:val="20"/>
                <w:szCs w:val="20"/>
                <w:color w:val="auto"/>
              </w:rPr>
            </w:pPr>
            <w:r>
              <w:rPr>
                <w:rFonts w:ascii="Arial" w:cs="Arial" w:eastAsia="Arial" w:hAnsi="Arial"/>
                <w:sz w:val="14"/>
                <w:szCs w:val="14"/>
                <w:b w:val="1"/>
                <w:bCs w:val="1"/>
                <w:color w:val="auto"/>
              </w:rPr>
              <w:t>2008</w:t>
            </w:r>
          </w:p>
        </w:tc>
        <w:tc>
          <w:tcPr>
            <w:tcW w:w="400" w:type="dxa"/>
            <w:vAlign w:val="bottom"/>
            <w:tcBorders>
              <w:top w:val="single" w:sz="8" w:color="auto"/>
            </w:tcBorders>
          </w:tcPr>
          <w:p>
            <w:pPr>
              <w:spacing w:after="0"/>
              <w:rPr>
                <w:sz w:val="12"/>
                <w:szCs w:val="12"/>
                <w:color w:val="auto"/>
              </w:rPr>
            </w:pPr>
          </w:p>
        </w:tc>
        <w:tc>
          <w:tcPr>
            <w:tcW w:w="560" w:type="dxa"/>
            <w:vAlign w:val="bottom"/>
            <w:tcBorders>
              <w:top w:val="single" w:sz="8" w:color="auto"/>
            </w:tcBorders>
          </w:tcPr>
          <w:p>
            <w:pPr>
              <w:jc w:val="right"/>
              <w:ind w:right="53"/>
              <w:spacing w:after="0" w:line="142" w:lineRule="exact"/>
              <w:rPr>
                <w:sz w:val="20"/>
                <w:szCs w:val="20"/>
                <w:color w:val="auto"/>
              </w:rPr>
            </w:pPr>
            <w:r>
              <w:rPr>
                <w:rFonts w:ascii="Arial" w:cs="Arial" w:eastAsia="Arial" w:hAnsi="Arial"/>
                <w:sz w:val="14"/>
                <w:szCs w:val="14"/>
                <w:b w:val="1"/>
                <w:bCs w:val="1"/>
                <w:color w:val="auto"/>
              </w:rPr>
              <w:t>2007</w:t>
            </w: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0"/>
        </w:trPr>
        <w:tc>
          <w:tcPr>
            <w:tcW w:w="20" w:type="dxa"/>
            <w:vAlign w:val="bottom"/>
            <w:vMerge w:val="restart"/>
          </w:tcPr>
          <w:p>
            <w:pPr>
              <w:spacing w:after="0" w:line="20" w:lineRule="exact"/>
              <w:rPr>
                <w:sz w:val="1"/>
                <w:szCs w:val="1"/>
                <w:color w:val="auto"/>
              </w:rPr>
            </w:pPr>
          </w:p>
        </w:tc>
        <w:tc>
          <w:tcPr>
            <w:tcW w:w="1340" w:type="dxa"/>
            <w:vAlign w:val="bottom"/>
            <w:shd w:val="clear" w:color="auto" w:fill="000000"/>
          </w:tcPr>
          <w:p>
            <w:pPr>
              <w:spacing w:after="0" w:line="20" w:lineRule="exact"/>
              <w:rPr>
                <w:sz w:val="1"/>
                <w:szCs w:val="1"/>
                <w:color w:val="auto"/>
              </w:rPr>
            </w:pPr>
          </w:p>
        </w:tc>
        <w:tc>
          <w:tcPr>
            <w:tcW w:w="6840" w:type="dxa"/>
            <w:vAlign w:val="bottom"/>
          </w:tcPr>
          <w:p>
            <w:pPr>
              <w:spacing w:after="0" w:line="20" w:lineRule="exact"/>
              <w:rPr>
                <w:sz w:val="1"/>
                <w:szCs w:val="1"/>
                <w:color w:val="auto"/>
              </w:rPr>
            </w:pPr>
          </w:p>
        </w:tc>
        <w:tc>
          <w:tcPr>
            <w:tcW w:w="1640" w:type="dxa"/>
            <w:vAlign w:val="bottom"/>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vMerge w:val="continue"/>
          </w:tcPr>
          <w:p>
            <w:pPr>
              <w:spacing w:after="0"/>
              <w:rPr>
                <w:sz w:val="18"/>
                <w:szCs w:val="18"/>
                <w:color w:val="auto"/>
              </w:rPr>
            </w:pPr>
          </w:p>
        </w:tc>
        <w:tc>
          <w:tcPr>
            <w:tcW w:w="81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Operating Activities:</w:t>
            </w:r>
          </w:p>
        </w:tc>
        <w:tc>
          <w:tcPr>
            <w:tcW w:w="164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180" w:type="dxa"/>
            <w:vAlign w:val="bottom"/>
            <w:gridSpan w:val="2"/>
          </w:tcPr>
          <w:p>
            <w:pPr>
              <w:ind w:left="420"/>
              <w:spacing w:after="0"/>
              <w:rPr>
                <w:sz w:val="20"/>
                <w:szCs w:val="20"/>
                <w:color w:val="auto"/>
              </w:rPr>
            </w:pPr>
            <w:r>
              <w:rPr>
                <w:rFonts w:ascii="Arial" w:cs="Arial" w:eastAsia="Arial" w:hAnsi="Arial"/>
                <w:sz w:val="18"/>
                <w:szCs w:val="18"/>
                <w:color w:val="auto"/>
              </w:rPr>
              <w:t>Net income</w:t>
            </w:r>
          </w:p>
        </w:tc>
        <w:tc>
          <w:tcPr>
            <w:tcW w:w="2600" w:type="dxa"/>
            <w:vAlign w:val="bottom"/>
            <w:gridSpan w:val="3"/>
          </w:tcPr>
          <w:p>
            <w:pPr>
              <w:jc w:val="right"/>
              <w:ind w:right="400"/>
              <w:spacing w:after="0"/>
              <w:rPr>
                <w:sz w:val="20"/>
                <w:szCs w:val="20"/>
                <w:color w:val="auto"/>
              </w:rPr>
            </w:pPr>
            <w:r>
              <w:rPr>
                <w:rFonts w:ascii="Arial" w:cs="Arial" w:eastAsia="Arial" w:hAnsi="Arial"/>
                <w:sz w:val="18"/>
                <w:szCs w:val="18"/>
                <w:color w:val="auto"/>
              </w:rPr>
              <w:t>$ 2,275</w:t>
            </w:r>
          </w:p>
        </w:tc>
        <w:tc>
          <w:tcPr>
            <w:tcW w:w="560" w:type="dxa"/>
            <w:vAlign w:val="bottom"/>
          </w:tcPr>
          <w:p>
            <w:pPr>
              <w:jc w:val="right"/>
              <w:spacing w:after="0"/>
              <w:rPr>
                <w:sz w:val="20"/>
                <w:szCs w:val="20"/>
                <w:color w:val="auto"/>
              </w:rPr>
            </w:pPr>
            <w:r>
              <w:rPr>
                <w:rFonts w:ascii="Arial" w:cs="Arial" w:eastAsia="Arial" w:hAnsi="Arial"/>
                <w:sz w:val="18"/>
                <w:szCs w:val="18"/>
                <w:color w:val="auto"/>
                <w:w w:val="89"/>
              </w:rPr>
              <w:t>$ 1,967</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180" w:type="dxa"/>
            <w:vAlign w:val="bottom"/>
            <w:gridSpan w:val="2"/>
            <w:shd w:val="clear" w:color="auto" w:fill="CCEEFF"/>
          </w:tcPr>
          <w:p>
            <w:pPr>
              <w:ind w:left="420"/>
              <w:spacing w:after="0"/>
              <w:rPr>
                <w:sz w:val="20"/>
                <w:szCs w:val="20"/>
                <w:color w:val="auto"/>
              </w:rPr>
            </w:pPr>
            <w:r>
              <w:rPr>
                <w:rFonts w:ascii="Arial" w:cs="Arial" w:eastAsia="Arial" w:hAnsi="Arial"/>
                <w:sz w:val="18"/>
                <w:szCs w:val="18"/>
                <w:color w:val="auto"/>
              </w:rPr>
              <w:t>Adjustments to reconcile net income to net cash flows provided by operating activities:</w:t>
            </w:r>
          </w:p>
        </w:tc>
        <w:tc>
          <w:tcPr>
            <w:tcW w:w="164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180" w:type="dxa"/>
            <w:vAlign w:val="bottom"/>
            <w:gridSpan w:val="2"/>
          </w:tcPr>
          <w:p>
            <w:pPr>
              <w:ind w:left="1280"/>
              <w:spacing w:after="0"/>
              <w:rPr>
                <w:sz w:val="20"/>
                <w:szCs w:val="20"/>
                <w:color w:val="auto"/>
              </w:rPr>
            </w:pPr>
            <w:r>
              <w:rPr>
                <w:rFonts w:ascii="Arial" w:cs="Arial" w:eastAsia="Arial" w:hAnsi="Arial"/>
                <w:sz w:val="18"/>
                <w:szCs w:val="18"/>
                <w:color w:val="auto"/>
              </w:rPr>
              <w:t>Depreciation and amortization</w:t>
            </w:r>
          </w:p>
        </w:tc>
        <w:tc>
          <w:tcPr>
            <w:tcW w:w="2600" w:type="dxa"/>
            <w:vAlign w:val="bottom"/>
            <w:gridSpan w:val="3"/>
          </w:tcPr>
          <w:p>
            <w:pPr>
              <w:jc w:val="right"/>
              <w:ind w:right="400"/>
              <w:spacing w:after="0"/>
              <w:rPr>
                <w:sz w:val="20"/>
                <w:szCs w:val="20"/>
                <w:color w:val="auto"/>
              </w:rPr>
            </w:pPr>
            <w:r>
              <w:rPr>
                <w:rFonts w:ascii="Arial" w:cs="Arial" w:eastAsia="Arial" w:hAnsi="Arial"/>
                <w:sz w:val="18"/>
                <w:szCs w:val="18"/>
                <w:color w:val="auto"/>
              </w:rPr>
              <w:t>645</w:t>
            </w:r>
          </w:p>
        </w:tc>
        <w:tc>
          <w:tcPr>
            <w:tcW w:w="560" w:type="dxa"/>
            <w:vAlign w:val="bottom"/>
          </w:tcPr>
          <w:p>
            <w:pPr>
              <w:jc w:val="right"/>
              <w:spacing w:after="0"/>
              <w:rPr>
                <w:sz w:val="20"/>
                <w:szCs w:val="20"/>
                <w:color w:val="auto"/>
              </w:rPr>
            </w:pPr>
            <w:r>
              <w:rPr>
                <w:rFonts w:ascii="Arial" w:cs="Arial" w:eastAsia="Arial" w:hAnsi="Arial"/>
                <w:sz w:val="18"/>
                <w:szCs w:val="18"/>
                <w:color w:val="auto"/>
              </w:rPr>
              <w:t>555</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180" w:type="dxa"/>
            <w:vAlign w:val="bottom"/>
            <w:gridSpan w:val="2"/>
            <w:shd w:val="clear" w:color="auto" w:fill="CCEEFF"/>
          </w:tcPr>
          <w:p>
            <w:pPr>
              <w:ind w:left="1280"/>
              <w:spacing w:after="0"/>
              <w:rPr>
                <w:sz w:val="20"/>
                <w:szCs w:val="20"/>
                <w:color w:val="auto"/>
              </w:rPr>
            </w:pPr>
            <w:r>
              <w:rPr>
                <w:rFonts w:ascii="Arial" w:cs="Arial" w:eastAsia="Arial" w:hAnsi="Arial"/>
                <w:sz w:val="18"/>
                <w:szCs w:val="18"/>
                <w:color w:val="auto"/>
              </w:rPr>
              <w:t>Deferred income tax benefit</w:t>
            </w:r>
          </w:p>
        </w:tc>
        <w:tc>
          <w:tcPr>
            <w:tcW w:w="2600" w:type="dxa"/>
            <w:vAlign w:val="bottom"/>
            <w:gridSpan w:val="3"/>
            <w:shd w:val="clear" w:color="auto" w:fill="CCEEFF"/>
          </w:tcPr>
          <w:p>
            <w:pPr>
              <w:jc w:val="right"/>
              <w:ind w:right="340"/>
              <w:spacing w:after="0"/>
              <w:rPr>
                <w:sz w:val="20"/>
                <w:szCs w:val="20"/>
                <w:color w:val="auto"/>
              </w:rPr>
            </w:pPr>
            <w:r>
              <w:rPr>
                <w:rFonts w:ascii="Arial" w:cs="Arial" w:eastAsia="Arial" w:hAnsi="Arial"/>
                <w:sz w:val="18"/>
                <w:szCs w:val="18"/>
                <w:color w:val="auto"/>
              </w:rPr>
              <w:t>(133)</w:t>
            </w:r>
          </w:p>
        </w:tc>
        <w:tc>
          <w:tcPr>
            <w:tcW w:w="6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(160)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180" w:type="dxa"/>
            <w:vAlign w:val="bottom"/>
            <w:gridSpan w:val="2"/>
          </w:tcPr>
          <w:p>
            <w:pPr>
              <w:ind w:left="1280"/>
              <w:spacing w:after="0"/>
              <w:rPr>
                <w:sz w:val="20"/>
                <w:szCs w:val="20"/>
                <w:color w:val="auto"/>
              </w:rPr>
            </w:pPr>
            <w:r>
              <w:rPr>
                <w:rFonts w:ascii="Arial" w:cs="Arial" w:eastAsia="Arial" w:hAnsi="Arial"/>
                <w:sz w:val="18"/>
                <w:szCs w:val="18"/>
                <w:color w:val="auto"/>
              </w:rPr>
              <w:t>Minority interests in subsidiaries’ earnings</w:t>
            </w:r>
          </w:p>
        </w:tc>
        <w:tc>
          <w:tcPr>
            <w:tcW w:w="2600" w:type="dxa"/>
            <w:vAlign w:val="bottom"/>
            <w:gridSpan w:val="3"/>
          </w:tcPr>
          <w:p>
            <w:pPr>
              <w:jc w:val="right"/>
              <w:ind w:right="400"/>
              <w:spacing w:after="0"/>
              <w:rPr>
                <w:sz w:val="20"/>
                <w:szCs w:val="20"/>
                <w:color w:val="auto"/>
              </w:rPr>
            </w:pPr>
            <w:r>
              <w:rPr>
                <w:rFonts w:ascii="Arial" w:cs="Arial" w:eastAsia="Arial" w:hAnsi="Arial"/>
                <w:sz w:val="18"/>
                <w:szCs w:val="18"/>
                <w:color w:val="auto"/>
              </w:rPr>
              <w:t>179</w:t>
            </w:r>
          </w:p>
        </w:tc>
        <w:tc>
          <w:tcPr>
            <w:tcW w:w="560" w:type="dxa"/>
            <w:vAlign w:val="bottom"/>
          </w:tcPr>
          <w:p>
            <w:pPr>
              <w:jc w:val="right"/>
              <w:spacing w:after="0"/>
              <w:rPr>
                <w:sz w:val="20"/>
                <w:szCs w:val="20"/>
                <w:color w:val="auto"/>
              </w:rPr>
            </w:pPr>
            <w:r>
              <w:rPr>
                <w:rFonts w:ascii="Arial" w:cs="Arial" w:eastAsia="Arial" w:hAnsi="Arial"/>
                <w:sz w:val="18"/>
                <w:szCs w:val="18"/>
                <w:color w:val="auto"/>
              </w:rPr>
              <w:t>168</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180" w:type="dxa"/>
            <w:vAlign w:val="bottom"/>
            <w:gridSpan w:val="2"/>
            <w:shd w:val="clear" w:color="auto" w:fill="CCEEFF"/>
          </w:tcPr>
          <w:p>
            <w:pPr>
              <w:ind w:left="1280"/>
              <w:spacing w:after="0"/>
              <w:rPr>
                <w:sz w:val="20"/>
                <w:szCs w:val="20"/>
                <w:color w:val="auto"/>
              </w:rPr>
            </w:pPr>
            <w:r>
              <w:rPr>
                <w:rFonts w:ascii="Arial" w:cs="Arial" w:eastAsia="Arial" w:hAnsi="Arial"/>
                <w:sz w:val="18"/>
                <w:szCs w:val="18"/>
                <w:color w:val="auto"/>
              </w:rPr>
              <w:t>Stock compensation cost</w:t>
            </w:r>
          </w:p>
        </w:tc>
        <w:tc>
          <w:tcPr>
            <w:tcW w:w="2600" w:type="dxa"/>
            <w:vAlign w:val="bottom"/>
            <w:gridSpan w:val="3"/>
            <w:shd w:val="clear" w:color="auto" w:fill="CCEEFF"/>
          </w:tcPr>
          <w:p>
            <w:pPr>
              <w:jc w:val="right"/>
              <w:ind w:right="400"/>
              <w:spacing w:after="0"/>
              <w:rPr>
                <w:sz w:val="20"/>
                <w:szCs w:val="20"/>
                <w:color w:val="auto"/>
              </w:rPr>
            </w:pPr>
            <w:r>
              <w:rPr>
                <w:rFonts w:ascii="Arial" w:cs="Arial" w:eastAsia="Arial" w:hAnsi="Arial"/>
                <w:sz w:val="18"/>
                <w:szCs w:val="18"/>
                <w:color w:val="auto"/>
              </w:rPr>
              <w:t>110</w:t>
            </w: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97</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180" w:type="dxa"/>
            <w:vAlign w:val="bottom"/>
            <w:gridSpan w:val="2"/>
          </w:tcPr>
          <w:p>
            <w:pPr>
              <w:ind w:left="860"/>
              <w:spacing w:after="0"/>
              <w:rPr>
                <w:sz w:val="20"/>
                <w:szCs w:val="20"/>
                <w:color w:val="auto"/>
              </w:rPr>
            </w:pPr>
            <w:r>
              <w:rPr>
                <w:rFonts w:ascii="Arial" w:cs="Arial" w:eastAsia="Arial" w:hAnsi="Arial"/>
                <w:sz w:val="18"/>
                <w:szCs w:val="18"/>
                <w:color w:val="auto"/>
              </w:rPr>
              <w:t>Change in:</w:t>
            </w:r>
          </w:p>
        </w:tc>
        <w:tc>
          <w:tcPr>
            <w:tcW w:w="164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180" w:type="dxa"/>
            <w:vAlign w:val="bottom"/>
            <w:gridSpan w:val="2"/>
            <w:shd w:val="clear" w:color="auto" w:fill="CCEEFF"/>
          </w:tcPr>
          <w:p>
            <w:pPr>
              <w:ind w:left="1280"/>
              <w:spacing w:after="0"/>
              <w:rPr>
                <w:sz w:val="20"/>
                <w:szCs w:val="20"/>
                <w:color w:val="auto"/>
              </w:rPr>
            </w:pPr>
            <w:r>
              <w:rPr>
                <w:rFonts w:ascii="Arial" w:cs="Arial" w:eastAsia="Arial" w:hAnsi="Arial"/>
                <w:sz w:val="18"/>
                <w:szCs w:val="18"/>
                <w:color w:val="auto"/>
              </w:rPr>
              <w:t>Accounts receivable</w:t>
            </w:r>
          </w:p>
        </w:tc>
        <w:tc>
          <w:tcPr>
            <w:tcW w:w="2600" w:type="dxa"/>
            <w:vAlign w:val="bottom"/>
            <w:gridSpan w:val="3"/>
            <w:shd w:val="clear" w:color="auto" w:fill="CCEEFF"/>
          </w:tcPr>
          <w:p>
            <w:pPr>
              <w:jc w:val="right"/>
              <w:ind w:right="340"/>
              <w:spacing w:after="0"/>
              <w:rPr>
                <w:sz w:val="20"/>
                <w:szCs w:val="20"/>
                <w:color w:val="auto"/>
              </w:rPr>
            </w:pPr>
            <w:r>
              <w:rPr>
                <w:rFonts w:ascii="Arial" w:cs="Arial" w:eastAsia="Arial" w:hAnsi="Arial"/>
                <w:sz w:val="18"/>
                <w:szCs w:val="18"/>
                <w:color w:val="auto"/>
              </w:rPr>
              <w:t>(905)</w:t>
            </w:r>
          </w:p>
        </w:tc>
        <w:tc>
          <w:tcPr>
            <w:tcW w:w="6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(606)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180" w:type="dxa"/>
            <w:vAlign w:val="bottom"/>
            <w:gridSpan w:val="2"/>
          </w:tcPr>
          <w:p>
            <w:pPr>
              <w:ind w:left="1280"/>
              <w:spacing w:after="0"/>
              <w:rPr>
                <w:sz w:val="20"/>
                <w:szCs w:val="20"/>
                <w:color w:val="auto"/>
              </w:rPr>
            </w:pPr>
            <w:r>
              <w:rPr>
                <w:rFonts w:ascii="Arial" w:cs="Arial" w:eastAsia="Arial" w:hAnsi="Arial"/>
                <w:sz w:val="18"/>
                <w:szCs w:val="18"/>
                <w:color w:val="auto"/>
              </w:rPr>
              <w:t>Inventories and contracts in progress</w:t>
            </w:r>
          </w:p>
        </w:tc>
        <w:tc>
          <w:tcPr>
            <w:tcW w:w="2600" w:type="dxa"/>
            <w:vAlign w:val="bottom"/>
            <w:gridSpan w:val="3"/>
          </w:tcPr>
          <w:p>
            <w:pPr>
              <w:jc w:val="right"/>
              <w:ind w:right="340"/>
              <w:spacing w:after="0"/>
              <w:rPr>
                <w:sz w:val="20"/>
                <w:szCs w:val="20"/>
                <w:color w:val="auto"/>
              </w:rPr>
            </w:pPr>
            <w:r>
              <w:rPr>
                <w:rFonts w:ascii="Arial" w:cs="Arial" w:eastAsia="Arial" w:hAnsi="Arial"/>
                <w:sz w:val="18"/>
                <w:szCs w:val="18"/>
                <w:color w:val="auto"/>
              </w:rPr>
              <w:t>(822)</w:t>
            </w:r>
          </w:p>
        </w:tc>
        <w:tc>
          <w:tcPr>
            <w:tcW w:w="620" w:type="dxa"/>
            <w:vAlign w:val="bottom"/>
            <w:gridSpan w:val="2"/>
          </w:tcPr>
          <w:p>
            <w:pPr>
              <w:jc w:val="right"/>
              <w:spacing w:after="0"/>
              <w:rPr>
                <w:sz w:val="20"/>
                <w:szCs w:val="20"/>
                <w:color w:val="auto"/>
              </w:rPr>
            </w:pPr>
            <w:r>
              <w:rPr>
                <w:rFonts w:ascii="Arial" w:cs="Arial" w:eastAsia="Arial" w:hAnsi="Arial"/>
                <w:sz w:val="18"/>
                <w:szCs w:val="18"/>
                <w:color w:val="auto"/>
              </w:rPr>
              <w:t>(1,199)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180" w:type="dxa"/>
            <w:vAlign w:val="bottom"/>
            <w:gridSpan w:val="2"/>
            <w:shd w:val="clear" w:color="auto" w:fill="CCEEFF"/>
          </w:tcPr>
          <w:p>
            <w:pPr>
              <w:ind w:left="1280"/>
              <w:spacing w:after="0"/>
              <w:rPr>
                <w:sz w:val="20"/>
                <w:szCs w:val="20"/>
                <w:color w:val="auto"/>
              </w:rPr>
            </w:pPr>
            <w:r>
              <w:rPr>
                <w:rFonts w:ascii="Arial" w:cs="Arial" w:eastAsia="Arial" w:hAnsi="Arial"/>
                <w:sz w:val="18"/>
                <w:szCs w:val="18"/>
                <w:color w:val="auto"/>
              </w:rPr>
              <w:t>Other current assets</w:t>
            </w:r>
          </w:p>
        </w:tc>
        <w:tc>
          <w:tcPr>
            <w:tcW w:w="2600" w:type="dxa"/>
            <w:vAlign w:val="bottom"/>
            <w:gridSpan w:val="3"/>
            <w:shd w:val="clear" w:color="auto" w:fill="CCEEFF"/>
          </w:tcPr>
          <w:p>
            <w:pPr>
              <w:jc w:val="right"/>
              <w:ind w:right="340"/>
              <w:spacing w:after="0"/>
              <w:rPr>
                <w:sz w:val="20"/>
                <w:szCs w:val="20"/>
                <w:color w:val="auto"/>
              </w:rPr>
            </w:pPr>
            <w:r>
              <w:rPr>
                <w:rFonts w:ascii="Arial" w:cs="Arial" w:eastAsia="Arial" w:hAnsi="Arial"/>
                <w:sz w:val="18"/>
                <w:szCs w:val="18"/>
                <w:color w:val="auto"/>
              </w:rPr>
              <w:t>(16)</w:t>
            </w: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180" w:type="dxa"/>
            <w:vAlign w:val="bottom"/>
            <w:gridSpan w:val="2"/>
          </w:tcPr>
          <w:p>
            <w:pPr>
              <w:ind w:left="1280"/>
              <w:spacing w:after="0"/>
              <w:rPr>
                <w:sz w:val="20"/>
                <w:szCs w:val="20"/>
                <w:color w:val="auto"/>
              </w:rPr>
            </w:pPr>
            <w:r>
              <w:rPr>
                <w:rFonts w:ascii="Arial" w:cs="Arial" w:eastAsia="Arial" w:hAnsi="Arial"/>
                <w:sz w:val="18"/>
                <w:szCs w:val="18"/>
                <w:color w:val="auto"/>
              </w:rPr>
              <w:t>Accounts payable and accrued liabilities</w:t>
            </w:r>
          </w:p>
        </w:tc>
        <w:tc>
          <w:tcPr>
            <w:tcW w:w="2600" w:type="dxa"/>
            <w:vAlign w:val="bottom"/>
            <w:gridSpan w:val="3"/>
          </w:tcPr>
          <w:p>
            <w:pPr>
              <w:jc w:val="right"/>
              <w:ind w:right="400"/>
              <w:spacing w:after="0"/>
              <w:rPr>
                <w:sz w:val="20"/>
                <w:szCs w:val="20"/>
                <w:color w:val="auto"/>
              </w:rPr>
            </w:pPr>
            <w:r>
              <w:rPr>
                <w:rFonts w:ascii="Arial" w:cs="Arial" w:eastAsia="Arial" w:hAnsi="Arial"/>
                <w:sz w:val="18"/>
                <w:szCs w:val="18"/>
                <w:color w:val="auto"/>
              </w:rPr>
              <w:t>1,004</w:t>
            </w:r>
          </w:p>
        </w:tc>
        <w:tc>
          <w:tcPr>
            <w:tcW w:w="560" w:type="dxa"/>
            <w:vAlign w:val="bottom"/>
          </w:tcPr>
          <w:p>
            <w:pPr>
              <w:jc w:val="right"/>
              <w:spacing w:after="0"/>
              <w:rPr>
                <w:sz w:val="20"/>
                <w:szCs w:val="20"/>
                <w:color w:val="auto"/>
              </w:rPr>
            </w:pPr>
            <w:r>
              <w:rPr>
                <w:rFonts w:ascii="Arial" w:cs="Arial" w:eastAsia="Arial" w:hAnsi="Arial"/>
                <w:sz w:val="18"/>
                <w:szCs w:val="18"/>
                <w:color w:val="auto"/>
              </w:rPr>
              <w:t>1,408</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180" w:type="dxa"/>
            <w:vAlign w:val="bottom"/>
            <w:gridSpan w:val="2"/>
            <w:shd w:val="clear" w:color="auto" w:fill="CCEEFF"/>
          </w:tcPr>
          <w:p>
            <w:pPr>
              <w:ind w:left="420"/>
              <w:spacing w:after="0"/>
              <w:rPr>
                <w:sz w:val="20"/>
                <w:szCs w:val="20"/>
                <w:color w:val="auto"/>
              </w:rPr>
            </w:pPr>
            <w:r>
              <w:rPr>
                <w:rFonts w:ascii="Arial" w:cs="Arial" w:eastAsia="Arial" w:hAnsi="Arial"/>
                <w:sz w:val="18"/>
                <w:szCs w:val="18"/>
                <w:color w:val="auto"/>
              </w:rPr>
              <w:t>Other, net</w:t>
            </w:r>
          </w:p>
        </w:tc>
        <w:tc>
          <w:tcPr>
            <w:tcW w:w="164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(31)</w:t>
            </w:r>
          </w:p>
        </w:tc>
        <w:tc>
          <w:tcPr>
            <w:tcW w:w="6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(330)</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8180" w:type="dxa"/>
            <w:vAlign w:val="bottom"/>
            <w:gridSpan w:val="2"/>
          </w:tcPr>
          <w:p>
            <w:pPr>
              <w:ind w:left="1280"/>
              <w:spacing w:after="0"/>
              <w:rPr>
                <w:sz w:val="20"/>
                <w:szCs w:val="20"/>
                <w:color w:val="auto"/>
              </w:rPr>
            </w:pPr>
            <w:r>
              <w:rPr>
                <w:rFonts w:ascii="Arial" w:cs="Arial" w:eastAsia="Arial" w:hAnsi="Arial"/>
                <w:sz w:val="18"/>
                <w:szCs w:val="18"/>
                <w:color w:val="auto"/>
              </w:rPr>
              <w:t>Net cash flows provided by operating activities</w:t>
            </w:r>
          </w:p>
        </w:tc>
        <w:tc>
          <w:tcPr>
            <w:tcW w:w="1640" w:type="dxa"/>
            <w:vAlign w:val="bottom"/>
          </w:tcPr>
          <w:p>
            <w:pPr>
              <w:spacing w:after="0"/>
              <w:rPr>
                <w:sz w:val="20"/>
                <w:szCs w:val="20"/>
                <w:color w:val="auto"/>
              </w:rPr>
            </w:pPr>
          </w:p>
        </w:tc>
        <w:tc>
          <w:tcPr>
            <w:tcW w:w="5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2,306</w:t>
            </w:r>
          </w:p>
        </w:tc>
        <w:tc>
          <w:tcPr>
            <w:tcW w:w="400" w:type="dxa"/>
            <w:vAlign w:val="bottom"/>
          </w:tcPr>
          <w:p>
            <w:pPr>
              <w:spacing w:after="0"/>
              <w:rPr>
                <w:sz w:val="20"/>
                <w:szCs w:val="20"/>
                <w:color w:val="auto"/>
              </w:rPr>
            </w:pPr>
          </w:p>
        </w:tc>
        <w:tc>
          <w:tcPr>
            <w:tcW w:w="5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1,902</w:t>
            </w:r>
          </w:p>
        </w:tc>
        <w:tc>
          <w:tcPr>
            <w:tcW w:w="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1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Investing Activities:</w:t>
            </w:r>
          </w:p>
        </w:tc>
        <w:tc>
          <w:tcPr>
            <w:tcW w:w="164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180" w:type="dxa"/>
            <w:vAlign w:val="bottom"/>
            <w:gridSpan w:val="2"/>
          </w:tcPr>
          <w:p>
            <w:pPr>
              <w:ind w:left="420"/>
              <w:spacing w:after="0"/>
              <w:rPr>
                <w:sz w:val="20"/>
                <w:szCs w:val="20"/>
                <w:color w:val="auto"/>
              </w:rPr>
            </w:pPr>
            <w:r>
              <w:rPr>
                <w:rFonts w:ascii="Arial" w:cs="Arial" w:eastAsia="Arial" w:hAnsi="Arial"/>
                <w:sz w:val="18"/>
                <w:szCs w:val="18"/>
                <w:color w:val="auto"/>
              </w:rPr>
              <w:t>Capital expenditures</w:t>
            </w:r>
          </w:p>
        </w:tc>
        <w:tc>
          <w:tcPr>
            <w:tcW w:w="2600" w:type="dxa"/>
            <w:vAlign w:val="bottom"/>
            <w:gridSpan w:val="3"/>
          </w:tcPr>
          <w:p>
            <w:pPr>
              <w:jc w:val="right"/>
              <w:ind w:right="340"/>
              <w:spacing w:after="0"/>
              <w:rPr>
                <w:sz w:val="20"/>
                <w:szCs w:val="20"/>
                <w:color w:val="auto"/>
              </w:rPr>
            </w:pPr>
            <w:r>
              <w:rPr>
                <w:rFonts w:ascii="Arial" w:cs="Arial" w:eastAsia="Arial" w:hAnsi="Arial"/>
                <w:sz w:val="18"/>
                <w:szCs w:val="18"/>
                <w:color w:val="auto"/>
              </w:rPr>
              <w:t>(542)</w:t>
            </w:r>
          </w:p>
        </w:tc>
        <w:tc>
          <w:tcPr>
            <w:tcW w:w="620" w:type="dxa"/>
            <w:vAlign w:val="bottom"/>
            <w:gridSpan w:val="2"/>
          </w:tcPr>
          <w:p>
            <w:pPr>
              <w:jc w:val="right"/>
              <w:spacing w:after="0"/>
              <w:rPr>
                <w:sz w:val="20"/>
                <w:szCs w:val="20"/>
                <w:color w:val="auto"/>
              </w:rPr>
            </w:pPr>
            <w:r>
              <w:rPr>
                <w:rFonts w:ascii="Arial" w:cs="Arial" w:eastAsia="Arial" w:hAnsi="Arial"/>
                <w:sz w:val="18"/>
                <w:szCs w:val="18"/>
                <w:color w:val="auto"/>
              </w:rPr>
              <w:t>(459)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180" w:type="dxa"/>
            <w:vAlign w:val="bottom"/>
            <w:gridSpan w:val="2"/>
            <w:shd w:val="clear" w:color="auto" w:fill="CCEEFF"/>
          </w:tcPr>
          <w:p>
            <w:pPr>
              <w:ind w:left="420"/>
              <w:spacing w:after="0"/>
              <w:rPr>
                <w:sz w:val="20"/>
                <w:szCs w:val="20"/>
                <w:color w:val="auto"/>
              </w:rPr>
            </w:pPr>
            <w:r>
              <w:rPr>
                <w:rFonts w:ascii="Arial" w:cs="Arial" w:eastAsia="Arial" w:hAnsi="Arial"/>
                <w:sz w:val="18"/>
                <w:szCs w:val="18"/>
                <w:color w:val="auto"/>
              </w:rPr>
              <w:t>Investments in businesses</w:t>
            </w:r>
          </w:p>
        </w:tc>
        <w:tc>
          <w:tcPr>
            <w:tcW w:w="2600" w:type="dxa"/>
            <w:vAlign w:val="bottom"/>
            <w:gridSpan w:val="3"/>
            <w:shd w:val="clear" w:color="auto" w:fill="CCEEFF"/>
          </w:tcPr>
          <w:p>
            <w:pPr>
              <w:jc w:val="right"/>
              <w:ind w:right="340"/>
              <w:spacing w:after="0"/>
              <w:rPr>
                <w:sz w:val="20"/>
                <w:szCs w:val="20"/>
                <w:color w:val="auto"/>
              </w:rPr>
            </w:pPr>
            <w:r>
              <w:rPr>
                <w:rFonts w:ascii="Arial" w:cs="Arial" w:eastAsia="Arial" w:hAnsi="Arial"/>
                <w:sz w:val="18"/>
                <w:szCs w:val="18"/>
                <w:color w:val="auto"/>
              </w:rPr>
              <w:t>(546)</w:t>
            </w:r>
          </w:p>
        </w:tc>
        <w:tc>
          <w:tcPr>
            <w:tcW w:w="6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(370)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180" w:type="dxa"/>
            <w:vAlign w:val="bottom"/>
            <w:gridSpan w:val="2"/>
          </w:tcPr>
          <w:p>
            <w:pPr>
              <w:ind w:left="420"/>
              <w:spacing w:after="0"/>
              <w:rPr>
                <w:sz w:val="20"/>
                <w:szCs w:val="20"/>
                <w:color w:val="auto"/>
              </w:rPr>
            </w:pPr>
            <w:r>
              <w:rPr>
                <w:rFonts w:ascii="Arial" w:cs="Arial" w:eastAsia="Arial" w:hAnsi="Arial"/>
                <w:sz w:val="18"/>
                <w:szCs w:val="18"/>
                <w:color w:val="auto"/>
              </w:rPr>
              <w:t>Dispositions of businesses</w:t>
            </w:r>
          </w:p>
        </w:tc>
        <w:tc>
          <w:tcPr>
            <w:tcW w:w="2600" w:type="dxa"/>
            <w:vAlign w:val="bottom"/>
            <w:gridSpan w:val="3"/>
          </w:tcPr>
          <w:p>
            <w:pPr>
              <w:jc w:val="right"/>
              <w:ind w:right="400"/>
              <w:spacing w:after="0"/>
              <w:rPr>
                <w:sz w:val="20"/>
                <w:szCs w:val="20"/>
                <w:color w:val="auto"/>
              </w:rPr>
            </w:pPr>
            <w:r>
              <w:rPr>
                <w:rFonts w:ascii="Arial" w:cs="Arial" w:eastAsia="Arial" w:hAnsi="Arial"/>
                <w:sz w:val="18"/>
                <w:szCs w:val="18"/>
                <w:color w:val="auto"/>
              </w:rPr>
              <w:t>85</w:t>
            </w:r>
          </w:p>
        </w:tc>
        <w:tc>
          <w:tcPr>
            <w:tcW w:w="560" w:type="dxa"/>
            <w:vAlign w:val="bottom"/>
          </w:tcPr>
          <w:p>
            <w:pPr>
              <w:jc w:val="right"/>
              <w:spacing w:after="0"/>
              <w:rPr>
                <w:sz w:val="20"/>
                <w:szCs w:val="20"/>
                <w:color w:val="auto"/>
              </w:rPr>
            </w:pPr>
            <w:r>
              <w:rPr>
                <w:rFonts w:ascii="Arial" w:cs="Arial" w:eastAsia="Arial" w:hAnsi="Arial"/>
                <w:sz w:val="18"/>
                <w:szCs w:val="18"/>
                <w:color w:val="auto"/>
              </w:rPr>
              <w:t>162</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180" w:type="dxa"/>
            <w:vAlign w:val="bottom"/>
            <w:gridSpan w:val="2"/>
            <w:shd w:val="clear" w:color="auto" w:fill="CCEEFF"/>
          </w:tcPr>
          <w:p>
            <w:pPr>
              <w:ind w:left="420"/>
              <w:spacing w:after="0"/>
              <w:rPr>
                <w:sz w:val="20"/>
                <w:szCs w:val="20"/>
                <w:color w:val="auto"/>
              </w:rPr>
            </w:pPr>
            <w:r>
              <w:rPr>
                <w:rFonts w:ascii="Arial" w:cs="Arial" w:eastAsia="Arial" w:hAnsi="Arial"/>
                <w:sz w:val="18"/>
                <w:szCs w:val="18"/>
                <w:color w:val="auto"/>
              </w:rPr>
              <w:t>Increase in customer financing assets, net</w:t>
            </w:r>
          </w:p>
        </w:tc>
        <w:tc>
          <w:tcPr>
            <w:tcW w:w="2600" w:type="dxa"/>
            <w:vAlign w:val="bottom"/>
            <w:gridSpan w:val="3"/>
            <w:shd w:val="clear" w:color="auto" w:fill="CCEEFF"/>
          </w:tcPr>
          <w:p>
            <w:pPr>
              <w:jc w:val="right"/>
              <w:ind w:right="340"/>
              <w:spacing w:after="0"/>
              <w:rPr>
                <w:sz w:val="20"/>
                <w:szCs w:val="20"/>
                <w:color w:val="auto"/>
              </w:rPr>
            </w:pPr>
            <w:r>
              <w:rPr>
                <w:rFonts w:ascii="Arial" w:cs="Arial" w:eastAsia="Arial" w:hAnsi="Arial"/>
                <w:sz w:val="18"/>
                <w:szCs w:val="18"/>
                <w:color w:val="auto"/>
              </w:rPr>
              <w:t>(92)</w:t>
            </w:r>
          </w:p>
        </w:tc>
        <w:tc>
          <w:tcPr>
            <w:tcW w:w="6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180" w:type="dxa"/>
            <w:vAlign w:val="bottom"/>
            <w:gridSpan w:val="2"/>
          </w:tcPr>
          <w:p>
            <w:pPr>
              <w:ind w:left="420"/>
              <w:spacing w:after="0"/>
              <w:rPr>
                <w:sz w:val="20"/>
                <w:szCs w:val="20"/>
                <w:color w:val="auto"/>
              </w:rPr>
            </w:pPr>
            <w:r>
              <w:rPr>
                <w:rFonts w:ascii="Arial" w:cs="Arial" w:eastAsia="Arial" w:hAnsi="Arial"/>
                <w:sz w:val="18"/>
                <w:szCs w:val="18"/>
                <w:color w:val="auto"/>
              </w:rPr>
              <w:t>Other, net</w:t>
            </w:r>
          </w:p>
        </w:tc>
        <w:tc>
          <w:tcPr>
            <w:tcW w:w="1640" w:type="dxa"/>
            <w:vAlign w:val="bottom"/>
          </w:tcPr>
          <w:p>
            <w:pPr>
              <w:spacing w:after="0"/>
              <w:rPr>
                <w:sz w:val="18"/>
                <w:szCs w:val="18"/>
                <w:color w:val="auto"/>
              </w:rPr>
            </w:pPr>
          </w:p>
        </w:tc>
        <w:tc>
          <w:tcPr>
            <w:tcW w:w="960" w:type="dxa"/>
            <w:vAlign w:val="bottom"/>
            <w:gridSpan w:val="2"/>
          </w:tcPr>
          <w:p>
            <w:pPr>
              <w:jc w:val="right"/>
              <w:ind w:right="340"/>
              <w:spacing w:after="0"/>
              <w:rPr>
                <w:sz w:val="20"/>
                <w:szCs w:val="20"/>
                <w:color w:val="auto"/>
              </w:rPr>
            </w:pPr>
            <w:r>
              <w:rPr>
                <w:rFonts w:ascii="Arial" w:cs="Arial" w:eastAsia="Arial" w:hAnsi="Arial"/>
                <w:sz w:val="18"/>
                <w:szCs w:val="18"/>
                <w:color w:val="auto"/>
              </w:rPr>
              <w:t>(136)</w:t>
            </w:r>
          </w:p>
        </w:tc>
        <w:tc>
          <w:tcPr>
            <w:tcW w:w="560" w:type="dxa"/>
            <w:vAlign w:val="bottom"/>
          </w:tcPr>
          <w:p>
            <w:pPr>
              <w:jc w:val="right"/>
              <w:spacing w:after="0"/>
              <w:rPr>
                <w:sz w:val="20"/>
                <w:szCs w:val="20"/>
                <w:color w:val="auto"/>
              </w:rPr>
            </w:pPr>
            <w:r>
              <w:rPr>
                <w:rFonts w:ascii="Arial" w:cs="Arial" w:eastAsia="Arial" w:hAnsi="Arial"/>
                <w:sz w:val="18"/>
                <w:szCs w:val="18"/>
                <w:color w:val="auto"/>
              </w:rPr>
              <w:t>153</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1340" w:type="dxa"/>
            <w:vAlign w:val="bottom"/>
          </w:tcPr>
          <w:p>
            <w:pPr>
              <w:spacing w:after="0"/>
              <w:rPr>
                <w:sz w:val="2"/>
                <w:szCs w:val="2"/>
                <w:color w:val="auto"/>
              </w:rPr>
            </w:pPr>
          </w:p>
        </w:tc>
        <w:tc>
          <w:tcPr>
            <w:tcW w:w="6840" w:type="dxa"/>
            <w:vAlign w:val="bottom"/>
          </w:tcPr>
          <w:p>
            <w:pPr>
              <w:spacing w:after="0"/>
              <w:rPr>
                <w:sz w:val="2"/>
                <w:szCs w:val="2"/>
                <w:color w:val="auto"/>
              </w:rPr>
            </w:pPr>
          </w:p>
        </w:tc>
        <w:tc>
          <w:tcPr>
            <w:tcW w:w="1640" w:type="dxa"/>
            <w:vAlign w:val="bottom"/>
          </w:tcPr>
          <w:p>
            <w:pPr>
              <w:spacing w:after="0"/>
              <w:rPr>
                <w:sz w:val="2"/>
                <w:szCs w:val="2"/>
                <w:color w:val="auto"/>
              </w:rPr>
            </w:pPr>
          </w:p>
        </w:tc>
        <w:tc>
          <w:tcPr>
            <w:tcW w:w="560" w:type="dxa"/>
            <w:vAlign w:val="bottom"/>
            <w:shd w:val="clear" w:color="auto" w:fill="000000"/>
          </w:tcPr>
          <w:p>
            <w:pPr>
              <w:spacing w:after="0"/>
              <w:rPr>
                <w:sz w:val="2"/>
                <w:szCs w:val="2"/>
                <w:color w:val="auto"/>
              </w:rPr>
            </w:pPr>
          </w:p>
        </w:tc>
        <w:tc>
          <w:tcPr>
            <w:tcW w:w="400" w:type="dxa"/>
            <w:vAlign w:val="bottom"/>
          </w:tcPr>
          <w:p>
            <w:pPr>
              <w:spacing w:after="0"/>
              <w:rPr>
                <w:sz w:val="2"/>
                <w:szCs w:val="2"/>
                <w:color w:val="auto"/>
              </w:rPr>
            </w:pPr>
          </w:p>
        </w:tc>
        <w:tc>
          <w:tcPr>
            <w:tcW w:w="560" w:type="dxa"/>
            <w:vAlign w:val="bottom"/>
            <w:shd w:val="clear" w:color="auto" w:fill="000000"/>
          </w:tcPr>
          <w:p>
            <w:pPr>
              <w:spacing w:after="0"/>
              <w:rPr>
                <w:sz w:val="2"/>
                <w:szCs w:val="2"/>
                <w:color w:val="auto"/>
              </w:rPr>
            </w:pPr>
          </w:p>
        </w:tc>
        <w:tc>
          <w:tcPr>
            <w:tcW w:w="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tcPr>
          <w:p>
            <w:pPr>
              <w:spacing w:after="0"/>
              <w:rPr>
                <w:sz w:val="18"/>
                <w:szCs w:val="18"/>
                <w:color w:val="auto"/>
              </w:rPr>
            </w:pPr>
          </w:p>
        </w:tc>
        <w:tc>
          <w:tcPr>
            <w:tcW w:w="8180" w:type="dxa"/>
            <w:vAlign w:val="bottom"/>
            <w:gridSpan w:val="2"/>
            <w:shd w:val="clear" w:color="auto" w:fill="CCEEFF"/>
          </w:tcPr>
          <w:p>
            <w:pPr>
              <w:ind w:left="1280"/>
              <w:spacing w:after="0"/>
              <w:rPr>
                <w:sz w:val="20"/>
                <w:szCs w:val="20"/>
                <w:color w:val="auto"/>
              </w:rPr>
            </w:pPr>
            <w:r>
              <w:rPr>
                <w:rFonts w:ascii="Arial" w:cs="Arial" w:eastAsia="Arial" w:hAnsi="Arial"/>
                <w:sz w:val="18"/>
                <w:szCs w:val="18"/>
                <w:color w:val="auto"/>
              </w:rPr>
              <w:t>Net cash flows used in investing activities</w:t>
            </w:r>
          </w:p>
        </w:tc>
        <w:tc>
          <w:tcPr>
            <w:tcW w:w="164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(1,231)</w:t>
            </w:r>
          </w:p>
        </w:tc>
        <w:tc>
          <w:tcPr>
            <w:tcW w:w="6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(537)</w:t>
            </w:r>
          </w:p>
        </w:tc>
        <w:tc>
          <w:tcPr>
            <w:tcW w:w="0" w:type="dxa"/>
            <w:vAlign w:val="bottom"/>
          </w:tcPr>
          <w:p>
            <w:pPr>
              <w:spacing w:after="0"/>
              <w:rPr>
                <w:sz w:val="1"/>
                <w:szCs w:val="1"/>
                <w:color w:val="auto"/>
              </w:rPr>
            </w:pPr>
          </w:p>
        </w:tc>
      </w:tr>
      <w:tr>
        <w:trPr>
          <w:trHeight w:val="222"/>
        </w:trPr>
        <w:tc>
          <w:tcPr>
            <w:tcW w:w="8200" w:type="dxa"/>
            <w:vAlign w:val="bottom"/>
            <w:gridSpan w:val="3"/>
          </w:tcPr>
          <w:p>
            <w:pPr>
              <w:spacing w:after="0"/>
              <w:rPr>
                <w:sz w:val="20"/>
                <w:szCs w:val="20"/>
                <w:color w:val="auto"/>
              </w:rPr>
            </w:pPr>
            <w:r>
              <w:rPr>
                <w:rFonts w:ascii="Arial" w:cs="Arial" w:eastAsia="Arial" w:hAnsi="Arial"/>
                <w:sz w:val="18"/>
                <w:szCs w:val="18"/>
                <w:color w:val="auto"/>
              </w:rPr>
              <w:t>Financing Activities:</w:t>
            </w:r>
          </w:p>
        </w:tc>
        <w:tc>
          <w:tcPr>
            <w:tcW w:w="1640" w:type="dxa"/>
            <w:vAlign w:val="bottom"/>
          </w:tcPr>
          <w:p>
            <w:pPr>
              <w:spacing w:after="0"/>
              <w:rPr>
                <w:sz w:val="19"/>
                <w:szCs w:val="19"/>
                <w:color w:val="auto"/>
              </w:rPr>
            </w:pPr>
          </w:p>
        </w:tc>
        <w:tc>
          <w:tcPr>
            <w:tcW w:w="560" w:type="dxa"/>
            <w:vAlign w:val="bottom"/>
            <w:tcBorders>
              <w:top w:val="single" w:sz="8" w:color="auto"/>
            </w:tcBorders>
          </w:tcPr>
          <w:p>
            <w:pPr>
              <w:spacing w:after="0"/>
              <w:rPr>
                <w:sz w:val="19"/>
                <w:szCs w:val="19"/>
                <w:color w:val="auto"/>
              </w:rPr>
            </w:pPr>
          </w:p>
        </w:tc>
        <w:tc>
          <w:tcPr>
            <w:tcW w:w="400" w:type="dxa"/>
            <w:vAlign w:val="bottom"/>
          </w:tcPr>
          <w:p>
            <w:pPr>
              <w:spacing w:after="0"/>
              <w:rPr>
                <w:sz w:val="19"/>
                <w:szCs w:val="19"/>
                <w:color w:val="auto"/>
              </w:rPr>
            </w:pPr>
          </w:p>
        </w:tc>
        <w:tc>
          <w:tcPr>
            <w:tcW w:w="560" w:type="dxa"/>
            <w:vAlign w:val="bottom"/>
            <w:tcBorders>
              <w:top w:val="single" w:sz="8" w:color="auto"/>
            </w:tcBorders>
          </w:tcPr>
          <w:p>
            <w:pPr>
              <w:spacing w:after="0"/>
              <w:rPr>
                <w:sz w:val="19"/>
                <w:szCs w:val="19"/>
                <w:color w:val="auto"/>
              </w:rPr>
            </w:pP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7"/>
        </w:trPr>
        <w:tc>
          <w:tcPr>
            <w:tcW w:w="20" w:type="dxa"/>
            <w:vAlign w:val="bottom"/>
          </w:tcPr>
          <w:p>
            <w:pPr>
              <w:spacing w:after="0"/>
              <w:rPr>
                <w:sz w:val="18"/>
                <w:szCs w:val="18"/>
                <w:color w:val="auto"/>
              </w:rPr>
            </w:pPr>
          </w:p>
        </w:tc>
        <w:tc>
          <w:tcPr>
            <w:tcW w:w="8180" w:type="dxa"/>
            <w:vAlign w:val="bottom"/>
            <w:gridSpan w:val="2"/>
            <w:shd w:val="clear" w:color="auto" w:fill="CCEEFF"/>
          </w:tcPr>
          <w:p>
            <w:pPr>
              <w:ind w:left="420"/>
              <w:spacing w:after="0"/>
              <w:rPr>
                <w:sz w:val="20"/>
                <w:szCs w:val="20"/>
                <w:color w:val="auto"/>
              </w:rPr>
            </w:pPr>
            <w:r>
              <w:rPr>
                <w:rFonts w:ascii="Arial" w:cs="Arial" w:eastAsia="Arial" w:hAnsi="Arial"/>
                <w:sz w:val="18"/>
                <w:szCs w:val="18"/>
                <w:color w:val="auto"/>
              </w:rPr>
              <w:t>Issuance (repayment) of long-term debt, net</w:t>
            </w:r>
          </w:p>
        </w:tc>
        <w:tc>
          <w:tcPr>
            <w:tcW w:w="2600" w:type="dxa"/>
            <w:vAlign w:val="bottom"/>
            <w:gridSpan w:val="3"/>
            <w:shd w:val="clear" w:color="auto" w:fill="CCEEFF"/>
          </w:tcPr>
          <w:p>
            <w:pPr>
              <w:jc w:val="right"/>
              <w:ind w:right="400"/>
              <w:spacing w:after="0"/>
              <w:rPr>
                <w:sz w:val="20"/>
                <w:szCs w:val="20"/>
                <w:color w:val="auto"/>
              </w:rPr>
            </w:pPr>
            <w:r>
              <w:rPr>
                <w:rFonts w:ascii="Arial" w:cs="Arial" w:eastAsia="Arial" w:hAnsi="Arial"/>
                <w:sz w:val="18"/>
                <w:szCs w:val="18"/>
                <w:color w:val="auto"/>
              </w:rPr>
              <w:t>994</w:t>
            </w:r>
          </w:p>
        </w:tc>
        <w:tc>
          <w:tcPr>
            <w:tcW w:w="6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(40)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180" w:type="dxa"/>
            <w:vAlign w:val="bottom"/>
            <w:gridSpan w:val="2"/>
          </w:tcPr>
          <w:p>
            <w:pPr>
              <w:ind w:left="420"/>
              <w:spacing w:after="0"/>
              <w:rPr>
                <w:sz w:val="20"/>
                <w:szCs w:val="20"/>
                <w:color w:val="auto"/>
              </w:rPr>
            </w:pPr>
            <w:r>
              <w:rPr>
                <w:rFonts w:ascii="Arial" w:cs="Arial" w:eastAsia="Arial" w:hAnsi="Arial"/>
                <w:sz w:val="18"/>
                <w:szCs w:val="18"/>
                <w:color w:val="auto"/>
              </w:rPr>
              <w:t>Increase in short-term borrowings, net</w:t>
            </w:r>
          </w:p>
        </w:tc>
        <w:tc>
          <w:tcPr>
            <w:tcW w:w="2600" w:type="dxa"/>
            <w:vAlign w:val="bottom"/>
            <w:gridSpan w:val="3"/>
          </w:tcPr>
          <w:p>
            <w:pPr>
              <w:jc w:val="right"/>
              <w:ind w:right="400"/>
              <w:spacing w:after="0"/>
              <w:rPr>
                <w:sz w:val="20"/>
                <w:szCs w:val="20"/>
                <w:color w:val="auto"/>
              </w:rPr>
            </w:pPr>
            <w:r>
              <w:rPr>
                <w:rFonts w:ascii="Arial" w:cs="Arial" w:eastAsia="Arial" w:hAnsi="Arial"/>
                <w:sz w:val="18"/>
                <w:szCs w:val="18"/>
                <w:color w:val="auto"/>
              </w:rPr>
              <w:t>586</w:t>
            </w:r>
          </w:p>
        </w:tc>
        <w:tc>
          <w:tcPr>
            <w:tcW w:w="560" w:type="dxa"/>
            <w:vAlign w:val="bottom"/>
          </w:tcPr>
          <w:p>
            <w:pPr>
              <w:jc w:val="right"/>
              <w:spacing w:after="0"/>
              <w:rPr>
                <w:sz w:val="20"/>
                <w:szCs w:val="20"/>
                <w:color w:val="auto"/>
              </w:rPr>
            </w:pPr>
            <w:r>
              <w:rPr>
                <w:rFonts w:ascii="Arial" w:cs="Arial" w:eastAsia="Arial" w:hAnsi="Arial"/>
                <w:sz w:val="18"/>
                <w:szCs w:val="18"/>
                <w:color w:val="auto"/>
              </w:rPr>
              <w:t>634</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180" w:type="dxa"/>
            <w:vAlign w:val="bottom"/>
            <w:gridSpan w:val="2"/>
            <w:shd w:val="clear" w:color="auto" w:fill="CCEEFF"/>
          </w:tcPr>
          <w:p>
            <w:pPr>
              <w:ind w:left="420"/>
              <w:spacing w:after="0"/>
              <w:rPr>
                <w:sz w:val="20"/>
                <w:szCs w:val="20"/>
                <w:color w:val="auto"/>
              </w:rPr>
            </w:pPr>
            <w:r>
              <w:rPr>
                <w:rFonts w:ascii="Arial" w:cs="Arial" w:eastAsia="Arial" w:hAnsi="Arial"/>
                <w:sz w:val="18"/>
                <w:szCs w:val="18"/>
                <w:color w:val="auto"/>
              </w:rPr>
              <w:t>Common Stock issued under employee stock plans</w:t>
            </w:r>
          </w:p>
        </w:tc>
        <w:tc>
          <w:tcPr>
            <w:tcW w:w="2600" w:type="dxa"/>
            <w:vAlign w:val="bottom"/>
            <w:gridSpan w:val="3"/>
            <w:shd w:val="clear" w:color="auto" w:fill="CCEEFF"/>
          </w:tcPr>
          <w:p>
            <w:pPr>
              <w:jc w:val="right"/>
              <w:ind w:right="400"/>
              <w:spacing w:after="0"/>
              <w:rPr>
                <w:sz w:val="20"/>
                <w:szCs w:val="20"/>
                <w:color w:val="auto"/>
              </w:rPr>
            </w:pPr>
            <w:r>
              <w:rPr>
                <w:rFonts w:ascii="Arial" w:cs="Arial" w:eastAsia="Arial" w:hAnsi="Arial"/>
                <w:sz w:val="18"/>
                <w:szCs w:val="18"/>
                <w:color w:val="auto"/>
              </w:rPr>
              <w:t>102</w:t>
            </w: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264</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180" w:type="dxa"/>
            <w:vAlign w:val="bottom"/>
            <w:gridSpan w:val="2"/>
          </w:tcPr>
          <w:p>
            <w:pPr>
              <w:ind w:left="420"/>
              <w:spacing w:after="0"/>
              <w:rPr>
                <w:sz w:val="20"/>
                <w:szCs w:val="20"/>
                <w:color w:val="auto"/>
              </w:rPr>
            </w:pPr>
            <w:r>
              <w:rPr>
                <w:rFonts w:ascii="Arial" w:cs="Arial" w:eastAsia="Arial" w:hAnsi="Arial"/>
                <w:sz w:val="18"/>
                <w:szCs w:val="18"/>
                <w:color w:val="auto"/>
              </w:rPr>
              <w:t>Dividends paid on Common Stock</w:t>
            </w:r>
          </w:p>
        </w:tc>
        <w:tc>
          <w:tcPr>
            <w:tcW w:w="2600" w:type="dxa"/>
            <w:vAlign w:val="bottom"/>
            <w:gridSpan w:val="3"/>
          </w:tcPr>
          <w:p>
            <w:pPr>
              <w:jc w:val="right"/>
              <w:ind w:right="340"/>
              <w:spacing w:after="0"/>
              <w:rPr>
                <w:sz w:val="20"/>
                <w:szCs w:val="20"/>
                <w:color w:val="auto"/>
              </w:rPr>
            </w:pPr>
            <w:r>
              <w:rPr>
                <w:rFonts w:ascii="Arial" w:cs="Arial" w:eastAsia="Arial" w:hAnsi="Arial"/>
                <w:sz w:val="18"/>
                <w:szCs w:val="18"/>
                <w:color w:val="auto"/>
              </w:rPr>
              <w:t>(583)</w:t>
            </w:r>
          </w:p>
        </w:tc>
        <w:tc>
          <w:tcPr>
            <w:tcW w:w="620" w:type="dxa"/>
            <w:vAlign w:val="bottom"/>
            <w:gridSpan w:val="2"/>
          </w:tcPr>
          <w:p>
            <w:pPr>
              <w:jc w:val="right"/>
              <w:spacing w:after="0"/>
              <w:rPr>
                <w:sz w:val="20"/>
                <w:szCs w:val="20"/>
                <w:color w:val="auto"/>
              </w:rPr>
            </w:pPr>
            <w:r>
              <w:rPr>
                <w:rFonts w:ascii="Arial" w:cs="Arial" w:eastAsia="Arial" w:hAnsi="Arial"/>
                <w:sz w:val="18"/>
                <w:szCs w:val="18"/>
                <w:color w:val="auto"/>
              </w:rPr>
              <w:t>(490)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180" w:type="dxa"/>
            <w:vAlign w:val="bottom"/>
            <w:gridSpan w:val="2"/>
            <w:shd w:val="clear" w:color="auto" w:fill="CCEEFF"/>
          </w:tcPr>
          <w:p>
            <w:pPr>
              <w:ind w:left="420"/>
              <w:spacing w:after="0"/>
              <w:rPr>
                <w:sz w:val="20"/>
                <w:szCs w:val="20"/>
                <w:color w:val="auto"/>
              </w:rPr>
            </w:pPr>
            <w:r>
              <w:rPr>
                <w:rFonts w:ascii="Arial" w:cs="Arial" w:eastAsia="Arial" w:hAnsi="Arial"/>
                <w:sz w:val="18"/>
                <w:szCs w:val="18"/>
                <w:color w:val="auto"/>
              </w:rPr>
              <w:t>Repurchase of Common Stock</w:t>
            </w:r>
          </w:p>
        </w:tc>
        <w:tc>
          <w:tcPr>
            <w:tcW w:w="2600" w:type="dxa"/>
            <w:vAlign w:val="bottom"/>
            <w:gridSpan w:val="3"/>
            <w:shd w:val="clear" w:color="auto" w:fill="CCEEFF"/>
          </w:tcPr>
          <w:p>
            <w:pPr>
              <w:jc w:val="right"/>
              <w:ind w:right="340"/>
              <w:spacing w:after="0"/>
              <w:rPr>
                <w:sz w:val="20"/>
                <w:szCs w:val="20"/>
                <w:color w:val="auto"/>
              </w:rPr>
            </w:pPr>
            <w:r>
              <w:rPr>
                <w:rFonts w:ascii="Arial" w:cs="Arial" w:eastAsia="Arial" w:hAnsi="Arial"/>
                <w:sz w:val="18"/>
                <w:szCs w:val="18"/>
                <w:color w:val="auto"/>
              </w:rPr>
              <w:t>(1,520)</w:t>
            </w:r>
          </w:p>
        </w:tc>
        <w:tc>
          <w:tcPr>
            <w:tcW w:w="6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(1,000)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180" w:type="dxa"/>
            <w:vAlign w:val="bottom"/>
            <w:gridSpan w:val="2"/>
          </w:tcPr>
          <w:p>
            <w:pPr>
              <w:ind w:left="420"/>
              <w:spacing w:after="0"/>
              <w:rPr>
                <w:sz w:val="20"/>
                <w:szCs w:val="20"/>
                <w:color w:val="auto"/>
              </w:rPr>
            </w:pPr>
            <w:r>
              <w:rPr>
                <w:rFonts w:ascii="Arial" w:cs="Arial" w:eastAsia="Arial" w:hAnsi="Arial"/>
                <w:sz w:val="18"/>
                <w:szCs w:val="18"/>
                <w:color w:val="auto"/>
              </w:rPr>
              <w:t>Other, net</w:t>
            </w:r>
          </w:p>
        </w:tc>
        <w:tc>
          <w:tcPr>
            <w:tcW w:w="1640" w:type="dxa"/>
            <w:vAlign w:val="bottom"/>
          </w:tcPr>
          <w:p>
            <w:pPr>
              <w:spacing w:after="0"/>
              <w:rPr>
                <w:sz w:val="18"/>
                <w:szCs w:val="18"/>
                <w:color w:val="auto"/>
              </w:rPr>
            </w:pPr>
          </w:p>
        </w:tc>
        <w:tc>
          <w:tcPr>
            <w:tcW w:w="960" w:type="dxa"/>
            <w:vAlign w:val="bottom"/>
            <w:gridSpan w:val="2"/>
          </w:tcPr>
          <w:p>
            <w:pPr>
              <w:jc w:val="right"/>
              <w:ind w:right="340"/>
              <w:spacing w:after="0"/>
              <w:rPr>
                <w:sz w:val="20"/>
                <w:szCs w:val="20"/>
                <w:color w:val="auto"/>
              </w:rPr>
            </w:pPr>
            <w:r>
              <w:rPr>
                <w:rFonts w:ascii="Arial" w:cs="Arial" w:eastAsia="Arial" w:hAnsi="Arial"/>
                <w:sz w:val="18"/>
                <w:szCs w:val="18"/>
                <w:color w:val="auto"/>
              </w:rPr>
              <w:t>(191)</w:t>
            </w:r>
          </w:p>
        </w:tc>
        <w:tc>
          <w:tcPr>
            <w:tcW w:w="620" w:type="dxa"/>
            <w:vAlign w:val="bottom"/>
            <w:gridSpan w:val="2"/>
          </w:tcPr>
          <w:p>
            <w:pPr>
              <w:jc w:val="right"/>
              <w:spacing w:after="0"/>
              <w:rPr>
                <w:sz w:val="20"/>
                <w:szCs w:val="20"/>
                <w:color w:val="auto"/>
              </w:rPr>
            </w:pPr>
            <w:r>
              <w:rPr>
                <w:rFonts w:ascii="Arial" w:cs="Arial" w:eastAsia="Arial" w:hAnsi="Arial"/>
                <w:sz w:val="18"/>
                <w:szCs w:val="18"/>
                <w:color w:val="auto"/>
              </w:rPr>
              <w:t>(59)</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1340" w:type="dxa"/>
            <w:vAlign w:val="bottom"/>
          </w:tcPr>
          <w:p>
            <w:pPr>
              <w:spacing w:after="0"/>
              <w:rPr>
                <w:sz w:val="2"/>
                <w:szCs w:val="2"/>
                <w:color w:val="auto"/>
              </w:rPr>
            </w:pPr>
          </w:p>
        </w:tc>
        <w:tc>
          <w:tcPr>
            <w:tcW w:w="6840" w:type="dxa"/>
            <w:vAlign w:val="bottom"/>
          </w:tcPr>
          <w:p>
            <w:pPr>
              <w:spacing w:after="0"/>
              <w:rPr>
                <w:sz w:val="2"/>
                <w:szCs w:val="2"/>
                <w:color w:val="auto"/>
              </w:rPr>
            </w:pPr>
          </w:p>
        </w:tc>
        <w:tc>
          <w:tcPr>
            <w:tcW w:w="1640" w:type="dxa"/>
            <w:vAlign w:val="bottom"/>
          </w:tcPr>
          <w:p>
            <w:pPr>
              <w:spacing w:after="0"/>
              <w:rPr>
                <w:sz w:val="2"/>
                <w:szCs w:val="2"/>
                <w:color w:val="auto"/>
              </w:rPr>
            </w:pPr>
          </w:p>
        </w:tc>
        <w:tc>
          <w:tcPr>
            <w:tcW w:w="560" w:type="dxa"/>
            <w:vAlign w:val="bottom"/>
            <w:shd w:val="clear" w:color="auto" w:fill="000000"/>
          </w:tcPr>
          <w:p>
            <w:pPr>
              <w:spacing w:after="0"/>
              <w:rPr>
                <w:sz w:val="2"/>
                <w:szCs w:val="2"/>
                <w:color w:val="auto"/>
              </w:rPr>
            </w:pPr>
          </w:p>
        </w:tc>
        <w:tc>
          <w:tcPr>
            <w:tcW w:w="400" w:type="dxa"/>
            <w:vAlign w:val="bottom"/>
          </w:tcPr>
          <w:p>
            <w:pPr>
              <w:spacing w:after="0"/>
              <w:rPr>
                <w:sz w:val="2"/>
                <w:szCs w:val="2"/>
                <w:color w:val="auto"/>
              </w:rPr>
            </w:pPr>
          </w:p>
        </w:tc>
        <w:tc>
          <w:tcPr>
            <w:tcW w:w="560" w:type="dxa"/>
            <w:vAlign w:val="bottom"/>
            <w:shd w:val="clear" w:color="auto" w:fill="000000"/>
          </w:tcPr>
          <w:p>
            <w:pPr>
              <w:spacing w:after="0"/>
              <w:rPr>
                <w:sz w:val="2"/>
                <w:szCs w:val="2"/>
                <w:color w:val="auto"/>
              </w:rPr>
            </w:pPr>
          </w:p>
        </w:tc>
        <w:tc>
          <w:tcPr>
            <w:tcW w:w="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tcPr>
          <w:p>
            <w:pPr>
              <w:spacing w:after="0"/>
              <w:rPr>
                <w:sz w:val="18"/>
                <w:szCs w:val="18"/>
                <w:color w:val="auto"/>
              </w:rPr>
            </w:pPr>
          </w:p>
        </w:tc>
        <w:tc>
          <w:tcPr>
            <w:tcW w:w="8180" w:type="dxa"/>
            <w:vAlign w:val="bottom"/>
            <w:gridSpan w:val="2"/>
            <w:shd w:val="clear" w:color="auto" w:fill="CCEEFF"/>
          </w:tcPr>
          <w:p>
            <w:pPr>
              <w:ind w:left="1280"/>
              <w:spacing w:after="0"/>
              <w:rPr>
                <w:sz w:val="20"/>
                <w:szCs w:val="20"/>
                <w:color w:val="auto"/>
              </w:rPr>
            </w:pPr>
            <w:r>
              <w:rPr>
                <w:rFonts w:ascii="Arial" w:cs="Arial" w:eastAsia="Arial" w:hAnsi="Arial"/>
                <w:sz w:val="18"/>
                <w:szCs w:val="18"/>
                <w:color w:val="auto"/>
              </w:rPr>
              <w:t>Net cash flows used in financing activities</w:t>
            </w:r>
          </w:p>
        </w:tc>
        <w:tc>
          <w:tcPr>
            <w:tcW w:w="164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(612)</w:t>
            </w:r>
          </w:p>
        </w:tc>
        <w:tc>
          <w:tcPr>
            <w:tcW w:w="6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(691)</w:t>
            </w:r>
          </w:p>
        </w:tc>
        <w:tc>
          <w:tcPr>
            <w:tcW w:w="0" w:type="dxa"/>
            <w:vAlign w:val="bottom"/>
          </w:tcPr>
          <w:p>
            <w:pPr>
              <w:spacing w:after="0"/>
              <w:rPr>
                <w:sz w:val="1"/>
                <w:szCs w:val="1"/>
                <w:color w:val="auto"/>
              </w:rPr>
            </w:pPr>
          </w:p>
        </w:tc>
      </w:tr>
      <w:tr>
        <w:trPr>
          <w:trHeight w:val="230"/>
        </w:trPr>
        <w:tc>
          <w:tcPr>
            <w:tcW w:w="8200" w:type="dxa"/>
            <w:vAlign w:val="bottom"/>
            <w:gridSpan w:val="3"/>
          </w:tcPr>
          <w:p>
            <w:pPr>
              <w:spacing w:after="0"/>
              <w:rPr>
                <w:sz w:val="20"/>
                <w:szCs w:val="20"/>
                <w:color w:val="auto"/>
              </w:rPr>
            </w:pPr>
            <w:r>
              <w:rPr>
                <w:rFonts w:ascii="Arial" w:cs="Arial" w:eastAsia="Arial" w:hAnsi="Arial"/>
                <w:sz w:val="18"/>
                <w:szCs w:val="18"/>
                <w:color w:val="auto"/>
              </w:rPr>
              <w:t>Effect of foreign exchange rate changes on Cash and cash equivalents</w:t>
            </w:r>
          </w:p>
        </w:tc>
        <w:tc>
          <w:tcPr>
            <w:tcW w:w="1640" w:type="dxa"/>
            <w:vAlign w:val="bottom"/>
          </w:tcPr>
          <w:p>
            <w:pPr>
              <w:spacing w:after="0"/>
              <w:rPr>
                <w:sz w:val="20"/>
                <w:szCs w:val="20"/>
                <w:color w:val="auto"/>
              </w:rPr>
            </w:pPr>
          </w:p>
        </w:tc>
        <w:tc>
          <w:tcPr>
            <w:tcW w:w="5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75</w:t>
            </w:r>
          </w:p>
        </w:tc>
        <w:tc>
          <w:tcPr>
            <w:tcW w:w="400" w:type="dxa"/>
            <w:vAlign w:val="bottom"/>
          </w:tcPr>
          <w:p>
            <w:pPr>
              <w:spacing w:after="0"/>
              <w:rPr>
                <w:sz w:val="20"/>
                <w:szCs w:val="20"/>
                <w:color w:val="auto"/>
              </w:rPr>
            </w:pPr>
          </w:p>
        </w:tc>
        <w:tc>
          <w:tcPr>
            <w:tcW w:w="5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72</w:t>
            </w:r>
          </w:p>
        </w:tc>
        <w:tc>
          <w:tcPr>
            <w:tcW w:w="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180" w:type="dxa"/>
            <w:vAlign w:val="bottom"/>
            <w:gridSpan w:val="2"/>
            <w:shd w:val="clear" w:color="auto" w:fill="CCEEFF"/>
          </w:tcPr>
          <w:p>
            <w:pPr>
              <w:ind w:left="1280"/>
              <w:spacing w:after="0"/>
              <w:rPr>
                <w:sz w:val="20"/>
                <w:szCs w:val="20"/>
                <w:color w:val="auto"/>
              </w:rPr>
            </w:pPr>
            <w:r>
              <w:rPr>
                <w:rFonts w:ascii="Arial" w:cs="Arial" w:eastAsia="Arial" w:hAnsi="Arial"/>
                <w:sz w:val="18"/>
                <w:szCs w:val="18"/>
                <w:color w:val="auto"/>
              </w:rPr>
              <w:t>Net increase in Cash and cash equivalents</w:t>
            </w:r>
          </w:p>
        </w:tc>
        <w:tc>
          <w:tcPr>
            <w:tcW w:w="2600" w:type="dxa"/>
            <w:vAlign w:val="bottom"/>
            <w:gridSpan w:val="3"/>
            <w:shd w:val="clear" w:color="auto" w:fill="CCEEFF"/>
          </w:tcPr>
          <w:p>
            <w:pPr>
              <w:jc w:val="right"/>
              <w:ind w:right="400"/>
              <w:spacing w:after="0"/>
              <w:rPr>
                <w:sz w:val="20"/>
                <w:szCs w:val="20"/>
                <w:color w:val="auto"/>
              </w:rPr>
            </w:pPr>
            <w:r>
              <w:rPr>
                <w:rFonts w:ascii="Arial" w:cs="Arial" w:eastAsia="Arial" w:hAnsi="Arial"/>
                <w:sz w:val="18"/>
                <w:szCs w:val="18"/>
                <w:color w:val="auto"/>
              </w:rPr>
              <w:t>538</w:t>
            </w: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746</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8180" w:type="dxa"/>
            <w:vAlign w:val="bottom"/>
            <w:gridSpan w:val="2"/>
          </w:tcPr>
          <w:p>
            <w:pPr>
              <w:spacing w:after="0"/>
              <w:rPr>
                <w:sz w:val="20"/>
                <w:szCs w:val="20"/>
                <w:color w:val="auto"/>
              </w:rPr>
            </w:pPr>
            <w:r>
              <w:rPr>
                <w:rFonts w:ascii="Arial" w:cs="Arial" w:eastAsia="Arial" w:hAnsi="Arial"/>
                <w:sz w:val="18"/>
                <w:szCs w:val="18"/>
                <w:color w:val="auto"/>
              </w:rPr>
              <w:t>Cash and cash equivalents, beginning of year</w:t>
            </w:r>
          </w:p>
        </w:tc>
        <w:tc>
          <w:tcPr>
            <w:tcW w:w="1640" w:type="dxa"/>
            <w:vAlign w:val="bottom"/>
          </w:tcPr>
          <w:p>
            <w:pPr>
              <w:spacing w:after="0"/>
              <w:rPr>
                <w:sz w:val="19"/>
                <w:szCs w:val="19"/>
                <w:color w:val="auto"/>
              </w:rPr>
            </w:pPr>
          </w:p>
        </w:tc>
        <w:tc>
          <w:tcPr>
            <w:tcW w:w="5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2,904</w:t>
            </w:r>
          </w:p>
        </w:tc>
        <w:tc>
          <w:tcPr>
            <w:tcW w:w="400" w:type="dxa"/>
            <w:vAlign w:val="bottom"/>
          </w:tcPr>
          <w:p>
            <w:pPr>
              <w:spacing w:after="0"/>
              <w:rPr>
                <w:sz w:val="19"/>
                <w:szCs w:val="19"/>
                <w:color w:val="auto"/>
              </w:rPr>
            </w:pPr>
          </w:p>
        </w:tc>
        <w:tc>
          <w:tcPr>
            <w:tcW w:w="5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2,546</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1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Cash and cash equivalents, end of period</w:t>
            </w:r>
          </w:p>
        </w:tc>
        <w:tc>
          <w:tcPr>
            <w:tcW w:w="2600" w:type="dxa"/>
            <w:vAlign w:val="bottom"/>
            <w:gridSpan w:val="3"/>
            <w:shd w:val="clear" w:color="auto" w:fill="CCEEFF"/>
          </w:tcPr>
          <w:p>
            <w:pPr>
              <w:jc w:val="right"/>
              <w:ind w:right="400"/>
              <w:spacing w:after="0"/>
              <w:rPr>
                <w:sz w:val="20"/>
                <w:szCs w:val="20"/>
                <w:color w:val="auto"/>
              </w:rPr>
            </w:pPr>
            <w:r>
              <w:rPr>
                <w:rFonts w:ascii="Arial" w:cs="Arial" w:eastAsia="Arial" w:hAnsi="Arial"/>
                <w:sz w:val="18"/>
                <w:szCs w:val="18"/>
                <w:color w:val="auto"/>
              </w:rPr>
              <w:t>$ 3,442</w:t>
            </w: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9"/>
              </w:rPr>
              <w:t>$ 3,292</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340" w:type="dxa"/>
            <w:vAlign w:val="bottom"/>
          </w:tcPr>
          <w:p>
            <w:pPr>
              <w:spacing w:after="0" w:line="20" w:lineRule="exact"/>
              <w:rPr>
                <w:sz w:val="1"/>
                <w:szCs w:val="1"/>
                <w:color w:val="auto"/>
              </w:rPr>
            </w:pPr>
          </w:p>
        </w:tc>
        <w:tc>
          <w:tcPr>
            <w:tcW w:w="6840" w:type="dxa"/>
            <w:vAlign w:val="bottom"/>
          </w:tcPr>
          <w:p>
            <w:pPr>
              <w:spacing w:after="0" w:line="20" w:lineRule="exact"/>
              <w:rPr>
                <w:sz w:val="1"/>
                <w:szCs w:val="1"/>
                <w:color w:val="auto"/>
              </w:rPr>
            </w:pPr>
          </w:p>
        </w:tc>
        <w:tc>
          <w:tcPr>
            <w:tcW w:w="1640" w:type="dxa"/>
            <w:vAlign w:val="bottom"/>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67" w:lineRule="exact"/>
        <w:rPr>
          <w:sz w:val="20"/>
          <w:szCs w:val="20"/>
          <w:color w:val="auto"/>
        </w:rPr>
      </w:pPr>
    </w:p>
    <w:p>
      <w:pPr>
        <w:spacing w:after="0"/>
        <w:rPr>
          <w:sz w:val="20"/>
          <w:szCs w:val="20"/>
          <w:color w:val="auto"/>
        </w:rPr>
      </w:pPr>
      <w:r>
        <w:rPr>
          <w:rFonts w:ascii="Arial" w:cs="Arial" w:eastAsia="Arial" w:hAnsi="Arial"/>
          <w:sz w:val="16"/>
          <w:szCs w:val="16"/>
          <w:color w:val="auto"/>
        </w:rPr>
        <w:t>During the first six months of 2007, non-cash activities include contributions of UTC common stock of $150 million to domestic defined benefit pension plans.</w:t>
      </w:r>
    </w:p>
    <w:p>
      <w:pPr>
        <w:spacing w:after="0" w:line="38" w:lineRule="exact"/>
        <w:rPr>
          <w:sz w:val="20"/>
          <w:szCs w:val="20"/>
          <w:color w:val="auto"/>
        </w:rPr>
      </w:pPr>
    </w:p>
    <w:p>
      <w:pPr>
        <w:spacing w:after="0"/>
        <w:rPr>
          <w:sz w:val="20"/>
          <w:szCs w:val="20"/>
          <w:color w:val="auto"/>
        </w:rPr>
      </w:pPr>
      <w:r>
        <w:rPr>
          <w:rFonts w:ascii="Arial" w:cs="Arial" w:eastAsia="Arial" w:hAnsi="Arial"/>
          <w:sz w:val="18"/>
          <w:szCs w:val="18"/>
          <w:color w:val="auto"/>
        </w:rPr>
        <w:t>There were no contributions of UTC common stock to domestic defined benefit plans in the first six months of 2008.</w:t>
      </w:r>
    </w:p>
    <w:p>
      <w:pPr>
        <w:spacing w:after="0" w:line="16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See accompanying Notes to Condensed Consolidated Financial Statements</w:t>
      </w:r>
    </w:p>
    <w:p>
      <w:pPr>
        <w:spacing w:after="0" w:line="15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w:t>
      </w:r>
    </w:p>
    <w:p>
      <w:pPr>
        <w:sectPr>
          <w:pgSz w:w="11900" w:h="16838" w:orient="portrait"/>
          <w:cols w:equalWidth="0" w:num="1">
            <w:col w:w="11420"/>
          </w:cols>
          <w:pgMar w:left="240" w:top="459" w:right="239" w:bottom="1440" w:gutter="0" w:footer="0" w:header="0"/>
        </w:sectPr>
      </w:pPr>
    </w:p>
    <w:bookmarkStart w:id="6" w:name="page7"/>
    <w:bookmarkEnd w:id="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UNITED TECHNOLOGIES CORPORATION</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AND SUBSIDIARIES</w:t>
      </w:r>
    </w:p>
    <w:p>
      <w:pPr>
        <w:spacing w:after="0" w:line="159" w:lineRule="exact"/>
        <w:rPr>
          <w:sz w:val="20"/>
          <w:szCs w:val="20"/>
          <w:color w:val="auto"/>
        </w:rPr>
      </w:pPr>
    </w:p>
    <w:p>
      <w:pPr>
        <w:jc w:val="center"/>
        <w:spacing w:after="0"/>
        <w:rPr>
          <w:sz w:val="20"/>
          <w:szCs w:val="20"/>
          <w:color w:val="auto"/>
        </w:rPr>
      </w:pPr>
      <w:r>
        <w:rPr>
          <w:rFonts w:ascii="Arial" w:cs="Arial" w:eastAsia="Arial" w:hAnsi="Arial"/>
          <w:sz w:val="18"/>
          <w:szCs w:val="18"/>
          <w:b w:val="1"/>
          <w:bCs w:val="1"/>
          <w:u w:val="single" w:color="auto"/>
          <w:color w:val="auto"/>
        </w:rPr>
        <w:t>NOTES TO CONDENSED CONSOLIDATED FINANCIAL STATEMENTS</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165" w:lineRule="exact"/>
        <w:rPr>
          <w:sz w:val="20"/>
          <w:szCs w:val="20"/>
          <w:color w:val="auto"/>
        </w:rPr>
      </w:pPr>
    </w:p>
    <w:p>
      <w:pPr>
        <w:ind w:right="180" w:firstLine="456"/>
        <w:spacing w:after="0" w:line="294" w:lineRule="auto"/>
        <w:rPr>
          <w:sz w:val="20"/>
          <w:szCs w:val="20"/>
          <w:color w:val="auto"/>
        </w:rPr>
      </w:pPr>
      <w:r>
        <w:rPr>
          <w:rFonts w:ascii="Arial" w:cs="Arial" w:eastAsia="Arial" w:hAnsi="Arial"/>
          <w:sz w:val="16"/>
          <w:szCs w:val="16"/>
          <w:color w:val="auto"/>
        </w:rPr>
        <w:t>The Condensed Consolidated Financial Statements at June 30, 2008 and for the quarters and six months ended June 30, 2008 and 2007 are unaudited, but in the opinion of management include all adjustments (consisting only of normal recurring adjustments) necessary for a fair presentation of the results for the interim periods. The results reported in these Condensed Consolidated Financial Statements should not necessarily be taken as indicative of results that may be expected for the entire year. The financial information included herein should be read in conjunction with the financial statements and notes in our 2007 Annual Report to Shareowners incorporated by reference to our Annual Report on Form 10-K for 2007 (2007 Form 10-K).</w:t>
      </w:r>
    </w:p>
    <w:p>
      <w:pPr>
        <w:spacing w:after="0" w:line="19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 Acquisitions, Dispositions, Goodwill and Other Intangible Assets</w:t>
      </w:r>
    </w:p>
    <w:p>
      <w:pPr>
        <w:spacing w:after="0" w:line="90" w:lineRule="exact"/>
        <w:rPr>
          <w:sz w:val="20"/>
          <w:szCs w:val="20"/>
          <w:color w:val="auto"/>
        </w:rPr>
      </w:pPr>
    </w:p>
    <w:p>
      <w:pPr>
        <w:ind w:right="160"/>
        <w:spacing w:after="0" w:line="301" w:lineRule="auto"/>
        <w:rPr>
          <w:sz w:val="20"/>
          <w:szCs w:val="20"/>
          <w:color w:val="auto"/>
        </w:rPr>
      </w:pPr>
      <w:r>
        <w:rPr>
          <w:rFonts w:ascii="Arial" w:cs="Arial" w:eastAsia="Arial" w:hAnsi="Arial"/>
          <w:sz w:val="16"/>
          <w:szCs w:val="16"/>
          <w:b w:val="1"/>
          <w:bCs w:val="1"/>
          <w:color w:val="auto"/>
        </w:rPr>
        <w:t xml:space="preserve">Business Acquisitions. </w:t>
      </w:r>
      <w:r>
        <w:rPr>
          <w:rFonts w:ascii="Arial" w:cs="Arial" w:eastAsia="Arial" w:hAnsi="Arial"/>
          <w:sz w:val="16"/>
          <w:szCs w:val="16"/>
          <w:color w:val="auto"/>
        </w:rPr>
        <w:t>During the first six months of 2008, our investment in businesses was approximately $546 million, and primarily consisted of a number</w:t>
      </w:r>
      <w:r>
        <w:rPr>
          <w:rFonts w:ascii="Arial" w:cs="Arial" w:eastAsia="Arial" w:hAnsi="Arial"/>
          <w:sz w:val="16"/>
          <w:szCs w:val="16"/>
          <w:b w:val="1"/>
          <w:bCs w:val="1"/>
          <w:color w:val="auto"/>
        </w:rPr>
        <w:t xml:space="preserve"> </w:t>
      </w:r>
      <w:r>
        <w:rPr>
          <w:rFonts w:ascii="Arial" w:cs="Arial" w:eastAsia="Arial" w:hAnsi="Arial"/>
          <w:sz w:val="16"/>
          <w:szCs w:val="16"/>
          <w:color w:val="auto"/>
        </w:rPr>
        <w:t>of small acquisitions in the commercial businesses. The assets and liabilities of acquired businesses are recorded at fair value at the date of acquisition under the purchase method. The final purchase price allocation of all acquired businesses is subject to the completion of the valuation of certain assets and liabilities, as well as plans for consolidation of facilities, relocation or reduction of employees and other restructuring activities.</w:t>
      </w:r>
    </w:p>
    <w:p>
      <w:pPr>
        <w:spacing w:after="0" w:line="10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Goodwill. </w:t>
      </w:r>
      <w:r>
        <w:rPr>
          <w:rFonts w:ascii="Arial" w:cs="Arial" w:eastAsia="Arial" w:hAnsi="Arial"/>
          <w:sz w:val="18"/>
          <w:szCs w:val="18"/>
          <w:color w:val="auto"/>
        </w:rPr>
        <w:t>Changes in our goodwill balances for the first six months of 2008 were as follows:</w:t>
      </w:r>
    </w:p>
    <w:p>
      <w:pPr>
        <w:spacing w:after="0" w:line="201"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40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1660" w:type="dxa"/>
            <w:vAlign w:val="bottom"/>
            <w:gridSpan w:val="5"/>
          </w:tcPr>
          <w:p>
            <w:pPr>
              <w:spacing w:after="0"/>
              <w:rPr>
                <w:sz w:val="20"/>
                <w:szCs w:val="20"/>
                <w:color w:val="auto"/>
              </w:rPr>
            </w:pPr>
            <w:r>
              <w:rPr>
                <w:rFonts w:ascii="Arial" w:cs="Arial" w:eastAsia="Arial" w:hAnsi="Arial"/>
                <w:sz w:val="14"/>
                <w:szCs w:val="14"/>
                <w:b w:val="1"/>
                <w:bCs w:val="1"/>
                <w:color w:val="auto"/>
              </w:rPr>
              <w:t>Goodwill resulting</w:t>
            </w: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340" w:type="dxa"/>
            <w:vAlign w:val="bottom"/>
          </w:tcPr>
          <w:p>
            <w:pPr>
              <w:spacing w:after="0"/>
              <w:rPr>
                <w:sz w:val="12"/>
                <w:szCs w:val="12"/>
                <w:color w:val="auto"/>
              </w:rPr>
            </w:pPr>
          </w:p>
        </w:tc>
        <w:tc>
          <w:tcPr>
            <w:tcW w:w="40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500" w:type="dxa"/>
            <w:vAlign w:val="bottom"/>
            <w:gridSpan w:val="2"/>
          </w:tcPr>
          <w:p>
            <w:pPr>
              <w:jc w:val="right"/>
              <w:ind w:right="740"/>
              <w:spacing w:after="0" w:line="149" w:lineRule="exact"/>
              <w:rPr>
                <w:sz w:val="20"/>
                <w:szCs w:val="20"/>
                <w:color w:val="auto"/>
              </w:rPr>
            </w:pPr>
            <w:r>
              <w:rPr>
                <w:rFonts w:ascii="Arial" w:cs="Arial" w:eastAsia="Arial" w:hAnsi="Arial"/>
                <w:sz w:val="14"/>
                <w:szCs w:val="14"/>
                <w:b w:val="1"/>
                <w:bCs w:val="1"/>
                <w:color w:val="auto"/>
                <w:w w:val="81"/>
              </w:rPr>
              <w:t>Balance as of</w:t>
            </w:r>
          </w:p>
        </w:tc>
        <w:tc>
          <w:tcPr>
            <w:tcW w:w="120" w:type="dxa"/>
            <w:vAlign w:val="bottom"/>
          </w:tcPr>
          <w:p>
            <w:pPr>
              <w:spacing w:after="0"/>
              <w:rPr>
                <w:sz w:val="12"/>
                <w:szCs w:val="12"/>
                <w:color w:val="auto"/>
              </w:rPr>
            </w:pPr>
          </w:p>
        </w:tc>
        <w:tc>
          <w:tcPr>
            <w:tcW w:w="1540" w:type="dxa"/>
            <w:vAlign w:val="bottom"/>
            <w:gridSpan w:val="4"/>
          </w:tcPr>
          <w:p>
            <w:pPr>
              <w:ind w:left="20"/>
              <w:spacing w:after="0" w:line="149" w:lineRule="exact"/>
              <w:rPr>
                <w:sz w:val="20"/>
                <w:szCs w:val="20"/>
                <w:color w:val="auto"/>
              </w:rPr>
            </w:pPr>
            <w:r>
              <w:rPr>
                <w:rFonts w:ascii="Arial" w:cs="Arial" w:eastAsia="Arial" w:hAnsi="Arial"/>
                <w:sz w:val="14"/>
                <w:szCs w:val="14"/>
                <w:b w:val="1"/>
                <w:bCs w:val="1"/>
                <w:color w:val="auto"/>
              </w:rPr>
              <w:t>from business</w:t>
            </w: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780" w:type="dxa"/>
            <w:vAlign w:val="bottom"/>
            <w:gridSpan w:val="6"/>
          </w:tcPr>
          <w:p>
            <w:pPr>
              <w:ind w:left="20"/>
              <w:spacing w:after="0" w:line="149" w:lineRule="exact"/>
              <w:rPr>
                <w:sz w:val="20"/>
                <w:szCs w:val="20"/>
                <w:color w:val="auto"/>
              </w:rPr>
            </w:pPr>
            <w:r>
              <w:rPr>
                <w:rFonts w:ascii="Arial" w:cs="Arial" w:eastAsia="Arial" w:hAnsi="Arial"/>
                <w:sz w:val="14"/>
                <w:szCs w:val="14"/>
                <w:b w:val="1"/>
                <w:bCs w:val="1"/>
                <w:color w:val="auto"/>
              </w:rPr>
              <w:t>Foreign currency</w:t>
            </w:r>
          </w:p>
        </w:tc>
        <w:tc>
          <w:tcPr>
            <w:tcW w:w="60" w:type="dxa"/>
            <w:vAlign w:val="bottom"/>
          </w:tcPr>
          <w:p>
            <w:pPr>
              <w:spacing w:after="0"/>
              <w:rPr>
                <w:sz w:val="12"/>
                <w:szCs w:val="12"/>
                <w:color w:val="auto"/>
              </w:rPr>
            </w:pPr>
          </w:p>
        </w:tc>
        <w:tc>
          <w:tcPr>
            <w:tcW w:w="820" w:type="dxa"/>
            <w:vAlign w:val="bottom"/>
            <w:gridSpan w:val="4"/>
          </w:tcPr>
          <w:p>
            <w:pPr>
              <w:ind w:left="20"/>
              <w:spacing w:after="0" w:line="149" w:lineRule="exact"/>
              <w:rPr>
                <w:sz w:val="20"/>
                <w:szCs w:val="20"/>
                <w:color w:val="auto"/>
              </w:rPr>
            </w:pPr>
            <w:r>
              <w:rPr>
                <w:rFonts w:ascii="Arial" w:cs="Arial" w:eastAsia="Arial" w:hAnsi="Arial"/>
                <w:sz w:val="14"/>
                <w:szCs w:val="14"/>
                <w:b w:val="1"/>
                <w:bCs w:val="1"/>
                <w:color w:val="auto"/>
                <w:w w:val="86"/>
              </w:rPr>
              <w:t>Balance as of</w:t>
            </w:r>
          </w:p>
        </w:tc>
        <w:tc>
          <w:tcPr>
            <w:tcW w:w="0" w:type="dxa"/>
            <w:vAlign w:val="bottom"/>
          </w:tcPr>
          <w:p>
            <w:pPr>
              <w:spacing w:after="0"/>
              <w:rPr>
                <w:sz w:val="1"/>
                <w:szCs w:val="1"/>
                <w:color w:val="auto"/>
              </w:rPr>
            </w:pPr>
          </w:p>
        </w:tc>
      </w:tr>
      <w:tr>
        <w:trPr>
          <w:trHeight w:val="161"/>
        </w:trPr>
        <w:tc>
          <w:tcPr>
            <w:tcW w:w="5360" w:type="dxa"/>
            <w:vAlign w:val="bottom"/>
            <w:gridSpan w:val="3"/>
          </w:tcPr>
          <w:p>
            <w:pPr>
              <w:spacing w:after="0"/>
              <w:rPr>
                <w:sz w:val="20"/>
                <w:szCs w:val="20"/>
                <w:color w:val="auto"/>
              </w:rPr>
            </w:pPr>
            <w:r>
              <w:rPr>
                <w:rFonts w:ascii="Arial" w:cs="Arial" w:eastAsia="Arial" w:hAnsi="Arial"/>
                <w:sz w:val="14"/>
                <w:szCs w:val="14"/>
                <w:b w:val="1"/>
                <w:bCs w:val="1"/>
                <w:color w:val="auto"/>
              </w:rPr>
              <w:t>(in millions of dollars)</w:t>
            </w:r>
          </w:p>
        </w:tc>
        <w:tc>
          <w:tcPr>
            <w:tcW w:w="1580" w:type="dxa"/>
            <w:vAlign w:val="bottom"/>
            <w:gridSpan w:val="3"/>
          </w:tcPr>
          <w:p>
            <w:pPr>
              <w:spacing w:after="0"/>
              <w:rPr>
                <w:sz w:val="20"/>
                <w:szCs w:val="20"/>
                <w:color w:val="auto"/>
              </w:rPr>
            </w:pPr>
            <w:r>
              <w:rPr>
                <w:rFonts w:ascii="Arial" w:cs="Arial" w:eastAsia="Arial" w:hAnsi="Arial"/>
                <w:sz w:val="14"/>
                <w:szCs w:val="14"/>
                <w:b w:val="1"/>
                <w:bCs w:val="1"/>
                <w:color w:val="auto"/>
              </w:rPr>
              <w:t>January 1, 2008</w:t>
            </w:r>
          </w:p>
        </w:tc>
        <w:tc>
          <w:tcPr>
            <w:tcW w:w="120" w:type="dxa"/>
            <w:vAlign w:val="bottom"/>
          </w:tcPr>
          <w:p>
            <w:pPr>
              <w:spacing w:after="0"/>
              <w:rPr>
                <w:sz w:val="14"/>
                <w:szCs w:val="14"/>
                <w:color w:val="auto"/>
              </w:rPr>
            </w:pPr>
          </w:p>
        </w:tc>
        <w:tc>
          <w:tcPr>
            <w:tcW w:w="1540" w:type="dxa"/>
            <w:vAlign w:val="bottom"/>
            <w:gridSpan w:val="4"/>
          </w:tcPr>
          <w:p>
            <w:pPr>
              <w:ind w:left="40"/>
              <w:spacing w:after="0"/>
              <w:rPr>
                <w:sz w:val="20"/>
                <w:szCs w:val="20"/>
                <w:color w:val="auto"/>
              </w:rPr>
            </w:pPr>
            <w:r>
              <w:rPr>
                <w:rFonts w:ascii="Arial" w:cs="Arial" w:eastAsia="Arial" w:hAnsi="Arial"/>
                <w:sz w:val="14"/>
                <w:szCs w:val="14"/>
                <w:b w:val="1"/>
                <w:bCs w:val="1"/>
                <w:color w:val="auto"/>
              </w:rPr>
              <w:t>combinations</w:t>
            </w:r>
          </w:p>
        </w:tc>
        <w:tc>
          <w:tcPr>
            <w:tcW w:w="80" w:type="dxa"/>
            <w:vAlign w:val="bottom"/>
          </w:tcPr>
          <w:p>
            <w:pPr>
              <w:spacing w:after="0"/>
              <w:rPr>
                <w:sz w:val="14"/>
                <w:szCs w:val="14"/>
                <w:color w:val="auto"/>
              </w:rPr>
            </w:pPr>
          </w:p>
        </w:tc>
        <w:tc>
          <w:tcPr>
            <w:tcW w:w="1880" w:type="dxa"/>
            <w:vAlign w:val="bottom"/>
            <w:gridSpan w:val="7"/>
          </w:tcPr>
          <w:p>
            <w:pPr>
              <w:spacing w:after="0"/>
              <w:rPr>
                <w:sz w:val="20"/>
                <w:szCs w:val="20"/>
                <w:color w:val="auto"/>
              </w:rPr>
            </w:pPr>
            <w:r>
              <w:rPr>
                <w:rFonts w:ascii="Arial" w:cs="Arial" w:eastAsia="Arial" w:hAnsi="Arial"/>
                <w:sz w:val="14"/>
                <w:szCs w:val="14"/>
                <w:b w:val="1"/>
                <w:bCs w:val="1"/>
                <w:color w:val="auto"/>
              </w:rPr>
              <w:t>translation and other</w:t>
            </w:r>
          </w:p>
        </w:tc>
        <w:tc>
          <w:tcPr>
            <w:tcW w:w="60" w:type="dxa"/>
            <w:vAlign w:val="bottom"/>
          </w:tcPr>
          <w:p>
            <w:pPr>
              <w:spacing w:after="0"/>
              <w:rPr>
                <w:sz w:val="14"/>
                <w:szCs w:val="14"/>
                <w:color w:val="auto"/>
              </w:rPr>
            </w:pPr>
          </w:p>
        </w:tc>
        <w:tc>
          <w:tcPr>
            <w:tcW w:w="820" w:type="dxa"/>
            <w:vAlign w:val="bottom"/>
            <w:gridSpan w:val="4"/>
          </w:tcPr>
          <w:p>
            <w:pPr>
              <w:spacing w:after="0"/>
              <w:rPr>
                <w:sz w:val="20"/>
                <w:szCs w:val="20"/>
                <w:color w:val="auto"/>
              </w:rPr>
            </w:pPr>
            <w:r>
              <w:rPr>
                <w:rFonts w:ascii="Arial" w:cs="Arial" w:eastAsia="Arial" w:hAnsi="Arial"/>
                <w:sz w:val="14"/>
                <w:szCs w:val="14"/>
                <w:b w:val="1"/>
                <w:bCs w:val="1"/>
                <w:color w:val="auto"/>
                <w:w w:val="87"/>
              </w:rPr>
              <w:t>June 30, 2008</w:t>
            </w:r>
          </w:p>
        </w:tc>
        <w:tc>
          <w:tcPr>
            <w:tcW w:w="0" w:type="dxa"/>
            <w:vAlign w:val="bottom"/>
          </w:tcPr>
          <w:p>
            <w:pPr>
              <w:spacing w:after="0"/>
              <w:rPr>
                <w:sz w:val="1"/>
                <w:szCs w:val="1"/>
                <w:color w:val="auto"/>
              </w:rPr>
            </w:pPr>
          </w:p>
        </w:tc>
      </w:tr>
      <w:tr>
        <w:trPr>
          <w:trHeight w:val="20"/>
        </w:trPr>
        <w:tc>
          <w:tcPr>
            <w:tcW w:w="20" w:type="dxa"/>
            <w:vAlign w:val="bottom"/>
            <w:vMerge w:val="restart"/>
          </w:tcPr>
          <w:p>
            <w:pPr>
              <w:spacing w:after="0" w:line="20" w:lineRule="exact"/>
              <w:rPr>
                <w:sz w:val="1"/>
                <w:szCs w:val="1"/>
                <w:color w:val="auto"/>
              </w:rPr>
            </w:pPr>
          </w:p>
        </w:tc>
        <w:tc>
          <w:tcPr>
            <w:tcW w:w="1340" w:type="dxa"/>
            <w:vAlign w:val="bottom"/>
            <w:shd w:val="clear" w:color="auto" w:fill="000000"/>
          </w:tcPr>
          <w:p>
            <w:pPr>
              <w:spacing w:after="0" w:line="20" w:lineRule="exact"/>
              <w:rPr>
                <w:sz w:val="1"/>
                <w:szCs w:val="1"/>
                <w:color w:val="auto"/>
              </w:rPr>
            </w:pPr>
          </w:p>
        </w:tc>
        <w:tc>
          <w:tcPr>
            <w:tcW w:w="400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840" w:type="dxa"/>
            <w:vAlign w:val="bottom"/>
            <w:shd w:val="clear" w:color="auto" w:fill="000000"/>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60" w:type="dxa"/>
            <w:vAlign w:val="bottom"/>
            <w:shd w:val="clear" w:color="auto" w:fill="000000"/>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vMerge w:val="continue"/>
          </w:tcPr>
          <w:p>
            <w:pPr>
              <w:spacing w:after="0"/>
              <w:rPr>
                <w:sz w:val="18"/>
                <w:szCs w:val="18"/>
                <w:color w:val="auto"/>
              </w:rPr>
            </w:pPr>
          </w:p>
        </w:tc>
        <w:tc>
          <w:tcPr>
            <w:tcW w:w="1340" w:type="dxa"/>
            <w:vAlign w:val="bottom"/>
            <w:shd w:val="clear" w:color="auto" w:fill="CCEEFF"/>
          </w:tcPr>
          <w:p>
            <w:pPr>
              <w:spacing w:after="0"/>
              <w:rPr>
                <w:sz w:val="20"/>
                <w:szCs w:val="20"/>
                <w:color w:val="auto"/>
              </w:rPr>
            </w:pPr>
            <w:r>
              <w:rPr>
                <w:rFonts w:ascii="Arial" w:cs="Arial" w:eastAsia="Arial" w:hAnsi="Arial"/>
                <w:sz w:val="18"/>
                <w:szCs w:val="18"/>
                <w:color w:val="auto"/>
              </w:rPr>
              <w:t>Otis</w:t>
            </w:r>
          </w:p>
        </w:tc>
        <w:tc>
          <w:tcPr>
            <w:tcW w:w="40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20"/>
                <w:szCs w:val="20"/>
                <w:color w:val="auto"/>
              </w:rPr>
            </w:pPr>
            <w:r>
              <w:rPr>
                <w:rFonts w:ascii="Arial" w:cs="Arial" w:eastAsia="Arial" w:hAnsi="Arial"/>
                <w:sz w:val="15"/>
                <w:szCs w:val="15"/>
                <w:color w:val="auto"/>
                <w:w w:val="71"/>
              </w:rPr>
              <w:t>$</w:t>
            </w:r>
          </w:p>
        </w:tc>
        <w:tc>
          <w:tcPr>
            <w:tcW w:w="1500" w:type="dxa"/>
            <w:vAlign w:val="bottom"/>
            <w:gridSpan w:val="2"/>
            <w:shd w:val="clear" w:color="auto" w:fill="CCEEFF"/>
          </w:tcPr>
          <w:p>
            <w:pPr>
              <w:jc w:val="right"/>
              <w:ind w:right="660"/>
              <w:spacing w:after="0"/>
              <w:rPr>
                <w:sz w:val="20"/>
                <w:szCs w:val="20"/>
                <w:color w:val="auto"/>
              </w:rPr>
            </w:pPr>
            <w:r>
              <w:rPr>
                <w:rFonts w:ascii="Arial" w:cs="Arial" w:eastAsia="Arial" w:hAnsi="Arial"/>
                <w:sz w:val="18"/>
                <w:szCs w:val="18"/>
                <w:color w:val="auto"/>
              </w:rPr>
              <w:t>1,341</w:t>
            </w:r>
          </w:p>
        </w:tc>
        <w:tc>
          <w:tcPr>
            <w:tcW w:w="120" w:type="dxa"/>
            <w:vAlign w:val="bottom"/>
            <w:shd w:val="clear" w:color="auto" w:fill="CCEEFF"/>
          </w:tcPr>
          <w:p>
            <w:pPr>
              <w:spacing w:after="0"/>
              <w:rPr>
                <w:sz w:val="20"/>
                <w:szCs w:val="20"/>
                <w:color w:val="auto"/>
              </w:rPr>
            </w:pPr>
            <w:r>
              <w:rPr>
                <w:rFonts w:ascii="Arial" w:cs="Arial" w:eastAsia="Arial" w:hAnsi="Arial"/>
                <w:sz w:val="18"/>
                <w:szCs w:val="18"/>
                <w:color w:val="auto"/>
                <w:w w:val="99"/>
              </w:rPr>
              <w:t>$</w:t>
            </w:r>
          </w:p>
        </w:tc>
        <w:tc>
          <w:tcPr>
            <w:tcW w:w="9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27</w:t>
            </w:r>
          </w:p>
        </w:tc>
        <w:tc>
          <w:tcPr>
            <w:tcW w:w="26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80" w:type="dxa"/>
            <w:vAlign w:val="bottom"/>
            <w:gridSpan w:val="2"/>
            <w:shd w:val="clear" w:color="auto" w:fill="CCEEFF"/>
          </w:tcPr>
          <w:p>
            <w:pPr>
              <w:ind w:left="80"/>
              <w:spacing w:after="0"/>
              <w:rPr>
                <w:sz w:val="20"/>
                <w:szCs w:val="20"/>
                <w:color w:val="auto"/>
              </w:rPr>
            </w:pPr>
            <w:r>
              <w:rPr>
                <w:rFonts w:ascii="Arial" w:cs="Arial" w:eastAsia="Arial" w:hAnsi="Arial"/>
                <w:sz w:val="18"/>
                <w:szCs w:val="18"/>
                <w:color w:val="auto"/>
                <w:w w:val="79"/>
              </w:rPr>
              <w:t>$</w:t>
            </w:r>
          </w:p>
        </w:tc>
        <w:tc>
          <w:tcPr>
            <w:tcW w:w="6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20" w:type="dxa"/>
            <w:vAlign w:val="bottom"/>
            <w:gridSpan w:val="3"/>
            <w:shd w:val="clear" w:color="auto" w:fill="CCEEFF"/>
          </w:tcPr>
          <w:p>
            <w:pPr>
              <w:jc w:val="right"/>
              <w:ind w:right="232"/>
              <w:spacing w:after="0"/>
              <w:rPr>
                <w:sz w:val="20"/>
                <w:szCs w:val="20"/>
                <w:color w:val="auto"/>
              </w:rPr>
            </w:pPr>
            <w:r>
              <w:rPr>
                <w:rFonts w:ascii="Arial" w:cs="Arial" w:eastAsia="Arial" w:hAnsi="Arial"/>
                <w:sz w:val="18"/>
                <w:szCs w:val="18"/>
                <w:color w:val="auto"/>
              </w:rPr>
              <w:t>(35)</w:t>
            </w:r>
          </w:p>
        </w:tc>
        <w:tc>
          <w:tcPr>
            <w:tcW w:w="300" w:type="dxa"/>
            <w:vAlign w:val="bottom"/>
            <w:shd w:val="clear" w:color="auto" w:fill="CCEEFF"/>
          </w:tcPr>
          <w:p>
            <w:pPr>
              <w:spacing w:after="0"/>
              <w:rPr>
                <w:sz w:val="18"/>
                <w:szCs w:val="18"/>
                <w:color w:val="auto"/>
              </w:rPr>
            </w:pPr>
          </w:p>
        </w:tc>
        <w:tc>
          <w:tcPr>
            <w:tcW w:w="240" w:type="dxa"/>
            <w:vAlign w:val="bottom"/>
            <w:gridSpan w:val="2"/>
            <w:shd w:val="clear" w:color="auto" w:fill="CCEEFF"/>
          </w:tcPr>
          <w:p>
            <w:pPr>
              <w:ind w:left="60"/>
              <w:spacing w:after="0"/>
              <w:rPr>
                <w:sz w:val="20"/>
                <w:szCs w:val="20"/>
                <w:color w:val="auto"/>
              </w:rPr>
            </w:pPr>
            <w:r>
              <w:rPr>
                <w:rFonts w:ascii="Arial" w:cs="Arial" w:eastAsia="Arial" w:hAnsi="Arial"/>
                <w:sz w:val="18"/>
                <w:szCs w:val="18"/>
                <w:color w:val="auto"/>
              </w:rPr>
              <w:t>$</w:t>
            </w:r>
          </w:p>
        </w:tc>
        <w:tc>
          <w:tcPr>
            <w:tcW w:w="6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1,333</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340" w:type="dxa"/>
            <w:vAlign w:val="bottom"/>
            <w:gridSpan w:val="2"/>
          </w:tcPr>
          <w:p>
            <w:pPr>
              <w:spacing w:after="0"/>
              <w:rPr>
                <w:sz w:val="20"/>
                <w:szCs w:val="20"/>
                <w:color w:val="auto"/>
              </w:rPr>
            </w:pPr>
            <w:r>
              <w:rPr>
                <w:rFonts w:ascii="Arial" w:cs="Arial" w:eastAsia="Arial" w:hAnsi="Arial"/>
                <w:sz w:val="18"/>
                <w:szCs w:val="18"/>
                <w:color w:val="auto"/>
              </w:rPr>
              <w:t>Carrier</w:t>
            </w:r>
          </w:p>
        </w:tc>
        <w:tc>
          <w:tcPr>
            <w:tcW w:w="80" w:type="dxa"/>
            <w:vAlign w:val="bottom"/>
          </w:tcPr>
          <w:p>
            <w:pPr>
              <w:spacing w:after="0"/>
              <w:rPr>
                <w:sz w:val="18"/>
                <w:szCs w:val="18"/>
                <w:color w:val="auto"/>
              </w:rPr>
            </w:pPr>
          </w:p>
        </w:tc>
        <w:tc>
          <w:tcPr>
            <w:tcW w:w="1500" w:type="dxa"/>
            <w:vAlign w:val="bottom"/>
            <w:gridSpan w:val="2"/>
          </w:tcPr>
          <w:p>
            <w:pPr>
              <w:jc w:val="right"/>
              <w:ind w:right="660"/>
              <w:spacing w:after="0"/>
              <w:rPr>
                <w:sz w:val="20"/>
                <w:szCs w:val="20"/>
                <w:color w:val="auto"/>
              </w:rPr>
            </w:pPr>
            <w:r>
              <w:rPr>
                <w:rFonts w:ascii="Arial" w:cs="Arial" w:eastAsia="Arial" w:hAnsi="Arial"/>
                <w:sz w:val="18"/>
                <w:szCs w:val="18"/>
                <w:color w:val="auto"/>
              </w:rPr>
              <w:t>2,916</w:t>
            </w:r>
          </w:p>
        </w:tc>
        <w:tc>
          <w:tcPr>
            <w:tcW w:w="120" w:type="dxa"/>
            <w:vAlign w:val="bottom"/>
          </w:tcPr>
          <w:p>
            <w:pPr>
              <w:spacing w:after="0"/>
              <w:rPr>
                <w:sz w:val="18"/>
                <w:szCs w:val="18"/>
                <w:color w:val="auto"/>
              </w:rPr>
            </w:pPr>
          </w:p>
        </w:tc>
        <w:tc>
          <w:tcPr>
            <w:tcW w:w="960" w:type="dxa"/>
            <w:vAlign w:val="bottom"/>
            <w:gridSpan w:val="2"/>
          </w:tcPr>
          <w:p>
            <w:pPr>
              <w:jc w:val="right"/>
              <w:spacing w:after="0"/>
              <w:rPr>
                <w:sz w:val="20"/>
                <w:szCs w:val="20"/>
                <w:color w:val="auto"/>
              </w:rPr>
            </w:pPr>
            <w:r>
              <w:rPr>
                <w:rFonts w:ascii="Arial" w:cs="Arial" w:eastAsia="Arial" w:hAnsi="Arial"/>
                <w:sz w:val="18"/>
                <w:szCs w:val="18"/>
                <w:color w:val="auto"/>
              </w:rPr>
              <w:t>261</w:t>
            </w:r>
          </w:p>
        </w:tc>
        <w:tc>
          <w:tcPr>
            <w:tcW w:w="2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20" w:type="dxa"/>
            <w:vAlign w:val="bottom"/>
            <w:gridSpan w:val="3"/>
          </w:tcPr>
          <w:p>
            <w:pPr>
              <w:jc w:val="right"/>
              <w:ind w:right="292"/>
              <w:spacing w:after="0"/>
              <w:rPr>
                <w:sz w:val="20"/>
                <w:szCs w:val="20"/>
                <w:color w:val="auto"/>
              </w:rPr>
            </w:pPr>
            <w:r>
              <w:rPr>
                <w:rFonts w:ascii="Arial" w:cs="Arial" w:eastAsia="Arial" w:hAnsi="Arial"/>
                <w:sz w:val="18"/>
                <w:szCs w:val="18"/>
                <w:color w:val="auto"/>
              </w:rPr>
              <w:t>45</w:t>
            </w:r>
          </w:p>
        </w:tc>
        <w:tc>
          <w:tcPr>
            <w:tcW w:w="3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20" w:type="dxa"/>
            <w:vAlign w:val="bottom"/>
            <w:gridSpan w:val="2"/>
          </w:tcPr>
          <w:p>
            <w:pPr>
              <w:jc w:val="right"/>
              <w:spacing w:after="0"/>
              <w:rPr>
                <w:sz w:val="20"/>
                <w:szCs w:val="20"/>
                <w:color w:val="auto"/>
              </w:rPr>
            </w:pPr>
            <w:r>
              <w:rPr>
                <w:rFonts w:ascii="Arial" w:cs="Arial" w:eastAsia="Arial" w:hAnsi="Arial"/>
                <w:sz w:val="18"/>
                <w:szCs w:val="18"/>
                <w:color w:val="auto"/>
              </w:rPr>
              <w:t>3,222</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3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UTC Fire &amp; Security</w:t>
            </w:r>
          </w:p>
        </w:tc>
        <w:tc>
          <w:tcPr>
            <w:tcW w:w="80" w:type="dxa"/>
            <w:vAlign w:val="bottom"/>
            <w:shd w:val="clear" w:color="auto" w:fill="CCEEFF"/>
          </w:tcPr>
          <w:p>
            <w:pPr>
              <w:spacing w:after="0"/>
              <w:rPr>
                <w:sz w:val="18"/>
                <w:szCs w:val="18"/>
                <w:color w:val="auto"/>
              </w:rPr>
            </w:pPr>
          </w:p>
        </w:tc>
        <w:tc>
          <w:tcPr>
            <w:tcW w:w="1500" w:type="dxa"/>
            <w:vAlign w:val="bottom"/>
            <w:gridSpan w:val="2"/>
            <w:shd w:val="clear" w:color="auto" w:fill="CCEEFF"/>
          </w:tcPr>
          <w:p>
            <w:pPr>
              <w:jc w:val="right"/>
              <w:ind w:right="660"/>
              <w:spacing w:after="0"/>
              <w:rPr>
                <w:sz w:val="20"/>
                <w:szCs w:val="20"/>
                <w:color w:val="auto"/>
              </w:rPr>
            </w:pPr>
            <w:r>
              <w:rPr>
                <w:rFonts w:ascii="Arial" w:cs="Arial" w:eastAsia="Arial" w:hAnsi="Arial"/>
                <w:sz w:val="18"/>
                <w:szCs w:val="18"/>
                <w:color w:val="auto"/>
              </w:rPr>
              <w:t>5,922</w:t>
            </w:r>
          </w:p>
        </w:tc>
        <w:tc>
          <w:tcPr>
            <w:tcW w:w="12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105</w:t>
            </w:r>
          </w:p>
        </w:tc>
        <w:tc>
          <w:tcPr>
            <w:tcW w:w="26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20" w:type="dxa"/>
            <w:vAlign w:val="bottom"/>
            <w:gridSpan w:val="3"/>
            <w:shd w:val="clear" w:color="auto" w:fill="CCEEFF"/>
          </w:tcPr>
          <w:p>
            <w:pPr>
              <w:jc w:val="right"/>
              <w:ind w:right="292"/>
              <w:spacing w:after="0"/>
              <w:rPr>
                <w:sz w:val="20"/>
                <w:szCs w:val="20"/>
                <w:color w:val="auto"/>
              </w:rPr>
            </w:pPr>
            <w:r>
              <w:rPr>
                <w:rFonts w:ascii="Arial" w:cs="Arial" w:eastAsia="Arial" w:hAnsi="Arial"/>
                <w:sz w:val="18"/>
                <w:szCs w:val="18"/>
                <w:color w:val="auto"/>
              </w:rPr>
              <w:t>44</w:t>
            </w:r>
          </w:p>
        </w:tc>
        <w:tc>
          <w:tcPr>
            <w:tcW w:w="3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6,071</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340" w:type="dxa"/>
            <w:vAlign w:val="bottom"/>
            <w:gridSpan w:val="2"/>
          </w:tcPr>
          <w:p>
            <w:pPr>
              <w:spacing w:after="0"/>
              <w:rPr>
                <w:sz w:val="20"/>
                <w:szCs w:val="20"/>
                <w:color w:val="auto"/>
              </w:rPr>
            </w:pPr>
            <w:r>
              <w:rPr>
                <w:rFonts w:ascii="Arial" w:cs="Arial" w:eastAsia="Arial" w:hAnsi="Arial"/>
                <w:sz w:val="18"/>
                <w:szCs w:val="18"/>
                <w:color w:val="auto"/>
              </w:rPr>
              <w:t>Pratt &amp; Whitney</w:t>
            </w:r>
          </w:p>
        </w:tc>
        <w:tc>
          <w:tcPr>
            <w:tcW w:w="80" w:type="dxa"/>
            <w:vAlign w:val="bottom"/>
          </w:tcPr>
          <w:p>
            <w:pPr>
              <w:spacing w:after="0"/>
              <w:rPr>
                <w:sz w:val="18"/>
                <w:szCs w:val="18"/>
                <w:color w:val="auto"/>
              </w:rPr>
            </w:pPr>
          </w:p>
        </w:tc>
        <w:tc>
          <w:tcPr>
            <w:tcW w:w="1500" w:type="dxa"/>
            <w:vAlign w:val="bottom"/>
            <w:gridSpan w:val="2"/>
          </w:tcPr>
          <w:p>
            <w:pPr>
              <w:jc w:val="right"/>
              <w:ind w:right="660"/>
              <w:spacing w:after="0"/>
              <w:rPr>
                <w:sz w:val="20"/>
                <w:szCs w:val="20"/>
                <w:color w:val="auto"/>
              </w:rPr>
            </w:pPr>
            <w:r>
              <w:rPr>
                <w:rFonts w:ascii="Arial" w:cs="Arial" w:eastAsia="Arial" w:hAnsi="Arial"/>
                <w:sz w:val="18"/>
                <w:szCs w:val="18"/>
                <w:color w:val="auto"/>
              </w:rPr>
              <w:t>1,027</w:t>
            </w:r>
          </w:p>
        </w:tc>
        <w:tc>
          <w:tcPr>
            <w:tcW w:w="120" w:type="dxa"/>
            <w:vAlign w:val="bottom"/>
          </w:tcPr>
          <w:p>
            <w:pPr>
              <w:spacing w:after="0"/>
              <w:rPr>
                <w:sz w:val="18"/>
                <w:szCs w:val="18"/>
                <w:color w:val="auto"/>
              </w:rPr>
            </w:pPr>
          </w:p>
        </w:tc>
        <w:tc>
          <w:tcPr>
            <w:tcW w:w="960" w:type="dxa"/>
            <w:vAlign w:val="bottom"/>
            <w:gridSpan w:val="2"/>
          </w:tcPr>
          <w:p>
            <w:pPr>
              <w:jc w:val="right"/>
              <w:spacing w:after="0"/>
              <w:rPr>
                <w:sz w:val="20"/>
                <w:szCs w:val="20"/>
                <w:color w:val="auto"/>
              </w:rPr>
            </w:pPr>
            <w:r>
              <w:rPr>
                <w:rFonts w:ascii="Arial" w:cs="Arial" w:eastAsia="Arial" w:hAnsi="Arial"/>
                <w:sz w:val="18"/>
                <w:szCs w:val="18"/>
                <w:color w:val="auto"/>
              </w:rPr>
              <w:t>4</w:t>
            </w:r>
          </w:p>
        </w:tc>
        <w:tc>
          <w:tcPr>
            <w:tcW w:w="2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20" w:type="dxa"/>
            <w:vAlign w:val="bottom"/>
            <w:gridSpan w:val="4"/>
          </w:tcPr>
          <w:p>
            <w:pPr>
              <w:ind w:left="100"/>
              <w:spacing w:after="0"/>
              <w:rPr>
                <w:sz w:val="20"/>
                <w:szCs w:val="20"/>
                <w:color w:val="auto"/>
              </w:rPr>
            </w:pPr>
            <w:r>
              <w:rPr>
                <w:rFonts w:ascii="Arial" w:cs="Arial" w:eastAsia="Arial" w:hAnsi="Arial"/>
                <w:sz w:val="18"/>
                <w:szCs w:val="18"/>
                <w:color w:val="auto"/>
              </w:rPr>
              <w:t>—</w:t>
            </w:r>
          </w:p>
        </w:tc>
        <w:tc>
          <w:tcPr>
            <w:tcW w:w="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20" w:type="dxa"/>
            <w:vAlign w:val="bottom"/>
            <w:gridSpan w:val="2"/>
          </w:tcPr>
          <w:p>
            <w:pPr>
              <w:jc w:val="right"/>
              <w:spacing w:after="0"/>
              <w:rPr>
                <w:sz w:val="20"/>
                <w:szCs w:val="20"/>
                <w:color w:val="auto"/>
              </w:rPr>
            </w:pPr>
            <w:r>
              <w:rPr>
                <w:rFonts w:ascii="Arial" w:cs="Arial" w:eastAsia="Arial" w:hAnsi="Arial"/>
                <w:sz w:val="18"/>
                <w:szCs w:val="18"/>
                <w:color w:val="auto"/>
              </w:rPr>
              <w:t>1,031</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3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Hamilton Sundstrand</w:t>
            </w:r>
          </w:p>
        </w:tc>
        <w:tc>
          <w:tcPr>
            <w:tcW w:w="80" w:type="dxa"/>
            <w:vAlign w:val="bottom"/>
            <w:shd w:val="clear" w:color="auto" w:fill="CCEEFF"/>
          </w:tcPr>
          <w:p>
            <w:pPr>
              <w:spacing w:after="0"/>
              <w:rPr>
                <w:sz w:val="18"/>
                <w:szCs w:val="18"/>
                <w:color w:val="auto"/>
              </w:rPr>
            </w:pPr>
          </w:p>
        </w:tc>
        <w:tc>
          <w:tcPr>
            <w:tcW w:w="1500" w:type="dxa"/>
            <w:vAlign w:val="bottom"/>
            <w:gridSpan w:val="2"/>
            <w:shd w:val="clear" w:color="auto" w:fill="CCEEFF"/>
          </w:tcPr>
          <w:p>
            <w:pPr>
              <w:jc w:val="right"/>
              <w:ind w:right="660"/>
              <w:spacing w:after="0"/>
              <w:rPr>
                <w:sz w:val="20"/>
                <w:szCs w:val="20"/>
                <w:color w:val="auto"/>
              </w:rPr>
            </w:pPr>
            <w:r>
              <w:rPr>
                <w:rFonts w:ascii="Arial" w:cs="Arial" w:eastAsia="Arial" w:hAnsi="Arial"/>
                <w:sz w:val="18"/>
                <w:szCs w:val="18"/>
                <w:color w:val="auto"/>
              </w:rPr>
              <w:t>4,579</w:t>
            </w:r>
          </w:p>
        </w:tc>
        <w:tc>
          <w:tcPr>
            <w:tcW w:w="120" w:type="dxa"/>
            <w:vAlign w:val="bottom"/>
            <w:shd w:val="clear" w:color="auto" w:fill="CCEEFF"/>
          </w:tcPr>
          <w:p>
            <w:pPr>
              <w:spacing w:after="0"/>
              <w:rPr>
                <w:sz w:val="18"/>
                <w:szCs w:val="18"/>
                <w:color w:val="auto"/>
              </w:rPr>
            </w:pPr>
          </w:p>
        </w:tc>
        <w:tc>
          <w:tcPr>
            <w:tcW w:w="1540" w:type="dxa"/>
            <w:vAlign w:val="bottom"/>
            <w:gridSpan w:val="4"/>
            <w:shd w:val="clear" w:color="auto" w:fill="CCEEFF"/>
          </w:tcPr>
          <w:p>
            <w:pPr>
              <w:ind w:left="70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20" w:type="dxa"/>
            <w:vAlign w:val="bottom"/>
            <w:gridSpan w:val="3"/>
            <w:shd w:val="clear" w:color="auto" w:fill="CCEEFF"/>
          </w:tcPr>
          <w:p>
            <w:pPr>
              <w:jc w:val="right"/>
              <w:ind w:right="292"/>
              <w:spacing w:after="0"/>
              <w:rPr>
                <w:sz w:val="20"/>
                <w:szCs w:val="20"/>
                <w:color w:val="auto"/>
              </w:rPr>
            </w:pPr>
            <w:r>
              <w:rPr>
                <w:rFonts w:ascii="Arial" w:cs="Arial" w:eastAsia="Arial" w:hAnsi="Arial"/>
                <w:sz w:val="18"/>
                <w:szCs w:val="18"/>
                <w:color w:val="auto"/>
              </w:rPr>
              <w:t>11</w:t>
            </w:r>
          </w:p>
        </w:tc>
        <w:tc>
          <w:tcPr>
            <w:tcW w:w="3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4,590</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340" w:type="dxa"/>
            <w:vAlign w:val="bottom"/>
            <w:gridSpan w:val="2"/>
          </w:tcPr>
          <w:p>
            <w:pPr>
              <w:spacing w:after="0"/>
              <w:rPr>
                <w:sz w:val="20"/>
                <w:szCs w:val="20"/>
                <w:color w:val="auto"/>
              </w:rPr>
            </w:pPr>
            <w:r>
              <w:rPr>
                <w:rFonts w:ascii="Arial" w:cs="Arial" w:eastAsia="Arial" w:hAnsi="Arial"/>
                <w:sz w:val="18"/>
                <w:szCs w:val="18"/>
                <w:color w:val="auto"/>
              </w:rPr>
              <w:t>Sikorsky</w:t>
            </w:r>
          </w:p>
        </w:tc>
        <w:tc>
          <w:tcPr>
            <w:tcW w:w="80" w:type="dxa"/>
            <w:vAlign w:val="bottom"/>
          </w:tcPr>
          <w:p>
            <w:pPr>
              <w:spacing w:after="0"/>
              <w:rPr>
                <w:sz w:val="18"/>
                <w:szCs w:val="18"/>
                <w:color w:val="auto"/>
              </w:rPr>
            </w:pPr>
          </w:p>
        </w:tc>
        <w:tc>
          <w:tcPr>
            <w:tcW w:w="1500" w:type="dxa"/>
            <w:vAlign w:val="bottom"/>
            <w:gridSpan w:val="2"/>
          </w:tcPr>
          <w:p>
            <w:pPr>
              <w:jc w:val="right"/>
              <w:ind w:right="660"/>
              <w:spacing w:after="0"/>
              <w:rPr>
                <w:sz w:val="20"/>
                <w:szCs w:val="20"/>
                <w:color w:val="auto"/>
              </w:rPr>
            </w:pPr>
            <w:r>
              <w:rPr>
                <w:rFonts w:ascii="Arial" w:cs="Arial" w:eastAsia="Arial" w:hAnsi="Arial"/>
                <w:sz w:val="18"/>
                <w:szCs w:val="18"/>
                <w:color w:val="auto"/>
              </w:rPr>
              <w:t>235</w:t>
            </w:r>
          </w:p>
        </w:tc>
        <w:tc>
          <w:tcPr>
            <w:tcW w:w="120" w:type="dxa"/>
            <w:vAlign w:val="bottom"/>
          </w:tcPr>
          <w:p>
            <w:pPr>
              <w:spacing w:after="0"/>
              <w:rPr>
                <w:sz w:val="18"/>
                <w:szCs w:val="18"/>
                <w:color w:val="auto"/>
              </w:rPr>
            </w:pPr>
          </w:p>
        </w:tc>
        <w:tc>
          <w:tcPr>
            <w:tcW w:w="960" w:type="dxa"/>
            <w:vAlign w:val="bottom"/>
            <w:gridSpan w:val="2"/>
          </w:tcPr>
          <w:p>
            <w:pPr>
              <w:jc w:val="right"/>
              <w:spacing w:after="0"/>
              <w:rPr>
                <w:sz w:val="20"/>
                <w:szCs w:val="20"/>
                <w:color w:val="auto"/>
              </w:rPr>
            </w:pPr>
            <w:r>
              <w:rPr>
                <w:rFonts w:ascii="Arial" w:cs="Arial" w:eastAsia="Arial" w:hAnsi="Arial"/>
                <w:sz w:val="18"/>
                <w:szCs w:val="18"/>
                <w:color w:val="auto"/>
              </w:rPr>
              <w:t>19</w:t>
            </w:r>
          </w:p>
        </w:tc>
        <w:tc>
          <w:tcPr>
            <w:tcW w:w="2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20" w:type="dxa"/>
            <w:vAlign w:val="bottom"/>
            <w:gridSpan w:val="3"/>
          </w:tcPr>
          <w:p>
            <w:pPr>
              <w:jc w:val="right"/>
              <w:ind w:right="292"/>
              <w:spacing w:after="0"/>
              <w:rPr>
                <w:sz w:val="20"/>
                <w:szCs w:val="20"/>
                <w:color w:val="auto"/>
              </w:rPr>
            </w:pPr>
            <w:r>
              <w:rPr>
                <w:rFonts w:ascii="Arial" w:cs="Arial" w:eastAsia="Arial" w:hAnsi="Arial"/>
                <w:sz w:val="18"/>
                <w:szCs w:val="18"/>
                <w:color w:val="auto"/>
              </w:rPr>
              <w:t>15</w:t>
            </w:r>
          </w:p>
        </w:tc>
        <w:tc>
          <w:tcPr>
            <w:tcW w:w="3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20" w:type="dxa"/>
            <w:vAlign w:val="bottom"/>
            <w:gridSpan w:val="2"/>
          </w:tcPr>
          <w:p>
            <w:pPr>
              <w:jc w:val="right"/>
              <w:spacing w:after="0"/>
              <w:rPr>
                <w:sz w:val="20"/>
                <w:szCs w:val="20"/>
                <w:color w:val="auto"/>
              </w:rPr>
            </w:pPr>
            <w:r>
              <w:rPr>
                <w:rFonts w:ascii="Arial" w:cs="Arial" w:eastAsia="Arial" w:hAnsi="Arial"/>
                <w:sz w:val="18"/>
                <w:szCs w:val="18"/>
                <w:color w:val="auto"/>
              </w:rPr>
              <w:t>269</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1340" w:type="dxa"/>
            <w:vAlign w:val="bottom"/>
          </w:tcPr>
          <w:p>
            <w:pPr>
              <w:spacing w:after="0"/>
              <w:rPr>
                <w:sz w:val="2"/>
                <w:szCs w:val="2"/>
                <w:color w:val="auto"/>
              </w:rPr>
            </w:pPr>
          </w:p>
        </w:tc>
        <w:tc>
          <w:tcPr>
            <w:tcW w:w="400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840" w:type="dxa"/>
            <w:vAlign w:val="bottom"/>
            <w:shd w:val="clear" w:color="auto" w:fill="000000"/>
          </w:tcPr>
          <w:p>
            <w:pPr>
              <w:spacing w:after="0"/>
              <w:rPr>
                <w:sz w:val="2"/>
                <w:szCs w:val="2"/>
                <w:color w:val="auto"/>
              </w:rPr>
            </w:pPr>
          </w:p>
        </w:tc>
        <w:tc>
          <w:tcPr>
            <w:tcW w:w="66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720" w:type="dxa"/>
            <w:vAlign w:val="bottom"/>
            <w:shd w:val="clear" w:color="auto" w:fill="000000"/>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260" w:type="dxa"/>
            <w:vAlign w:val="bottom"/>
          </w:tcPr>
          <w:p>
            <w:pPr>
              <w:spacing w:after="0"/>
              <w:rPr>
                <w:sz w:val="2"/>
                <w:szCs w:val="2"/>
                <w:color w:val="auto"/>
              </w:rPr>
            </w:pPr>
          </w:p>
        </w:tc>
        <w:tc>
          <w:tcPr>
            <w:tcW w:w="320" w:type="dxa"/>
            <w:vAlign w:val="bottom"/>
          </w:tcPr>
          <w:p>
            <w:pPr>
              <w:spacing w:after="0"/>
              <w:rPr>
                <w:sz w:val="2"/>
                <w:szCs w:val="2"/>
                <w:color w:val="auto"/>
              </w:rPr>
            </w:pPr>
          </w:p>
        </w:tc>
        <w:tc>
          <w:tcPr>
            <w:tcW w:w="8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600" w:type="dxa"/>
            <w:vAlign w:val="bottom"/>
            <w:shd w:val="clear" w:color="auto" w:fill="000000"/>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220" w:type="dxa"/>
            <w:vAlign w:val="bottom"/>
            <w:shd w:val="clear" w:color="auto" w:fill="000000"/>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360" w:type="dxa"/>
            <w:vAlign w:val="bottom"/>
          </w:tcPr>
          <w:p>
            <w:pPr>
              <w:spacing w:after="0"/>
              <w:rPr>
                <w:sz w:val="2"/>
                <w:szCs w:val="2"/>
                <w:color w:val="auto"/>
              </w:rPr>
            </w:pPr>
          </w:p>
        </w:tc>
        <w:tc>
          <w:tcPr>
            <w:tcW w:w="300" w:type="dxa"/>
            <w:vAlign w:val="bottom"/>
          </w:tcPr>
          <w:p>
            <w:pPr>
              <w:spacing w:after="0"/>
              <w:rPr>
                <w:sz w:val="2"/>
                <w:szCs w:val="2"/>
                <w:color w:val="auto"/>
              </w:rPr>
            </w:pPr>
          </w:p>
        </w:tc>
        <w:tc>
          <w:tcPr>
            <w:tcW w:w="60" w:type="dxa"/>
            <w:vAlign w:val="bottom"/>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560" w:type="dxa"/>
            <w:vAlign w:val="bottom"/>
            <w:shd w:val="clear" w:color="auto" w:fill="000000"/>
          </w:tcPr>
          <w:p>
            <w:pPr>
              <w:spacing w:after="0"/>
              <w:rPr>
                <w:sz w:val="2"/>
                <w:szCs w:val="2"/>
                <w:color w:val="auto"/>
              </w:rPr>
            </w:pPr>
          </w:p>
        </w:tc>
        <w:tc>
          <w:tcPr>
            <w:tcW w:w="60" w:type="dxa"/>
            <w:vAlign w:val="bottom"/>
            <w:shd w:val="clear" w:color="auto" w:fill="000000"/>
          </w:tcPr>
          <w:p>
            <w:pPr>
              <w:spacing w:after="0"/>
              <w:rPr>
                <w:sz w:val="2"/>
                <w:szCs w:val="2"/>
                <w:color w:val="auto"/>
              </w:rPr>
            </w:pPr>
          </w:p>
        </w:tc>
        <w:tc>
          <w:tcPr>
            <w:tcW w:w="20" w:type="dxa"/>
            <w:vAlign w:val="bottom"/>
            <w:vMerge w:val="restart"/>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53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Total Segments</w:t>
            </w:r>
          </w:p>
        </w:tc>
        <w:tc>
          <w:tcPr>
            <w:tcW w:w="80" w:type="dxa"/>
            <w:vAlign w:val="bottom"/>
            <w:shd w:val="clear" w:color="auto" w:fill="CCEEFF"/>
          </w:tcPr>
          <w:p>
            <w:pPr>
              <w:spacing w:after="0"/>
              <w:rPr>
                <w:sz w:val="18"/>
                <w:szCs w:val="18"/>
                <w:color w:val="auto"/>
              </w:rPr>
            </w:pPr>
          </w:p>
        </w:tc>
        <w:tc>
          <w:tcPr>
            <w:tcW w:w="1500" w:type="dxa"/>
            <w:vAlign w:val="bottom"/>
            <w:gridSpan w:val="2"/>
            <w:shd w:val="clear" w:color="auto" w:fill="CCEEFF"/>
          </w:tcPr>
          <w:p>
            <w:pPr>
              <w:jc w:val="right"/>
              <w:ind w:right="660"/>
              <w:spacing w:after="0"/>
              <w:rPr>
                <w:sz w:val="20"/>
                <w:szCs w:val="20"/>
                <w:color w:val="auto"/>
              </w:rPr>
            </w:pPr>
            <w:r>
              <w:rPr>
                <w:rFonts w:ascii="Arial" w:cs="Arial" w:eastAsia="Arial" w:hAnsi="Arial"/>
                <w:sz w:val="18"/>
                <w:szCs w:val="18"/>
                <w:color w:val="auto"/>
              </w:rPr>
              <w:t>16,020</w:t>
            </w:r>
          </w:p>
        </w:tc>
        <w:tc>
          <w:tcPr>
            <w:tcW w:w="12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416</w:t>
            </w:r>
          </w:p>
        </w:tc>
        <w:tc>
          <w:tcPr>
            <w:tcW w:w="26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20" w:type="dxa"/>
            <w:vAlign w:val="bottom"/>
            <w:gridSpan w:val="3"/>
            <w:shd w:val="clear" w:color="auto" w:fill="CCEEFF"/>
          </w:tcPr>
          <w:p>
            <w:pPr>
              <w:jc w:val="right"/>
              <w:ind w:right="292"/>
              <w:spacing w:after="0"/>
              <w:rPr>
                <w:sz w:val="20"/>
                <w:szCs w:val="20"/>
                <w:color w:val="auto"/>
              </w:rPr>
            </w:pPr>
            <w:r>
              <w:rPr>
                <w:rFonts w:ascii="Arial" w:cs="Arial" w:eastAsia="Arial" w:hAnsi="Arial"/>
                <w:sz w:val="18"/>
                <w:szCs w:val="18"/>
                <w:color w:val="auto"/>
              </w:rPr>
              <w:t>80</w:t>
            </w:r>
          </w:p>
        </w:tc>
        <w:tc>
          <w:tcPr>
            <w:tcW w:w="3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16,516</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340" w:type="dxa"/>
            <w:vAlign w:val="bottom"/>
            <w:gridSpan w:val="2"/>
          </w:tcPr>
          <w:p>
            <w:pPr>
              <w:spacing w:after="0"/>
              <w:rPr>
                <w:sz w:val="20"/>
                <w:szCs w:val="20"/>
                <w:color w:val="auto"/>
              </w:rPr>
            </w:pPr>
            <w:r>
              <w:rPr>
                <w:rFonts w:ascii="Arial" w:cs="Arial" w:eastAsia="Arial" w:hAnsi="Arial"/>
                <w:sz w:val="18"/>
                <w:szCs w:val="18"/>
                <w:color w:val="auto"/>
              </w:rPr>
              <w:t>Eliminations &amp; Other</w:t>
            </w:r>
          </w:p>
        </w:tc>
        <w:tc>
          <w:tcPr>
            <w:tcW w:w="80" w:type="dxa"/>
            <w:vAlign w:val="bottom"/>
          </w:tcPr>
          <w:p>
            <w:pPr>
              <w:spacing w:after="0"/>
              <w:rPr>
                <w:sz w:val="18"/>
                <w:szCs w:val="18"/>
                <w:color w:val="auto"/>
              </w:rPr>
            </w:pPr>
          </w:p>
        </w:tc>
        <w:tc>
          <w:tcPr>
            <w:tcW w:w="1500" w:type="dxa"/>
            <w:vAlign w:val="bottom"/>
            <w:gridSpan w:val="2"/>
          </w:tcPr>
          <w:p>
            <w:pPr>
              <w:jc w:val="right"/>
              <w:ind w:right="660"/>
              <w:spacing w:after="0"/>
              <w:rPr>
                <w:sz w:val="20"/>
                <w:szCs w:val="20"/>
                <w:color w:val="auto"/>
              </w:rPr>
            </w:pPr>
            <w:r>
              <w:rPr>
                <w:rFonts w:ascii="Arial" w:cs="Arial" w:eastAsia="Arial" w:hAnsi="Arial"/>
                <w:sz w:val="18"/>
                <w:szCs w:val="18"/>
                <w:color w:val="auto"/>
              </w:rPr>
              <w:t>100</w:t>
            </w:r>
          </w:p>
        </w:tc>
        <w:tc>
          <w:tcPr>
            <w:tcW w:w="120" w:type="dxa"/>
            <w:vAlign w:val="bottom"/>
          </w:tcPr>
          <w:p>
            <w:pPr>
              <w:spacing w:after="0"/>
              <w:rPr>
                <w:sz w:val="18"/>
                <w:szCs w:val="18"/>
                <w:color w:val="auto"/>
              </w:rPr>
            </w:pPr>
          </w:p>
        </w:tc>
        <w:tc>
          <w:tcPr>
            <w:tcW w:w="960" w:type="dxa"/>
            <w:vAlign w:val="bottom"/>
            <w:gridSpan w:val="2"/>
          </w:tcPr>
          <w:p>
            <w:pPr>
              <w:jc w:val="right"/>
              <w:spacing w:after="0"/>
              <w:rPr>
                <w:sz w:val="20"/>
                <w:szCs w:val="20"/>
                <w:color w:val="auto"/>
              </w:rPr>
            </w:pPr>
            <w:r>
              <w:rPr>
                <w:rFonts w:ascii="Arial" w:cs="Arial" w:eastAsia="Arial" w:hAnsi="Arial"/>
                <w:sz w:val="18"/>
                <w:szCs w:val="18"/>
                <w:color w:val="auto"/>
              </w:rPr>
              <w:t>1</w:t>
            </w:r>
          </w:p>
        </w:tc>
        <w:tc>
          <w:tcPr>
            <w:tcW w:w="2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20" w:type="dxa"/>
            <w:vAlign w:val="bottom"/>
            <w:gridSpan w:val="3"/>
          </w:tcPr>
          <w:p>
            <w:pPr>
              <w:jc w:val="right"/>
              <w:ind w:right="292"/>
              <w:spacing w:after="0"/>
              <w:rPr>
                <w:sz w:val="20"/>
                <w:szCs w:val="20"/>
                <w:color w:val="auto"/>
              </w:rPr>
            </w:pPr>
            <w:r>
              <w:rPr>
                <w:rFonts w:ascii="Arial" w:cs="Arial" w:eastAsia="Arial" w:hAnsi="Arial"/>
                <w:sz w:val="18"/>
                <w:szCs w:val="18"/>
                <w:color w:val="auto"/>
              </w:rPr>
              <w:t>2</w:t>
            </w:r>
          </w:p>
        </w:tc>
        <w:tc>
          <w:tcPr>
            <w:tcW w:w="3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20" w:type="dxa"/>
            <w:vAlign w:val="bottom"/>
            <w:gridSpan w:val="2"/>
          </w:tcPr>
          <w:p>
            <w:pPr>
              <w:jc w:val="right"/>
              <w:spacing w:after="0"/>
              <w:rPr>
                <w:sz w:val="20"/>
                <w:szCs w:val="20"/>
                <w:color w:val="auto"/>
              </w:rPr>
            </w:pPr>
            <w:r>
              <w:rPr>
                <w:rFonts w:ascii="Arial" w:cs="Arial" w:eastAsia="Arial" w:hAnsi="Arial"/>
                <w:sz w:val="18"/>
                <w:szCs w:val="18"/>
                <w:color w:val="auto"/>
              </w:rPr>
              <w:t>103</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1340" w:type="dxa"/>
            <w:vAlign w:val="bottom"/>
          </w:tcPr>
          <w:p>
            <w:pPr>
              <w:spacing w:after="0"/>
              <w:rPr>
                <w:sz w:val="2"/>
                <w:szCs w:val="2"/>
                <w:color w:val="auto"/>
              </w:rPr>
            </w:pPr>
          </w:p>
        </w:tc>
        <w:tc>
          <w:tcPr>
            <w:tcW w:w="400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840" w:type="dxa"/>
            <w:vAlign w:val="bottom"/>
            <w:shd w:val="clear" w:color="auto" w:fill="000000"/>
          </w:tcPr>
          <w:p>
            <w:pPr>
              <w:spacing w:after="0"/>
              <w:rPr>
                <w:sz w:val="2"/>
                <w:szCs w:val="2"/>
                <w:color w:val="auto"/>
              </w:rPr>
            </w:pPr>
          </w:p>
        </w:tc>
        <w:tc>
          <w:tcPr>
            <w:tcW w:w="66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720" w:type="dxa"/>
            <w:vAlign w:val="bottom"/>
            <w:shd w:val="clear" w:color="auto" w:fill="000000"/>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260" w:type="dxa"/>
            <w:vAlign w:val="bottom"/>
          </w:tcPr>
          <w:p>
            <w:pPr>
              <w:spacing w:after="0"/>
              <w:rPr>
                <w:sz w:val="2"/>
                <w:szCs w:val="2"/>
                <w:color w:val="auto"/>
              </w:rPr>
            </w:pPr>
          </w:p>
        </w:tc>
        <w:tc>
          <w:tcPr>
            <w:tcW w:w="320" w:type="dxa"/>
            <w:vAlign w:val="bottom"/>
          </w:tcPr>
          <w:p>
            <w:pPr>
              <w:spacing w:after="0"/>
              <w:rPr>
                <w:sz w:val="2"/>
                <w:szCs w:val="2"/>
                <w:color w:val="auto"/>
              </w:rPr>
            </w:pPr>
          </w:p>
        </w:tc>
        <w:tc>
          <w:tcPr>
            <w:tcW w:w="8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600" w:type="dxa"/>
            <w:vAlign w:val="bottom"/>
            <w:shd w:val="clear" w:color="auto" w:fill="000000"/>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220" w:type="dxa"/>
            <w:vAlign w:val="bottom"/>
            <w:shd w:val="clear" w:color="auto" w:fill="000000"/>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360" w:type="dxa"/>
            <w:vAlign w:val="bottom"/>
          </w:tcPr>
          <w:p>
            <w:pPr>
              <w:spacing w:after="0"/>
              <w:rPr>
                <w:sz w:val="2"/>
                <w:szCs w:val="2"/>
                <w:color w:val="auto"/>
              </w:rPr>
            </w:pPr>
          </w:p>
        </w:tc>
        <w:tc>
          <w:tcPr>
            <w:tcW w:w="300" w:type="dxa"/>
            <w:vAlign w:val="bottom"/>
          </w:tcPr>
          <w:p>
            <w:pPr>
              <w:spacing w:after="0"/>
              <w:rPr>
                <w:sz w:val="2"/>
                <w:szCs w:val="2"/>
                <w:color w:val="auto"/>
              </w:rPr>
            </w:pPr>
          </w:p>
        </w:tc>
        <w:tc>
          <w:tcPr>
            <w:tcW w:w="60" w:type="dxa"/>
            <w:vAlign w:val="bottom"/>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560" w:type="dxa"/>
            <w:vAlign w:val="bottom"/>
            <w:shd w:val="clear" w:color="auto" w:fill="000000"/>
          </w:tcPr>
          <w:p>
            <w:pPr>
              <w:spacing w:after="0"/>
              <w:rPr>
                <w:sz w:val="2"/>
                <w:szCs w:val="2"/>
                <w:color w:val="auto"/>
              </w:rPr>
            </w:pPr>
          </w:p>
        </w:tc>
        <w:tc>
          <w:tcPr>
            <w:tcW w:w="60" w:type="dxa"/>
            <w:vAlign w:val="bottom"/>
            <w:shd w:val="clear" w:color="auto" w:fill="000000"/>
          </w:tcPr>
          <w:p>
            <w:pPr>
              <w:spacing w:after="0"/>
              <w:rPr>
                <w:sz w:val="2"/>
                <w:szCs w:val="2"/>
                <w:color w:val="auto"/>
              </w:rPr>
            </w:pPr>
          </w:p>
        </w:tc>
        <w:tc>
          <w:tcPr>
            <w:tcW w:w="20" w:type="dxa"/>
            <w:vAlign w:val="bottom"/>
            <w:vMerge w:val="restart"/>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tcPr>
          <w:p>
            <w:pPr>
              <w:spacing w:after="0"/>
              <w:rPr>
                <w:sz w:val="18"/>
                <w:szCs w:val="18"/>
                <w:color w:val="auto"/>
              </w:rPr>
            </w:pPr>
          </w:p>
        </w:tc>
        <w:tc>
          <w:tcPr>
            <w:tcW w:w="5340" w:type="dxa"/>
            <w:vAlign w:val="bottom"/>
            <w:gridSpan w:val="2"/>
            <w:shd w:val="clear" w:color="auto" w:fill="CCEEFF"/>
          </w:tcPr>
          <w:p>
            <w:pPr>
              <w:ind w:left="420"/>
              <w:spacing w:after="0"/>
              <w:rPr>
                <w:sz w:val="20"/>
                <w:szCs w:val="20"/>
                <w:color w:val="auto"/>
              </w:rPr>
            </w:pPr>
            <w:r>
              <w:rPr>
                <w:rFonts w:ascii="Arial" w:cs="Arial" w:eastAsia="Arial" w:hAnsi="Arial"/>
                <w:sz w:val="18"/>
                <w:szCs w:val="18"/>
                <w:color w:val="auto"/>
              </w:rPr>
              <w:t>Total</w:t>
            </w:r>
          </w:p>
        </w:tc>
        <w:tc>
          <w:tcPr>
            <w:tcW w:w="80" w:type="dxa"/>
            <w:vAlign w:val="bottom"/>
            <w:shd w:val="clear" w:color="auto" w:fill="CCEEFF"/>
          </w:tcPr>
          <w:p>
            <w:pPr>
              <w:spacing w:after="0"/>
              <w:rPr>
                <w:sz w:val="20"/>
                <w:szCs w:val="20"/>
                <w:color w:val="auto"/>
              </w:rPr>
            </w:pPr>
            <w:r>
              <w:rPr>
                <w:rFonts w:ascii="Arial" w:cs="Arial" w:eastAsia="Arial" w:hAnsi="Arial"/>
                <w:sz w:val="15"/>
                <w:szCs w:val="15"/>
                <w:color w:val="auto"/>
                <w:w w:val="71"/>
              </w:rPr>
              <w:t>$</w:t>
            </w:r>
          </w:p>
        </w:tc>
        <w:tc>
          <w:tcPr>
            <w:tcW w:w="1500" w:type="dxa"/>
            <w:vAlign w:val="bottom"/>
            <w:gridSpan w:val="2"/>
            <w:shd w:val="clear" w:color="auto" w:fill="CCEEFF"/>
          </w:tcPr>
          <w:p>
            <w:pPr>
              <w:jc w:val="right"/>
              <w:ind w:right="660"/>
              <w:spacing w:after="0"/>
              <w:rPr>
                <w:sz w:val="20"/>
                <w:szCs w:val="20"/>
                <w:color w:val="auto"/>
              </w:rPr>
            </w:pPr>
            <w:r>
              <w:rPr>
                <w:rFonts w:ascii="Arial" w:cs="Arial" w:eastAsia="Arial" w:hAnsi="Arial"/>
                <w:sz w:val="18"/>
                <w:szCs w:val="18"/>
                <w:color w:val="auto"/>
              </w:rPr>
              <w:t>16,120</w:t>
            </w:r>
          </w:p>
        </w:tc>
        <w:tc>
          <w:tcPr>
            <w:tcW w:w="120" w:type="dxa"/>
            <w:vAlign w:val="bottom"/>
            <w:shd w:val="clear" w:color="auto" w:fill="CCEEFF"/>
          </w:tcPr>
          <w:p>
            <w:pPr>
              <w:spacing w:after="0"/>
              <w:rPr>
                <w:sz w:val="20"/>
                <w:szCs w:val="20"/>
                <w:color w:val="auto"/>
              </w:rPr>
            </w:pPr>
            <w:r>
              <w:rPr>
                <w:rFonts w:ascii="Arial" w:cs="Arial" w:eastAsia="Arial" w:hAnsi="Arial"/>
                <w:sz w:val="18"/>
                <w:szCs w:val="18"/>
                <w:color w:val="auto"/>
                <w:w w:val="99"/>
              </w:rPr>
              <w:t>$</w:t>
            </w:r>
          </w:p>
        </w:tc>
        <w:tc>
          <w:tcPr>
            <w:tcW w:w="9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417</w:t>
            </w:r>
          </w:p>
        </w:tc>
        <w:tc>
          <w:tcPr>
            <w:tcW w:w="26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80" w:type="dxa"/>
            <w:vAlign w:val="bottom"/>
            <w:gridSpan w:val="2"/>
            <w:shd w:val="clear" w:color="auto" w:fill="CCEEFF"/>
          </w:tcPr>
          <w:p>
            <w:pPr>
              <w:ind w:left="80"/>
              <w:spacing w:after="0"/>
              <w:rPr>
                <w:sz w:val="20"/>
                <w:szCs w:val="20"/>
                <w:color w:val="auto"/>
              </w:rPr>
            </w:pPr>
            <w:r>
              <w:rPr>
                <w:rFonts w:ascii="Arial" w:cs="Arial" w:eastAsia="Arial" w:hAnsi="Arial"/>
                <w:sz w:val="18"/>
                <w:szCs w:val="18"/>
                <w:color w:val="auto"/>
                <w:w w:val="79"/>
              </w:rPr>
              <w:t>$</w:t>
            </w:r>
          </w:p>
        </w:tc>
        <w:tc>
          <w:tcPr>
            <w:tcW w:w="6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20" w:type="dxa"/>
            <w:vAlign w:val="bottom"/>
            <w:gridSpan w:val="3"/>
            <w:shd w:val="clear" w:color="auto" w:fill="CCEEFF"/>
          </w:tcPr>
          <w:p>
            <w:pPr>
              <w:jc w:val="right"/>
              <w:ind w:right="292"/>
              <w:spacing w:after="0"/>
              <w:rPr>
                <w:sz w:val="20"/>
                <w:szCs w:val="20"/>
                <w:color w:val="auto"/>
              </w:rPr>
            </w:pPr>
            <w:r>
              <w:rPr>
                <w:rFonts w:ascii="Arial" w:cs="Arial" w:eastAsia="Arial" w:hAnsi="Arial"/>
                <w:sz w:val="18"/>
                <w:szCs w:val="18"/>
                <w:color w:val="auto"/>
              </w:rPr>
              <w:t>82</w:t>
            </w:r>
          </w:p>
        </w:tc>
        <w:tc>
          <w:tcPr>
            <w:tcW w:w="300" w:type="dxa"/>
            <w:vAlign w:val="bottom"/>
            <w:shd w:val="clear" w:color="auto" w:fill="CCEEFF"/>
          </w:tcPr>
          <w:p>
            <w:pPr>
              <w:spacing w:after="0"/>
              <w:rPr>
                <w:sz w:val="18"/>
                <w:szCs w:val="18"/>
                <w:color w:val="auto"/>
              </w:rPr>
            </w:pPr>
          </w:p>
        </w:tc>
        <w:tc>
          <w:tcPr>
            <w:tcW w:w="240" w:type="dxa"/>
            <w:vAlign w:val="bottom"/>
            <w:gridSpan w:val="2"/>
            <w:shd w:val="clear" w:color="auto" w:fill="CCEEFF"/>
          </w:tcPr>
          <w:p>
            <w:pPr>
              <w:ind w:left="60"/>
              <w:spacing w:after="0"/>
              <w:rPr>
                <w:sz w:val="20"/>
                <w:szCs w:val="20"/>
                <w:color w:val="auto"/>
              </w:rPr>
            </w:pPr>
            <w:r>
              <w:rPr>
                <w:rFonts w:ascii="Arial" w:cs="Arial" w:eastAsia="Arial" w:hAnsi="Arial"/>
                <w:sz w:val="18"/>
                <w:szCs w:val="18"/>
                <w:color w:val="auto"/>
              </w:rPr>
              <w:t>$</w:t>
            </w:r>
          </w:p>
        </w:tc>
        <w:tc>
          <w:tcPr>
            <w:tcW w:w="6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16,619</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5360" w:type="dxa"/>
            <w:vAlign w:val="bottom"/>
            <w:gridSpan w:val="3"/>
          </w:tcPr>
          <w:p>
            <w:pPr>
              <w:spacing w:after="0" w:line="20" w:lineRule="exact"/>
              <w:rPr>
                <w:sz w:val="1"/>
                <w:szCs w:val="1"/>
                <w:color w:val="auto"/>
              </w:rPr>
            </w:pPr>
          </w:p>
        </w:tc>
        <w:tc>
          <w:tcPr>
            <w:tcW w:w="920" w:type="dxa"/>
            <w:vAlign w:val="bottom"/>
            <w:tcBorders>
              <w:top w:val="single" w:sz="8" w:color="auto"/>
              <w:bottom w:val="single" w:sz="8" w:color="auto"/>
            </w:tcBorders>
            <w:gridSpan w:val="2"/>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70"/>
        </w:trPr>
        <w:tc>
          <w:tcPr>
            <w:tcW w:w="6940" w:type="dxa"/>
            <w:vAlign w:val="bottom"/>
            <w:gridSpan w:val="6"/>
          </w:tcPr>
          <w:p>
            <w:pPr>
              <w:spacing w:after="0"/>
              <w:rPr>
                <w:sz w:val="20"/>
                <w:szCs w:val="20"/>
                <w:color w:val="auto"/>
              </w:rPr>
            </w:pPr>
            <w:r>
              <w:rPr>
                <w:rFonts w:ascii="Arial" w:cs="Arial" w:eastAsia="Arial" w:hAnsi="Arial"/>
                <w:sz w:val="18"/>
                <w:szCs w:val="18"/>
                <w:b w:val="1"/>
                <w:bCs w:val="1"/>
                <w:color w:val="auto"/>
              </w:rPr>
              <w:t xml:space="preserve">Intangible Assets. </w:t>
            </w:r>
            <w:r>
              <w:rPr>
                <w:rFonts w:ascii="Arial" w:cs="Arial" w:eastAsia="Arial" w:hAnsi="Arial"/>
                <w:sz w:val="18"/>
                <w:szCs w:val="18"/>
                <w:color w:val="auto"/>
              </w:rPr>
              <w:t>Identifiable intangible assets are comprised of the following:</w:t>
            </w:r>
          </w:p>
        </w:tc>
        <w:tc>
          <w:tcPr>
            <w:tcW w:w="12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53"/>
        </w:trPr>
        <w:tc>
          <w:tcPr>
            <w:tcW w:w="2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40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520" w:type="dxa"/>
            <w:vAlign w:val="bottom"/>
            <w:gridSpan w:val="6"/>
          </w:tcPr>
          <w:p>
            <w:pPr>
              <w:jc w:val="right"/>
              <w:ind w:right="560"/>
              <w:spacing w:after="0"/>
              <w:rPr>
                <w:sz w:val="20"/>
                <w:szCs w:val="20"/>
                <w:color w:val="auto"/>
              </w:rPr>
            </w:pPr>
            <w:r>
              <w:rPr>
                <w:rFonts w:ascii="Arial" w:cs="Arial" w:eastAsia="Arial" w:hAnsi="Arial"/>
                <w:sz w:val="14"/>
                <w:szCs w:val="14"/>
                <w:b w:val="1"/>
                <w:bCs w:val="1"/>
                <w:color w:val="auto"/>
              </w:rPr>
              <w:t>June 30, 2008</w:t>
            </w:r>
          </w:p>
        </w:tc>
        <w:tc>
          <w:tcPr>
            <w:tcW w:w="2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540" w:type="dxa"/>
            <w:vAlign w:val="bottom"/>
            <w:gridSpan w:val="7"/>
          </w:tcPr>
          <w:p>
            <w:pPr>
              <w:ind w:left="120"/>
              <w:spacing w:after="0"/>
              <w:rPr>
                <w:sz w:val="20"/>
                <w:szCs w:val="20"/>
                <w:color w:val="auto"/>
              </w:rPr>
            </w:pPr>
            <w:r>
              <w:rPr>
                <w:rFonts w:ascii="Arial" w:cs="Arial" w:eastAsia="Arial" w:hAnsi="Arial"/>
                <w:sz w:val="14"/>
                <w:szCs w:val="14"/>
                <w:b w:val="1"/>
                <w:bCs w:val="1"/>
                <w:color w:val="auto"/>
              </w:rPr>
              <w:t>December 31, 2007</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40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20" w:type="dxa"/>
            <w:vAlign w:val="bottom"/>
            <w:tcBorders>
              <w:top w:val="single" w:sz="8" w:color="auto"/>
            </w:tcBorders>
            <w:gridSpan w:val="3"/>
          </w:tcPr>
          <w:p>
            <w:pPr>
              <w:jc w:val="center"/>
              <w:ind w:right="320"/>
              <w:spacing w:after="0" w:line="129" w:lineRule="exact"/>
              <w:rPr>
                <w:sz w:val="20"/>
                <w:szCs w:val="20"/>
                <w:color w:val="auto"/>
              </w:rPr>
            </w:pPr>
            <w:r>
              <w:rPr>
                <w:rFonts w:ascii="Arial" w:cs="Arial" w:eastAsia="Arial" w:hAnsi="Arial"/>
                <w:sz w:val="14"/>
                <w:szCs w:val="14"/>
                <w:b w:val="1"/>
                <w:bCs w:val="1"/>
                <w:color w:val="auto"/>
                <w:w w:val="83"/>
              </w:rPr>
              <w:t>Gross</w:t>
            </w:r>
          </w:p>
        </w:tc>
        <w:tc>
          <w:tcPr>
            <w:tcW w:w="780" w:type="dxa"/>
            <w:vAlign w:val="bottom"/>
            <w:tcBorders>
              <w:top w:val="single" w:sz="8" w:color="auto"/>
            </w:tcBorders>
            <w:gridSpan w:val="3"/>
          </w:tcPr>
          <w:p>
            <w:pPr>
              <w:spacing w:after="0" w:line="129" w:lineRule="exact"/>
              <w:rPr>
                <w:sz w:val="20"/>
                <w:szCs w:val="20"/>
                <w:color w:val="auto"/>
              </w:rPr>
            </w:pPr>
            <w:r>
              <w:rPr>
                <w:rFonts w:ascii="Arial" w:cs="Arial" w:eastAsia="Arial" w:hAnsi="Arial"/>
                <w:sz w:val="14"/>
                <w:szCs w:val="14"/>
                <w:b w:val="1"/>
                <w:bCs w:val="1"/>
                <w:color w:val="auto"/>
                <w:w w:val="86"/>
              </w:rPr>
              <w:t>Accumulated</w:t>
            </w:r>
          </w:p>
        </w:tc>
        <w:tc>
          <w:tcPr>
            <w:tcW w:w="1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800" w:type="dxa"/>
            <w:vAlign w:val="bottom"/>
            <w:tcBorders>
              <w:top w:val="single" w:sz="8" w:color="auto"/>
            </w:tcBorders>
            <w:gridSpan w:val="3"/>
          </w:tcPr>
          <w:p>
            <w:pPr>
              <w:jc w:val="center"/>
              <w:ind w:right="300"/>
              <w:spacing w:after="0" w:line="129" w:lineRule="exact"/>
              <w:rPr>
                <w:sz w:val="20"/>
                <w:szCs w:val="20"/>
                <w:color w:val="auto"/>
              </w:rPr>
            </w:pPr>
            <w:r>
              <w:rPr>
                <w:rFonts w:ascii="Arial" w:cs="Arial" w:eastAsia="Arial" w:hAnsi="Arial"/>
                <w:sz w:val="14"/>
                <w:szCs w:val="14"/>
                <w:b w:val="1"/>
                <w:bCs w:val="1"/>
                <w:color w:val="auto"/>
                <w:w w:val="83"/>
              </w:rPr>
              <w:t>Gross</w:t>
            </w:r>
          </w:p>
        </w:tc>
        <w:tc>
          <w:tcPr>
            <w:tcW w:w="800" w:type="dxa"/>
            <w:vAlign w:val="bottom"/>
            <w:tcBorders>
              <w:top w:val="single" w:sz="8" w:color="auto"/>
            </w:tcBorders>
            <w:gridSpan w:val="3"/>
          </w:tcPr>
          <w:p>
            <w:pPr>
              <w:ind w:left="20"/>
              <w:spacing w:after="0" w:line="129" w:lineRule="exact"/>
              <w:rPr>
                <w:sz w:val="20"/>
                <w:szCs w:val="20"/>
                <w:color w:val="auto"/>
              </w:rPr>
            </w:pPr>
            <w:r>
              <w:rPr>
                <w:rFonts w:ascii="Arial" w:cs="Arial" w:eastAsia="Arial" w:hAnsi="Arial"/>
                <w:sz w:val="14"/>
                <w:szCs w:val="14"/>
                <w:b w:val="1"/>
                <w:bCs w:val="1"/>
                <w:color w:val="auto"/>
                <w:w w:val="86"/>
              </w:rPr>
              <w:t>Accumulated</w:t>
            </w:r>
          </w:p>
        </w:tc>
        <w:tc>
          <w:tcPr>
            <w:tcW w:w="80" w:type="dxa"/>
            <w:vAlign w:val="bottom"/>
            <w:gridSpan w:val="2"/>
          </w:tcPr>
          <w:p>
            <w:pPr>
              <w:spacing w:after="0"/>
              <w:rPr>
                <w:sz w:val="11"/>
                <w:szCs w:val="11"/>
                <w:color w:val="auto"/>
              </w:rPr>
            </w:pPr>
          </w:p>
        </w:tc>
        <w:tc>
          <w:tcPr>
            <w:tcW w:w="0" w:type="dxa"/>
            <w:vAlign w:val="bottom"/>
          </w:tcPr>
          <w:p>
            <w:pPr>
              <w:spacing w:after="0"/>
              <w:rPr>
                <w:sz w:val="1"/>
                <w:szCs w:val="1"/>
                <w:color w:val="auto"/>
              </w:rPr>
            </w:pPr>
          </w:p>
        </w:tc>
      </w:tr>
      <w:tr>
        <w:trPr>
          <w:trHeight w:val="161"/>
        </w:trPr>
        <w:tc>
          <w:tcPr>
            <w:tcW w:w="5360" w:type="dxa"/>
            <w:vAlign w:val="bottom"/>
            <w:gridSpan w:val="3"/>
          </w:tcPr>
          <w:p>
            <w:pPr>
              <w:spacing w:after="0"/>
              <w:rPr>
                <w:sz w:val="20"/>
                <w:szCs w:val="20"/>
                <w:color w:val="auto"/>
              </w:rPr>
            </w:pPr>
            <w:r>
              <w:rPr>
                <w:rFonts w:ascii="Arial" w:cs="Arial" w:eastAsia="Arial" w:hAnsi="Arial"/>
                <w:sz w:val="14"/>
                <w:szCs w:val="14"/>
                <w:b w:val="1"/>
                <w:bCs w:val="1"/>
                <w:color w:val="auto"/>
              </w:rPr>
              <w:t>(in millions of dollars)</w:t>
            </w:r>
          </w:p>
        </w:tc>
        <w:tc>
          <w:tcPr>
            <w:tcW w:w="8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820" w:type="dxa"/>
            <w:vAlign w:val="bottom"/>
            <w:gridSpan w:val="3"/>
          </w:tcPr>
          <w:p>
            <w:pPr>
              <w:jc w:val="center"/>
              <w:ind w:right="300"/>
              <w:spacing w:after="0"/>
              <w:rPr>
                <w:sz w:val="20"/>
                <w:szCs w:val="20"/>
                <w:color w:val="auto"/>
              </w:rPr>
            </w:pPr>
            <w:r>
              <w:rPr>
                <w:rFonts w:ascii="Arial" w:cs="Arial" w:eastAsia="Arial" w:hAnsi="Arial"/>
                <w:sz w:val="14"/>
                <w:szCs w:val="14"/>
                <w:b w:val="1"/>
                <w:bCs w:val="1"/>
                <w:color w:val="auto"/>
                <w:w w:val="90"/>
              </w:rPr>
              <w:t>Amount</w:t>
            </w:r>
          </w:p>
        </w:tc>
        <w:tc>
          <w:tcPr>
            <w:tcW w:w="940" w:type="dxa"/>
            <w:vAlign w:val="bottom"/>
            <w:gridSpan w:val="4"/>
          </w:tcPr>
          <w:p>
            <w:pPr>
              <w:spacing w:after="0"/>
              <w:rPr>
                <w:sz w:val="20"/>
                <w:szCs w:val="20"/>
                <w:color w:val="auto"/>
              </w:rPr>
            </w:pPr>
            <w:r>
              <w:rPr>
                <w:rFonts w:ascii="Arial" w:cs="Arial" w:eastAsia="Arial" w:hAnsi="Arial"/>
                <w:sz w:val="14"/>
                <w:szCs w:val="14"/>
                <w:b w:val="1"/>
                <w:bCs w:val="1"/>
                <w:color w:val="auto"/>
              </w:rPr>
              <w:t>Amortization</w:t>
            </w:r>
          </w:p>
        </w:tc>
        <w:tc>
          <w:tcPr>
            <w:tcW w:w="220" w:type="dxa"/>
            <w:vAlign w:val="bottom"/>
          </w:tcPr>
          <w:p>
            <w:pPr>
              <w:spacing w:after="0"/>
              <w:rPr>
                <w:sz w:val="14"/>
                <w:szCs w:val="14"/>
                <w:color w:val="auto"/>
              </w:rPr>
            </w:pPr>
          </w:p>
        </w:tc>
        <w:tc>
          <w:tcPr>
            <w:tcW w:w="800" w:type="dxa"/>
            <w:vAlign w:val="bottom"/>
            <w:gridSpan w:val="3"/>
          </w:tcPr>
          <w:p>
            <w:pPr>
              <w:jc w:val="center"/>
              <w:ind w:right="300"/>
              <w:spacing w:after="0"/>
              <w:rPr>
                <w:sz w:val="20"/>
                <w:szCs w:val="20"/>
                <w:color w:val="auto"/>
              </w:rPr>
            </w:pPr>
            <w:r>
              <w:rPr>
                <w:rFonts w:ascii="Arial" w:cs="Arial" w:eastAsia="Arial" w:hAnsi="Arial"/>
                <w:sz w:val="14"/>
                <w:szCs w:val="14"/>
                <w:b w:val="1"/>
                <w:bCs w:val="1"/>
                <w:color w:val="auto"/>
                <w:w w:val="86"/>
              </w:rPr>
              <w:t>Amount</w:t>
            </w:r>
          </w:p>
        </w:tc>
        <w:tc>
          <w:tcPr>
            <w:tcW w:w="880" w:type="dxa"/>
            <w:vAlign w:val="bottom"/>
            <w:gridSpan w:val="5"/>
          </w:tcPr>
          <w:p>
            <w:pPr>
              <w:ind w:left="20"/>
              <w:spacing w:after="0"/>
              <w:rPr>
                <w:sz w:val="20"/>
                <w:szCs w:val="20"/>
                <w:color w:val="auto"/>
              </w:rPr>
            </w:pPr>
            <w:r>
              <w:rPr>
                <w:rFonts w:ascii="Arial" w:cs="Arial" w:eastAsia="Arial" w:hAnsi="Arial"/>
                <w:sz w:val="14"/>
                <w:szCs w:val="14"/>
                <w:b w:val="1"/>
                <w:bCs w:val="1"/>
                <w:color w:val="auto"/>
                <w:w w:val="98"/>
              </w:rPr>
              <w:t>Amortization</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134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Amortizable:</w:t>
            </w:r>
          </w:p>
        </w:tc>
        <w:tc>
          <w:tcPr>
            <w:tcW w:w="40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240" w:type="dxa"/>
            <w:vAlign w:val="bottom"/>
            <w:tcBorders>
              <w:top w:val="single" w:sz="8" w:color="auto"/>
            </w:tcBorders>
            <w:shd w:val="clear" w:color="auto" w:fill="CCEEFF"/>
          </w:tcPr>
          <w:p>
            <w:pPr>
              <w:spacing w:after="0"/>
              <w:rPr>
                <w:sz w:val="18"/>
                <w:szCs w:val="18"/>
                <w:color w:val="auto"/>
              </w:rPr>
            </w:pPr>
          </w:p>
        </w:tc>
        <w:tc>
          <w:tcPr>
            <w:tcW w:w="260" w:type="dxa"/>
            <w:vAlign w:val="bottom"/>
            <w:tcBorders>
              <w:top w:val="single" w:sz="8" w:color="auto"/>
            </w:tcBorders>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8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600" w:type="dxa"/>
            <w:vAlign w:val="bottom"/>
            <w:tcBorders>
              <w:top w:val="single" w:sz="8" w:color="auto"/>
            </w:tcBorders>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18"/>
                <w:szCs w:val="18"/>
                <w:color w:val="auto"/>
              </w:rPr>
            </w:pPr>
          </w:p>
        </w:tc>
        <w:tc>
          <w:tcPr>
            <w:tcW w:w="360" w:type="dxa"/>
            <w:vAlign w:val="bottom"/>
            <w:tcBorders>
              <w:top w:val="single" w:sz="8" w:color="auto"/>
            </w:tcBorders>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60" w:type="dxa"/>
            <w:vAlign w:val="bottom"/>
            <w:tcBorders>
              <w:top w:val="single" w:sz="8" w:color="auto"/>
            </w:tcBorders>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spacing w:after="0"/>
              <w:rPr>
                <w:sz w:val="18"/>
                <w:szCs w:val="18"/>
                <w:color w:val="auto"/>
              </w:rPr>
            </w:pPr>
          </w:p>
        </w:tc>
        <w:tc>
          <w:tcPr>
            <w:tcW w:w="560" w:type="dxa"/>
            <w:vAlign w:val="bottom"/>
            <w:tcBorders>
              <w:top w:val="single" w:sz="8" w:color="auto"/>
            </w:tcBorders>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340" w:type="dxa"/>
            <w:vAlign w:val="bottom"/>
            <w:gridSpan w:val="2"/>
          </w:tcPr>
          <w:p>
            <w:pPr>
              <w:ind w:left="420"/>
              <w:spacing w:after="0"/>
              <w:rPr>
                <w:sz w:val="20"/>
                <w:szCs w:val="20"/>
                <w:color w:val="auto"/>
              </w:rPr>
            </w:pPr>
            <w:r>
              <w:rPr>
                <w:rFonts w:ascii="Arial" w:cs="Arial" w:eastAsia="Arial" w:hAnsi="Arial"/>
                <w:sz w:val="18"/>
                <w:szCs w:val="18"/>
                <w:color w:val="auto"/>
              </w:rPr>
              <w:t>Service portfolios</w:t>
            </w:r>
          </w:p>
        </w:tc>
        <w:tc>
          <w:tcPr>
            <w:tcW w:w="8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20" w:type="dxa"/>
            <w:vAlign w:val="bottom"/>
            <w:gridSpan w:val="3"/>
          </w:tcPr>
          <w:p>
            <w:pPr>
              <w:jc w:val="right"/>
              <w:spacing w:after="0"/>
              <w:rPr>
                <w:sz w:val="20"/>
                <w:szCs w:val="20"/>
                <w:color w:val="auto"/>
              </w:rPr>
            </w:pPr>
            <w:r>
              <w:rPr>
                <w:rFonts w:ascii="Arial" w:cs="Arial" w:eastAsia="Arial" w:hAnsi="Arial"/>
                <w:sz w:val="18"/>
                <w:szCs w:val="18"/>
                <w:color w:val="auto"/>
              </w:rPr>
              <w:t>$1,790</w:t>
            </w:r>
          </w:p>
        </w:tc>
        <w:tc>
          <w:tcPr>
            <w:tcW w:w="320" w:type="dxa"/>
            <w:vAlign w:val="bottom"/>
          </w:tcPr>
          <w:p>
            <w:pPr>
              <w:spacing w:after="0"/>
              <w:rPr>
                <w:sz w:val="18"/>
                <w:szCs w:val="18"/>
                <w:color w:val="auto"/>
              </w:rPr>
            </w:pPr>
          </w:p>
        </w:tc>
        <w:tc>
          <w:tcPr>
            <w:tcW w:w="180" w:type="dxa"/>
            <w:vAlign w:val="bottom"/>
            <w:gridSpan w:val="2"/>
          </w:tcPr>
          <w:p>
            <w:pPr>
              <w:spacing w:after="0"/>
              <w:rPr>
                <w:sz w:val="20"/>
                <w:szCs w:val="20"/>
                <w:color w:val="auto"/>
              </w:rPr>
            </w:pPr>
            <w:r>
              <w:rPr>
                <w:rFonts w:ascii="Arial" w:cs="Arial" w:eastAsia="Arial" w:hAnsi="Arial"/>
                <w:sz w:val="18"/>
                <w:szCs w:val="18"/>
                <w:color w:val="auto"/>
              </w:rPr>
              <w:t>$</w:t>
            </w:r>
          </w:p>
        </w:tc>
        <w:tc>
          <w:tcPr>
            <w:tcW w:w="760" w:type="dxa"/>
            <w:vAlign w:val="bottom"/>
            <w:gridSpan w:val="2"/>
          </w:tcPr>
          <w:p>
            <w:pPr>
              <w:jc w:val="right"/>
              <w:ind w:right="100"/>
              <w:spacing w:after="0"/>
              <w:rPr>
                <w:sz w:val="20"/>
                <w:szCs w:val="20"/>
                <w:color w:val="auto"/>
              </w:rPr>
            </w:pPr>
            <w:r>
              <w:rPr>
                <w:rFonts w:ascii="Arial" w:cs="Arial" w:eastAsia="Arial" w:hAnsi="Arial"/>
                <w:sz w:val="18"/>
                <w:szCs w:val="18"/>
                <w:color w:val="auto"/>
              </w:rPr>
              <w:t>(718)</w:t>
            </w:r>
          </w:p>
        </w:tc>
        <w:tc>
          <w:tcPr>
            <w:tcW w:w="1020" w:type="dxa"/>
            <w:vAlign w:val="bottom"/>
            <w:gridSpan w:val="4"/>
          </w:tcPr>
          <w:p>
            <w:pPr>
              <w:jc w:val="right"/>
              <w:ind w:right="300"/>
              <w:spacing w:after="0"/>
              <w:rPr>
                <w:sz w:val="20"/>
                <w:szCs w:val="20"/>
                <w:color w:val="auto"/>
              </w:rPr>
            </w:pPr>
            <w:r>
              <w:rPr>
                <w:rFonts w:ascii="Arial" w:cs="Arial" w:eastAsia="Arial" w:hAnsi="Arial"/>
                <w:sz w:val="18"/>
                <w:szCs w:val="18"/>
                <w:color w:val="auto"/>
              </w:rPr>
              <w:t>$1,559</w:t>
            </w:r>
          </w:p>
        </w:tc>
        <w:tc>
          <w:tcPr>
            <w:tcW w:w="240" w:type="dxa"/>
            <w:vAlign w:val="bottom"/>
            <w:gridSpan w:val="2"/>
          </w:tcPr>
          <w:p>
            <w:pPr>
              <w:spacing w:after="0"/>
              <w:rPr>
                <w:sz w:val="20"/>
                <w:szCs w:val="20"/>
                <w:color w:val="auto"/>
              </w:rPr>
            </w:pPr>
            <w:r>
              <w:rPr>
                <w:rFonts w:ascii="Arial" w:cs="Arial" w:eastAsia="Arial" w:hAnsi="Arial"/>
                <w:sz w:val="18"/>
                <w:szCs w:val="18"/>
                <w:color w:val="auto"/>
              </w:rPr>
              <w:t>$</w:t>
            </w:r>
          </w:p>
        </w:tc>
        <w:tc>
          <w:tcPr>
            <w:tcW w:w="620" w:type="dxa"/>
            <w:vAlign w:val="bottom"/>
            <w:gridSpan w:val="2"/>
          </w:tcPr>
          <w:p>
            <w:pPr>
              <w:jc w:val="right"/>
              <w:spacing w:after="0"/>
              <w:rPr>
                <w:sz w:val="20"/>
                <w:szCs w:val="20"/>
                <w:color w:val="auto"/>
              </w:rPr>
            </w:pPr>
            <w:r>
              <w:rPr>
                <w:rFonts w:ascii="Arial" w:cs="Arial" w:eastAsia="Arial" w:hAnsi="Arial"/>
                <w:sz w:val="18"/>
                <w:szCs w:val="18"/>
                <w:color w:val="auto"/>
              </w:rPr>
              <w:t>(633)</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340" w:type="dxa"/>
            <w:vAlign w:val="bottom"/>
            <w:gridSpan w:val="2"/>
            <w:shd w:val="clear" w:color="auto" w:fill="CCEEFF"/>
          </w:tcPr>
          <w:p>
            <w:pPr>
              <w:ind w:left="420"/>
              <w:spacing w:after="0"/>
              <w:rPr>
                <w:sz w:val="20"/>
                <w:szCs w:val="20"/>
                <w:color w:val="auto"/>
              </w:rPr>
            </w:pPr>
            <w:r>
              <w:rPr>
                <w:rFonts w:ascii="Arial" w:cs="Arial" w:eastAsia="Arial" w:hAnsi="Arial"/>
                <w:sz w:val="18"/>
                <w:szCs w:val="18"/>
                <w:color w:val="auto"/>
              </w:rPr>
              <w:t>Patents and trademarks</w:t>
            </w:r>
          </w:p>
        </w:tc>
        <w:tc>
          <w:tcPr>
            <w:tcW w:w="8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2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354</w:t>
            </w:r>
          </w:p>
        </w:tc>
        <w:tc>
          <w:tcPr>
            <w:tcW w:w="3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(104)</w:t>
            </w:r>
          </w:p>
        </w:tc>
        <w:tc>
          <w:tcPr>
            <w:tcW w:w="1020" w:type="dxa"/>
            <w:vAlign w:val="bottom"/>
            <w:gridSpan w:val="4"/>
            <w:shd w:val="clear" w:color="auto" w:fill="CCEEFF"/>
          </w:tcPr>
          <w:p>
            <w:pPr>
              <w:jc w:val="right"/>
              <w:ind w:right="300"/>
              <w:spacing w:after="0"/>
              <w:rPr>
                <w:sz w:val="20"/>
                <w:szCs w:val="20"/>
                <w:color w:val="auto"/>
              </w:rPr>
            </w:pPr>
            <w:r>
              <w:rPr>
                <w:rFonts w:ascii="Arial" w:cs="Arial" w:eastAsia="Arial" w:hAnsi="Arial"/>
                <w:sz w:val="18"/>
                <w:szCs w:val="18"/>
                <w:color w:val="auto"/>
              </w:rPr>
              <w:t>378</w:t>
            </w:r>
          </w:p>
        </w:tc>
        <w:tc>
          <w:tcPr>
            <w:tcW w:w="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(97)</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340" w:type="dxa"/>
            <w:vAlign w:val="bottom"/>
            <w:gridSpan w:val="2"/>
          </w:tcPr>
          <w:p>
            <w:pPr>
              <w:ind w:left="420"/>
              <w:spacing w:after="0"/>
              <w:rPr>
                <w:sz w:val="20"/>
                <w:szCs w:val="20"/>
                <w:color w:val="auto"/>
              </w:rPr>
            </w:pPr>
            <w:r>
              <w:rPr>
                <w:rFonts w:ascii="Arial" w:cs="Arial" w:eastAsia="Arial" w:hAnsi="Arial"/>
                <w:sz w:val="18"/>
                <w:szCs w:val="18"/>
                <w:color w:val="auto"/>
              </w:rPr>
              <w:t>Other, principally customer relationships</w:t>
            </w:r>
          </w:p>
        </w:tc>
        <w:tc>
          <w:tcPr>
            <w:tcW w:w="8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500" w:type="dxa"/>
            <w:vAlign w:val="bottom"/>
            <w:gridSpan w:val="2"/>
          </w:tcPr>
          <w:p>
            <w:pPr>
              <w:jc w:val="right"/>
              <w:spacing w:after="0"/>
              <w:rPr>
                <w:sz w:val="20"/>
                <w:szCs w:val="20"/>
                <w:color w:val="auto"/>
              </w:rPr>
            </w:pPr>
            <w:r>
              <w:rPr>
                <w:rFonts w:ascii="Arial" w:cs="Arial" w:eastAsia="Arial" w:hAnsi="Arial"/>
                <w:sz w:val="18"/>
                <w:szCs w:val="18"/>
                <w:color w:val="auto"/>
              </w:rPr>
              <w:t>2,519</w:t>
            </w:r>
          </w:p>
        </w:tc>
        <w:tc>
          <w:tcPr>
            <w:tcW w:w="3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60" w:type="dxa"/>
            <w:vAlign w:val="bottom"/>
            <w:gridSpan w:val="2"/>
          </w:tcPr>
          <w:p>
            <w:pPr>
              <w:jc w:val="right"/>
              <w:ind w:right="100"/>
              <w:spacing w:after="0"/>
              <w:rPr>
                <w:sz w:val="20"/>
                <w:szCs w:val="20"/>
                <w:color w:val="auto"/>
              </w:rPr>
            </w:pPr>
            <w:r>
              <w:rPr>
                <w:rFonts w:ascii="Arial" w:cs="Arial" w:eastAsia="Arial" w:hAnsi="Arial"/>
                <w:sz w:val="18"/>
                <w:szCs w:val="18"/>
                <w:color w:val="auto"/>
              </w:rPr>
              <w:t>(780)</w:t>
            </w:r>
          </w:p>
        </w:tc>
        <w:tc>
          <w:tcPr>
            <w:tcW w:w="1020" w:type="dxa"/>
            <w:vAlign w:val="bottom"/>
            <w:gridSpan w:val="4"/>
          </w:tcPr>
          <w:p>
            <w:pPr>
              <w:jc w:val="right"/>
              <w:ind w:right="300"/>
              <w:spacing w:after="0"/>
              <w:rPr>
                <w:sz w:val="20"/>
                <w:szCs w:val="20"/>
                <w:color w:val="auto"/>
              </w:rPr>
            </w:pPr>
            <w:r>
              <w:rPr>
                <w:rFonts w:ascii="Arial" w:cs="Arial" w:eastAsia="Arial" w:hAnsi="Arial"/>
                <w:sz w:val="18"/>
                <w:szCs w:val="18"/>
                <w:color w:val="auto"/>
              </w:rPr>
              <w:t>2,445</w:t>
            </w:r>
          </w:p>
        </w:tc>
        <w:tc>
          <w:tcPr>
            <w:tcW w:w="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20" w:type="dxa"/>
            <w:vAlign w:val="bottom"/>
            <w:gridSpan w:val="2"/>
          </w:tcPr>
          <w:p>
            <w:pPr>
              <w:jc w:val="right"/>
              <w:spacing w:after="0"/>
              <w:rPr>
                <w:sz w:val="20"/>
                <w:szCs w:val="20"/>
                <w:color w:val="auto"/>
              </w:rPr>
            </w:pPr>
            <w:r>
              <w:rPr>
                <w:rFonts w:ascii="Arial" w:cs="Arial" w:eastAsia="Arial" w:hAnsi="Arial"/>
                <w:sz w:val="18"/>
                <w:szCs w:val="18"/>
                <w:color w:val="auto"/>
              </w:rPr>
              <w:t>(654)</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1340" w:type="dxa"/>
            <w:vAlign w:val="bottom"/>
          </w:tcPr>
          <w:p>
            <w:pPr>
              <w:spacing w:after="0"/>
              <w:rPr>
                <w:sz w:val="2"/>
                <w:szCs w:val="2"/>
                <w:color w:val="auto"/>
              </w:rPr>
            </w:pPr>
          </w:p>
        </w:tc>
        <w:tc>
          <w:tcPr>
            <w:tcW w:w="4000" w:type="dxa"/>
            <w:vAlign w:val="bottom"/>
          </w:tcPr>
          <w:p>
            <w:pPr>
              <w:spacing w:after="0"/>
              <w:rPr>
                <w:sz w:val="2"/>
                <w:szCs w:val="2"/>
                <w:color w:val="auto"/>
              </w:rPr>
            </w:pPr>
          </w:p>
        </w:tc>
        <w:tc>
          <w:tcPr>
            <w:tcW w:w="80" w:type="dxa"/>
            <w:vAlign w:val="bottom"/>
          </w:tcPr>
          <w:p>
            <w:pPr>
              <w:spacing w:after="0"/>
              <w:rPr>
                <w:sz w:val="2"/>
                <w:szCs w:val="2"/>
                <w:color w:val="auto"/>
              </w:rPr>
            </w:pPr>
          </w:p>
        </w:tc>
        <w:tc>
          <w:tcPr>
            <w:tcW w:w="840" w:type="dxa"/>
            <w:vAlign w:val="bottom"/>
          </w:tcPr>
          <w:p>
            <w:pPr>
              <w:spacing w:after="0"/>
              <w:rPr>
                <w:sz w:val="2"/>
                <w:szCs w:val="2"/>
                <w:color w:val="auto"/>
              </w:rPr>
            </w:pPr>
          </w:p>
        </w:tc>
        <w:tc>
          <w:tcPr>
            <w:tcW w:w="660" w:type="dxa"/>
            <w:vAlign w:val="bottom"/>
          </w:tcPr>
          <w:p>
            <w:pPr>
              <w:spacing w:after="0"/>
              <w:rPr>
                <w:sz w:val="2"/>
                <w:szCs w:val="2"/>
                <w:color w:val="auto"/>
              </w:rPr>
            </w:pPr>
          </w:p>
        </w:tc>
        <w:tc>
          <w:tcPr>
            <w:tcW w:w="120" w:type="dxa"/>
            <w:vAlign w:val="bottom"/>
          </w:tcPr>
          <w:p>
            <w:pPr>
              <w:spacing w:after="0"/>
              <w:rPr>
                <w:sz w:val="2"/>
                <w:szCs w:val="2"/>
                <w:color w:val="auto"/>
              </w:rPr>
            </w:pPr>
          </w:p>
        </w:tc>
        <w:tc>
          <w:tcPr>
            <w:tcW w:w="720" w:type="dxa"/>
            <w:vAlign w:val="bottom"/>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260" w:type="dxa"/>
            <w:vAlign w:val="bottom"/>
            <w:shd w:val="clear" w:color="auto" w:fill="000000"/>
          </w:tcPr>
          <w:p>
            <w:pPr>
              <w:spacing w:after="0"/>
              <w:rPr>
                <w:sz w:val="2"/>
                <w:szCs w:val="2"/>
                <w:color w:val="auto"/>
              </w:rPr>
            </w:pPr>
          </w:p>
        </w:tc>
        <w:tc>
          <w:tcPr>
            <w:tcW w:w="32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600" w:type="dxa"/>
            <w:vAlign w:val="bottom"/>
            <w:shd w:val="clear" w:color="auto" w:fill="000000"/>
          </w:tcPr>
          <w:p>
            <w:pPr>
              <w:spacing w:after="0"/>
              <w:rPr>
                <w:sz w:val="2"/>
                <w:szCs w:val="2"/>
                <w:color w:val="auto"/>
              </w:rPr>
            </w:pPr>
          </w:p>
        </w:tc>
        <w:tc>
          <w:tcPr>
            <w:tcW w:w="160" w:type="dxa"/>
            <w:vAlign w:val="bottom"/>
          </w:tcPr>
          <w:p>
            <w:pPr>
              <w:spacing w:after="0"/>
              <w:rPr>
                <w:sz w:val="2"/>
                <w:szCs w:val="2"/>
                <w:color w:val="auto"/>
              </w:rPr>
            </w:pPr>
          </w:p>
        </w:tc>
        <w:tc>
          <w:tcPr>
            <w:tcW w:w="22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360" w:type="dxa"/>
            <w:vAlign w:val="bottom"/>
            <w:shd w:val="clear" w:color="auto" w:fill="000000"/>
          </w:tcPr>
          <w:p>
            <w:pPr>
              <w:spacing w:after="0"/>
              <w:rPr>
                <w:sz w:val="2"/>
                <w:szCs w:val="2"/>
                <w:color w:val="auto"/>
              </w:rPr>
            </w:pPr>
          </w:p>
        </w:tc>
        <w:tc>
          <w:tcPr>
            <w:tcW w:w="300" w:type="dxa"/>
            <w:vAlign w:val="bottom"/>
          </w:tcPr>
          <w:p>
            <w:pPr>
              <w:spacing w:after="0"/>
              <w:rPr>
                <w:sz w:val="2"/>
                <w:szCs w:val="2"/>
                <w:color w:val="auto"/>
              </w:rPr>
            </w:pPr>
          </w:p>
        </w:tc>
        <w:tc>
          <w:tcPr>
            <w:tcW w:w="60" w:type="dxa"/>
            <w:vAlign w:val="bottom"/>
            <w:shd w:val="clear" w:color="auto" w:fill="000000"/>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560" w:type="dxa"/>
            <w:vAlign w:val="bottom"/>
            <w:shd w:val="clear" w:color="auto" w:fill="000000"/>
          </w:tcPr>
          <w:p>
            <w:pPr>
              <w:spacing w:after="0"/>
              <w:rPr>
                <w:sz w:val="2"/>
                <w:szCs w:val="2"/>
                <w:color w:val="auto"/>
              </w:rPr>
            </w:pPr>
          </w:p>
        </w:tc>
        <w:tc>
          <w:tcPr>
            <w:tcW w:w="60" w:type="dxa"/>
            <w:vAlign w:val="bottom"/>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tcPr>
          <w:p>
            <w:pPr>
              <w:spacing w:after="0"/>
              <w:rPr>
                <w:sz w:val="18"/>
                <w:szCs w:val="18"/>
                <w:color w:val="auto"/>
              </w:rPr>
            </w:pPr>
          </w:p>
        </w:tc>
        <w:tc>
          <w:tcPr>
            <w:tcW w:w="1340" w:type="dxa"/>
            <w:vAlign w:val="bottom"/>
            <w:shd w:val="clear" w:color="auto" w:fill="CCEEFF"/>
          </w:tcPr>
          <w:p>
            <w:pPr>
              <w:spacing w:after="0"/>
              <w:rPr>
                <w:sz w:val="18"/>
                <w:szCs w:val="18"/>
                <w:color w:val="auto"/>
              </w:rPr>
            </w:pPr>
          </w:p>
        </w:tc>
        <w:tc>
          <w:tcPr>
            <w:tcW w:w="40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5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4,663</w:t>
            </w:r>
          </w:p>
        </w:tc>
        <w:tc>
          <w:tcPr>
            <w:tcW w:w="3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(1,602)</w:t>
            </w:r>
          </w:p>
        </w:tc>
        <w:tc>
          <w:tcPr>
            <w:tcW w:w="1020" w:type="dxa"/>
            <w:vAlign w:val="bottom"/>
            <w:gridSpan w:val="4"/>
            <w:shd w:val="clear" w:color="auto" w:fill="CCEEFF"/>
          </w:tcPr>
          <w:p>
            <w:pPr>
              <w:jc w:val="right"/>
              <w:ind w:right="300"/>
              <w:spacing w:after="0"/>
              <w:rPr>
                <w:sz w:val="20"/>
                <w:szCs w:val="20"/>
                <w:color w:val="auto"/>
              </w:rPr>
            </w:pPr>
            <w:r>
              <w:rPr>
                <w:rFonts w:ascii="Arial" w:cs="Arial" w:eastAsia="Arial" w:hAnsi="Arial"/>
                <w:sz w:val="18"/>
                <w:szCs w:val="18"/>
                <w:color w:val="auto"/>
              </w:rPr>
              <w:t>4,382</w:t>
            </w:r>
          </w:p>
        </w:tc>
        <w:tc>
          <w:tcPr>
            <w:tcW w:w="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(1,384)</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340" w:type="dxa"/>
            <w:vAlign w:val="bottom"/>
            <w:gridSpan w:val="2"/>
          </w:tcPr>
          <w:p>
            <w:pPr>
              <w:spacing w:after="0"/>
              <w:rPr>
                <w:sz w:val="20"/>
                <w:szCs w:val="20"/>
                <w:color w:val="auto"/>
              </w:rPr>
            </w:pPr>
            <w:r>
              <w:rPr>
                <w:rFonts w:ascii="Arial" w:cs="Arial" w:eastAsia="Arial" w:hAnsi="Arial"/>
                <w:sz w:val="18"/>
                <w:szCs w:val="18"/>
                <w:color w:val="auto"/>
              </w:rPr>
              <w:t>Unamortizable:</w:t>
            </w:r>
          </w:p>
        </w:tc>
        <w:tc>
          <w:tcPr>
            <w:tcW w:w="8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340" w:type="dxa"/>
            <w:vAlign w:val="bottom"/>
            <w:gridSpan w:val="2"/>
            <w:shd w:val="clear" w:color="auto" w:fill="CCEEFF"/>
          </w:tcPr>
          <w:p>
            <w:pPr>
              <w:ind w:left="420"/>
              <w:spacing w:after="0"/>
              <w:rPr>
                <w:sz w:val="20"/>
                <w:szCs w:val="20"/>
                <w:color w:val="auto"/>
              </w:rPr>
            </w:pPr>
            <w:r>
              <w:rPr>
                <w:rFonts w:ascii="Arial" w:cs="Arial" w:eastAsia="Arial" w:hAnsi="Arial"/>
                <w:sz w:val="18"/>
                <w:szCs w:val="18"/>
                <w:color w:val="auto"/>
              </w:rPr>
              <w:t>Trademarks and other</w:t>
            </w:r>
          </w:p>
        </w:tc>
        <w:tc>
          <w:tcPr>
            <w:tcW w:w="8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500" w:type="dxa"/>
            <w:vAlign w:val="bottom"/>
            <w:tcBorders>
              <w:bottom w:val="single" w:sz="8" w:color="auto"/>
            </w:tcBorders>
            <w:gridSpan w:val="2"/>
            <w:shd w:val="clear" w:color="auto" w:fill="CCEEFF"/>
          </w:tcPr>
          <w:p>
            <w:pPr>
              <w:jc w:val="right"/>
              <w:spacing w:after="0"/>
              <w:rPr>
                <w:sz w:val="20"/>
                <w:szCs w:val="20"/>
                <w:color w:val="auto"/>
              </w:rPr>
            </w:pPr>
            <w:r>
              <w:rPr>
                <w:rFonts w:ascii="Arial" w:cs="Arial" w:eastAsia="Arial" w:hAnsi="Arial"/>
                <w:sz w:val="18"/>
                <w:szCs w:val="18"/>
                <w:color w:val="auto"/>
              </w:rPr>
              <w:t>786</w:t>
            </w:r>
          </w:p>
        </w:tc>
        <w:tc>
          <w:tcPr>
            <w:tcW w:w="320" w:type="dxa"/>
            <w:vAlign w:val="bottom"/>
            <w:shd w:val="clear" w:color="auto" w:fill="CCEEFF"/>
          </w:tcPr>
          <w:p>
            <w:pPr>
              <w:spacing w:after="0"/>
              <w:rPr>
                <w:sz w:val="18"/>
                <w:szCs w:val="18"/>
                <w:color w:val="auto"/>
              </w:rPr>
            </w:pPr>
          </w:p>
        </w:tc>
        <w:tc>
          <w:tcPr>
            <w:tcW w:w="80" w:type="dxa"/>
            <w:vAlign w:val="bottom"/>
            <w:tcBorders>
              <w:bottom w:val="single" w:sz="8" w:color="auto"/>
            </w:tcBorders>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6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500" w:type="dxa"/>
            <w:vAlign w:val="bottom"/>
            <w:tcBorders>
              <w:bottom w:val="single" w:sz="8" w:color="auto"/>
            </w:tcBorders>
            <w:gridSpan w:val="2"/>
            <w:shd w:val="clear" w:color="auto" w:fill="CCEEFF"/>
          </w:tcPr>
          <w:p>
            <w:pPr>
              <w:jc w:val="right"/>
              <w:spacing w:after="0"/>
              <w:rPr>
                <w:sz w:val="20"/>
                <w:szCs w:val="20"/>
                <w:color w:val="auto"/>
              </w:rPr>
            </w:pPr>
            <w:r>
              <w:rPr>
                <w:rFonts w:ascii="Arial" w:cs="Arial" w:eastAsia="Arial" w:hAnsi="Arial"/>
                <w:sz w:val="18"/>
                <w:szCs w:val="18"/>
                <w:color w:val="auto"/>
              </w:rPr>
              <w:t>759</w:t>
            </w:r>
          </w:p>
        </w:tc>
        <w:tc>
          <w:tcPr>
            <w:tcW w:w="300" w:type="dxa"/>
            <w:vAlign w:val="bottom"/>
            <w:shd w:val="clear" w:color="auto" w:fill="CCEEFF"/>
          </w:tcPr>
          <w:p>
            <w:pPr>
              <w:spacing w:after="0"/>
              <w:rPr>
                <w:sz w:val="18"/>
                <w:szCs w:val="18"/>
                <w:color w:val="auto"/>
              </w:rPr>
            </w:pPr>
          </w:p>
        </w:tc>
        <w:tc>
          <w:tcPr>
            <w:tcW w:w="60" w:type="dxa"/>
            <w:vAlign w:val="bottom"/>
            <w:tcBorders>
              <w:bottom w:val="single" w:sz="8" w:color="auto"/>
            </w:tcBorders>
            <w:shd w:val="clear" w:color="auto" w:fill="CCEEFF"/>
          </w:tcPr>
          <w:p>
            <w:pPr>
              <w:spacing w:after="0"/>
              <w:rPr>
                <w:sz w:val="18"/>
                <w:szCs w:val="18"/>
                <w:color w:val="auto"/>
              </w:rPr>
            </w:pPr>
          </w:p>
        </w:tc>
        <w:tc>
          <w:tcPr>
            <w:tcW w:w="180" w:type="dxa"/>
            <w:vAlign w:val="bottom"/>
            <w:tcBorders>
              <w:bottom w:val="single" w:sz="8" w:color="auto"/>
            </w:tcBorders>
            <w:shd w:val="clear" w:color="auto" w:fill="CCEEFF"/>
          </w:tcPr>
          <w:p>
            <w:pPr>
              <w:spacing w:after="0"/>
              <w:rPr>
                <w:sz w:val="18"/>
                <w:szCs w:val="18"/>
                <w:color w:val="auto"/>
              </w:rPr>
            </w:pPr>
          </w:p>
        </w:tc>
        <w:tc>
          <w:tcPr>
            <w:tcW w:w="560" w:type="dxa"/>
            <w:vAlign w:val="bottom"/>
            <w:tcBorders>
              <w:bottom w:val="single" w:sz="8" w:color="auto"/>
            </w:tcBorders>
            <w:shd w:val="clear" w:color="auto" w:fill="CCEEFF"/>
          </w:tcPr>
          <w:p>
            <w:pPr>
              <w:ind w:left="280"/>
              <w:spacing w:after="0"/>
              <w:rPr>
                <w:sz w:val="20"/>
                <w:szCs w:val="20"/>
                <w:color w:val="auto"/>
              </w:rPr>
            </w:pPr>
            <w:r>
              <w:rPr>
                <w:rFonts w:ascii="Arial" w:cs="Arial" w:eastAsia="Arial" w:hAnsi="Arial"/>
                <w:sz w:val="18"/>
                <w:szCs w:val="18"/>
                <w:color w:val="auto"/>
              </w:rPr>
              <w:t>—</w:t>
            </w:r>
          </w:p>
        </w:tc>
        <w:tc>
          <w:tcPr>
            <w:tcW w:w="60" w:type="dxa"/>
            <w:vAlign w:val="bottom"/>
            <w:shd w:val="clear" w:color="auto" w:fill="CCEEFF"/>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5340" w:type="dxa"/>
            <w:vAlign w:val="bottom"/>
            <w:gridSpan w:val="2"/>
          </w:tcPr>
          <w:p>
            <w:pPr>
              <w:ind w:left="860"/>
              <w:spacing w:after="0"/>
              <w:rPr>
                <w:sz w:val="20"/>
                <w:szCs w:val="20"/>
                <w:color w:val="auto"/>
              </w:rPr>
            </w:pPr>
            <w:r>
              <w:rPr>
                <w:rFonts w:ascii="Arial" w:cs="Arial" w:eastAsia="Arial" w:hAnsi="Arial"/>
                <w:sz w:val="18"/>
                <w:szCs w:val="18"/>
                <w:color w:val="auto"/>
              </w:rPr>
              <w:t>Totals</w:t>
            </w:r>
          </w:p>
        </w:tc>
        <w:tc>
          <w:tcPr>
            <w:tcW w:w="8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20" w:type="dxa"/>
            <w:vAlign w:val="bottom"/>
            <w:gridSpan w:val="3"/>
          </w:tcPr>
          <w:p>
            <w:pPr>
              <w:jc w:val="right"/>
              <w:spacing w:after="0"/>
              <w:rPr>
                <w:sz w:val="20"/>
                <w:szCs w:val="20"/>
                <w:color w:val="auto"/>
              </w:rPr>
            </w:pPr>
            <w:r>
              <w:rPr>
                <w:rFonts w:ascii="Arial" w:cs="Arial" w:eastAsia="Arial" w:hAnsi="Arial"/>
                <w:sz w:val="18"/>
                <w:szCs w:val="18"/>
                <w:u w:val="single" w:color="auto"/>
                <w:color w:val="auto"/>
              </w:rPr>
              <w:t>$</w:t>
            </w:r>
            <w:r>
              <w:rPr>
                <w:rFonts w:ascii="Arial" w:cs="Arial" w:eastAsia="Arial" w:hAnsi="Arial"/>
                <w:sz w:val="18"/>
                <w:szCs w:val="18"/>
                <w:color w:val="auto"/>
              </w:rPr>
              <w:t>5,449</w:t>
            </w:r>
          </w:p>
        </w:tc>
        <w:tc>
          <w:tcPr>
            <w:tcW w:w="320" w:type="dxa"/>
            <w:vAlign w:val="bottom"/>
          </w:tcPr>
          <w:p>
            <w:pPr>
              <w:spacing w:after="0"/>
              <w:rPr>
                <w:sz w:val="19"/>
                <w:szCs w:val="19"/>
                <w:color w:val="auto"/>
              </w:rPr>
            </w:pPr>
          </w:p>
        </w:tc>
        <w:tc>
          <w:tcPr>
            <w:tcW w:w="180" w:type="dxa"/>
            <w:vAlign w:val="bottom"/>
            <w:gridSpan w:val="2"/>
          </w:tcPr>
          <w:p>
            <w:pPr>
              <w:spacing w:after="0"/>
              <w:rPr>
                <w:sz w:val="20"/>
                <w:szCs w:val="20"/>
                <w:color w:val="auto"/>
              </w:rPr>
            </w:pPr>
            <w:r>
              <w:rPr>
                <w:rFonts w:ascii="Arial" w:cs="Arial" w:eastAsia="Arial" w:hAnsi="Arial"/>
                <w:sz w:val="18"/>
                <w:szCs w:val="18"/>
                <w:color w:val="auto"/>
              </w:rPr>
              <w:t>$</w:t>
            </w:r>
          </w:p>
        </w:tc>
        <w:tc>
          <w:tcPr>
            <w:tcW w:w="760" w:type="dxa"/>
            <w:vAlign w:val="bottom"/>
            <w:gridSpan w:val="2"/>
          </w:tcPr>
          <w:p>
            <w:pPr>
              <w:jc w:val="right"/>
              <w:ind w:right="100"/>
              <w:spacing w:after="0"/>
              <w:rPr>
                <w:sz w:val="20"/>
                <w:szCs w:val="20"/>
                <w:color w:val="auto"/>
              </w:rPr>
            </w:pPr>
            <w:r>
              <w:rPr>
                <w:rFonts w:ascii="Arial" w:cs="Arial" w:eastAsia="Arial" w:hAnsi="Arial"/>
                <w:sz w:val="18"/>
                <w:szCs w:val="18"/>
                <w:color w:val="auto"/>
              </w:rPr>
              <w:t>(1,602)</w:t>
            </w:r>
          </w:p>
        </w:tc>
        <w:tc>
          <w:tcPr>
            <w:tcW w:w="1020" w:type="dxa"/>
            <w:vAlign w:val="bottom"/>
            <w:gridSpan w:val="4"/>
          </w:tcPr>
          <w:p>
            <w:pPr>
              <w:jc w:val="right"/>
              <w:ind w:right="300"/>
              <w:spacing w:after="0"/>
              <w:rPr>
                <w:sz w:val="20"/>
                <w:szCs w:val="20"/>
                <w:color w:val="auto"/>
              </w:rPr>
            </w:pPr>
            <w:r>
              <w:rPr>
                <w:rFonts w:ascii="Arial" w:cs="Arial" w:eastAsia="Arial" w:hAnsi="Arial"/>
                <w:sz w:val="18"/>
                <w:szCs w:val="18"/>
                <w:u w:val="single" w:color="auto"/>
                <w:color w:val="auto"/>
              </w:rPr>
              <w:t>$</w:t>
            </w:r>
            <w:r>
              <w:rPr>
                <w:rFonts w:ascii="Arial" w:cs="Arial" w:eastAsia="Arial" w:hAnsi="Arial"/>
                <w:sz w:val="18"/>
                <w:szCs w:val="18"/>
                <w:color w:val="auto"/>
              </w:rPr>
              <w:t>5,141</w:t>
            </w:r>
          </w:p>
        </w:tc>
        <w:tc>
          <w:tcPr>
            <w:tcW w:w="240" w:type="dxa"/>
            <w:vAlign w:val="bottom"/>
            <w:gridSpan w:val="2"/>
          </w:tcPr>
          <w:p>
            <w:pPr>
              <w:spacing w:after="0"/>
              <w:rPr>
                <w:sz w:val="20"/>
                <w:szCs w:val="20"/>
                <w:color w:val="auto"/>
              </w:rPr>
            </w:pPr>
            <w:r>
              <w:rPr>
                <w:rFonts w:ascii="Arial" w:cs="Arial" w:eastAsia="Arial" w:hAnsi="Arial"/>
                <w:sz w:val="18"/>
                <w:szCs w:val="18"/>
                <w:color w:val="auto"/>
              </w:rPr>
              <w:t>$</w:t>
            </w:r>
          </w:p>
        </w:tc>
        <w:tc>
          <w:tcPr>
            <w:tcW w:w="620" w:type="dxa"/>
            <w:vAlign w:val="bottom"/>
            <w:gridSpan w:val="2"/>
          </w:tcPr>
          <w:p>
            <w:pPr>
              <w:jc w:val="right"/>
              <w:spacing w:after="0"/>
              <w:rPr>
                <w:sz w:val="20"/>
                <w:szCs w:val="20"/>
                <w:color w:val="auto"/>
              </w:rPr>
            </w:pPr>
            <w:r>
              <w:rPr>
                <w:rFonts w:ascii="Arial" w:cs="Arial" w:eastAsia="Arial" w:hAnsi="Arial"/>
                <w:sz w:val="18"/>
                <w:szCs w:val="18"/>
                <w:color w:val="auto"/>
              </w:rPr>
              <w:t>(1,384)</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340" w:type="dxa"/>
            <w:vAlign w:val="bottom"/>
          </w:tcPr>
          <w:p>
            <w:pPr>
              <w:spacing w:after="0" w:line="20" w:lineRule="exact"/>
              <w:rPr>
                <w:sz w:val="1"/>
                <w:szCs w:val="1"/>
                <w:color w:val="auto"/>
              </w:rPr>
            </w:pPr>
          </w:p>
        </w:tc>
        <w:tc>
          <w:tcPr>
            <w:tcW w:w="40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67" w:lineRule="exact"/>
        <w:rPr>
          <w:sz w:val="20"/>
          <w:szCs w:val="20"/>
          <w:color w:val="auto"/>
        </w:rPr>
      </w:pPr>
    </w:p>
    <w:p>
      <w:pPr>
        <w:ind w:right="20" w:firstLine="456"/>
        <w:spacing w:after="0" w:line="259" w:lineRule="auto"/>
        <w:rPr>
          <w:sz w:val="20"/>
          <w:szCs w:val="20"/>
          <w:color w:val="auto"/>
        </w:rPr>
      </w:pPr>
      <w:r>
        <w:rPr>
          <w:rFonts w:ascii="Arial" w:cs="Arial" w:eastAsia="Arial" w:hAnsi="Arial"/>
          <w:sz w:val="18"/>
          <w:szCs w:val="18"/>
          <w:color w:val="auto"/>
        </w:rPr>
        <w:t>Amortization of intangible assets for the quarter and six months ended June 30, 2008 was $95 million and $187 million, respectively, compared with $79 million and $151 million for the same periods of 2007. Amortization of these intangible assets for 2008 through 2012 is expected to approximate $285 million per year.</w:t>
      </w:r>
    </w:p>
    <w:p>
      <w:pPr>
        <w:spacing w:after="0" w:line="12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w:t>
      </w:r>
    </w:p>
    <w:p>
      <w:pPr>
        <w:sectPr>
          <w:pgSz w:w="11900" w:h="16838" w:orient="portrait"/>
          <w:cols w:equalWidth="0" w:num="1">
            <w:col w:w="11420"/>
          </w:cols>
          <w:pgMar w:left="240" w:top="459" w:right="239" w:bottom="1440" w:gutter="0" w:footer="0" w:header="0"/>
        </w:sectPr>
      </w:pPr>
    </w:p>
    <w:bookmarkStart w:id="7" w:name="page8"/>
    <w:bookmarkEnd w:id="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2: Earnings Per Share</w:t>
      </w:r>
    </w:p>
    <w:p>
      <w:pPr>
        <w:spacing w:after="0" w:line="201"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136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57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120" w:type="dxa"/>
            <w:vAlign w:val="bottom"/>
            <w:gridSpan w:val="6"/>
          </w:tcPr>
          <w:p>
            <w:pPr>
              <w:jc w:val="right"/>
              <w:ind w:right="75"/>
              <w:spacing w:after="0"/>
              <w:rPr>
                <w:sz w:val="20"/>
                <w:szCs w:val="20"/>
                <w:color w:val="auto"/>
              </w:rPr>
            </w:pPr>
            <w:r>
              <w:rPr>
                <w:rFonts w:ascii="Arial" w:cs="Arial" w:eastAsia="Arial" w:hAnsi="Arial"/>
                <w:sz w:val="14"/>
                <w:szCs w:val="14"/>
                <w:b w:val="1"/>
                <w:bCs w:val="1"/>
                <w:color w:val="auto"/>
                <w:w w:val="96"/>
              </w:rPr>
              <w:t>Quarter Ended</w:t>
            </w: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40" w:type="dxa"/>
            <w:vAlign w:val="bottom"/>
            <w:gridSpan w:val="7"/>
          </w:tcPr>
          <w:p>
            <w:pPr>
              <w:jc w:val="center"/>
              <w:ind w:right="20"/>
              <w:spacing w:after="0"/>
              <w:rPr>
                <w:sz w:val="20"/>
                <w:szCs w:val="20"/>
                <w:color w:val="auto"/>
              </w:rPr>
            </w:pPr>
            <w:r>
              <w:rPr>
                <w:rFonts w:ascii="Arial" w:cs="Arial" w:eastAsia="Arial" w:hAnsi="Arial"/>
                <w:sz w:val="14"/>
                <w:szCs w:val="14"/>
                <w:b w:val="1"/>
                <w:bCs w:val="1"/>
                <w:color w:val="auto"/>
                <w:w w:val="87"/>
              </w:rPr>
              <w:t>Six Months Ended</w:t>
            </w:r>
          </w:p>
        </w:tc>
        <w:tc>
          <w:tcPr>
            <w:tcW w:w="0" w:type="dxa"/>
            <w:vAlign w:val="bottom"/>
          </w:tcPr>
          <w:p>
            <w:pPr>
              <w:spacing w:after="0"/>
              <w:rPr>
                <w:sz w:val="1"/>
                <w:szCs w:val="1"/>
                <w:color w:val="auto"/>
              </w:rPr>
            </w:pPr>
          </w:p>
        </w:tc>
      </w:tr>
      <w:tr>
        <w:trPr>
          <w:trHeight w:val="161"/>
        </w:trPr>
        <w:tc>
          <w:tcPr>
            <w:tcW w:w="8780" w:type="dxa"/>
            <w:vAlign w:val="bottom"/>
            <w:gridSpan w:val="5"/>
            <w:vMerge w:val="restart"/>
          </w:tcPr>
          <w:p>
            <w:pPr>
              <w:spacing w:after="0"/>
              <w:rPr>
                <w:sz w:val="20"/>
                <w:szCs w:val="20"/>
                <w:color w:val="auto"/>
              </w:rPr>
            </w:pPr>
            <w:r>
              <w:rPr>
                <w:rFonts w:ascii="Arial" w:cs="Arial" w:eastAsia="Arial" w:hAnsi="Arial"/>
                <w:sz w:val="14"/>
                <w:szCs w:val="14"/>
                <w:b w:val="1"/>
                <w:bCs w:val="1"/>
                <w:color w:val="auto"/>
              </w:rPr>
              <w:t>(in millions of dollars, except per share amounts)</w:t>
            </w: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20" w:type="dxa"/>
            <w:vAlign w:val="bottom"/>
            <w:gridSpan w:val="5"/>
          </w:tcPr>
          <w:p>
            <w:pPr>
              <w:jc w:val="right"/>
              <w:ind w:right="275"/>
              <w:spacing w:after="0"/>
              <w:rPr>
                <w:sz w:val="20"/>
                <w:szCs w:val="20"/>
                <w:color w:val="auto"/>
              </w:rPr>
            </w:pPr>
            <w:r>
              <w:rPr>
                <w:rFonts w:ascii="Arial" w:cs="Arial" w:eastAsia="Arial" w:hAnsi="Arial"/>
                <w:sz w:val="14"/>
                <w:szCs w:val="14"/>
                <w:b w:val="1"/>
                <w:bCs w:val="1"/>
                <w:color w:val="auto"/>
              </w:rPr>
              <w:t>June 30,</w:t>
            </w: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140" w:type="dxa"/>
            <w:vAlign w:val="bottom"/>
            <w:gridSpan w:val="6"/>
          </w:tcPr>
          <w:p>
            <w:pPr>
              <w:jc w:val="center"/>
              <w:ind w:right="100"/>
              <w:spacing w:after="0"/>
              <w:rPr>
                <w:sz w:val="20"/>
                <w:szCs w:val="20"/>
                <w:color w:val="auto"/>
              </w:rPr>
            </w:pPr>
            <w:r>
              <w:rPr>
                <w:rFonts w:ascii="Arial" w:cs="Arial" w:eastAsia="Arial" w:hAnsi="Arial"/>
                <w:sz w:val="14"/>
                <w:szCs w:val="14"/>
                <w:b w:val="1"/>
                <w:bCs w:val="1"/>
                <w:color w:val="auto"/>
                <w:w w:val="85"/>
              </w:rPr>
              <w:t>June 30,</w:t>
            </w:r>
          </w:p>
        </w:tc>
        <w:tc>
          <w:tcPr>
            <w:tcW w:w="0" w:type="dxa"/>
            <w:vAlign w:val="bottom"/>
          </w:tcPr>
          <w:p>
            <w:pPr>
              <w:spacing w:after="0"/>
              <w:rPr>
                <w:sz w:val="1"/>
                <w:szCs w:val="1"/>
                <w:color w:val="auto"/>
              </w:rPr>
            </w:pPr>
          </w:p>
        </w:tc>
      </w:tr>
      <w:tr>
        <w:trPr>
          <w:trHeight w:val="142"/>
        </w:trPr>
        <w:tc>
          <w:tcPr>
            <w:tcW w:w="8780" w:type="dxa"/>
            <w:vAlign w:val="bottom"/>
            <w:gridSpan w:val="5"/>
            <w:vMerge w:val="continue"/>
          </w:tcPr>
          <w:p>
            <w:pPr>
              <w:spacing w:after="0"/>
              <w:rPr>
                <w:sz w:val="12"/>
                <w:szCs w:val="12"/>
                <w:color w:val="auto"/>
              </w:rPr>
            </w:pPr>
          </w:p>
        </w:tc>
        <w:tc>
          <w:tcPr>
            <w:tcW w:w="500" w:type="dxa"/>
            <w:vAlign w:val="bottom"/>
            <w:tcBorders>
              <w:top w:val="single" w:sz="8" w:color="auto"/>
            </w:tcBorders>
            <w:gridSpan w:val="3"/>
          </w:tcPr>
          <w:p>
            <w:pPr>
              <w:ind w:left="100"/>
              <w:spacing w:after="0" w:line="142" w:lineRule="exact"/>
              <w:rPr>
                <w:sz w:val="20"/>
                <w:szCs w:val="20"/>
                <w:color w:val="auto"/>
              </w:rPr>
            </w:pPr>
            <w:r>
              <w:rPr>
                <w:rFonts w:ascii="Arial" w:cs="Arial" w:eastAsia="Arial" w:hAnsi="Arial"/>
                <w:sz w:val="14"/>
                <w:szCs w:val="14"/>
                <w:b w:val="1"/>
                <w:bCs w:val="1"/>
                <w:color w:val="auto"/>
              </w:rPr>
              <w:t>2008</w:t>
            </w:r>
          </w:p>
        </w:tc>
        <w:tc>
          <w:tcPr>
            <w:tcW w:w="160" w:type="dxa"/>
            <w:vAlign w:val="bottom"/>
            <w:tcBorders>
              <w:top w:val="single" w:sz="8" w:color="auto"/>
            </w:tcBorders>
          </w:tcPr>
          <w:p>
            <w:pPr>
              <w:spacing w:after="0"/>
              <w:rPr>
                <w:sz w:val="12"/>
                <w:szCs w:val="12"/>
                <w:color w:val="auto"/>
              </w:rPr>
            </w:pPr>
          </w:p>
        </w:tc>
        <w:tc>
          <w:tcPr>
            <w:tcW w:w="40" w:type="dxa"/>
            <w:vAlign w:val="bottom"/>
            <w:tcBorders>
              <w:top w:val="single" w:sz="8" w:color="auto"/>
            </w:tcBorders>
          </w:tcPr>
          <w:p>
            <w:pPr>
              <w:spacing w:after="0"/>
              <w:rPr>
                <w:sz w:val="12"/>
                <w:szCs w:val="12"/>
                <w:color w:val="auto"/>
              </w:rPr>
            </w:pPr>
          </w:p>
        </w:tc>
        <w:tc>
          <w:tcPr>
            <w:tcW w:w="100" w:type="dxa"/>
            <w:vAlign w:val="bottom"/>
            <w:tcBorders>
              <w:top w:val="single" w:sz="8" w:color="auto"/>
            </w:tcBorders>
          </w:tcPr>
          <w:p>
            <w:pPr>
              <w:spacing w:after="0"/>
              <w:rPr>
                <w:sz w:val="12"/>
                <w:szCs w:val="12"/>
                <w:color w:val="auto"/>
              </w:rPr>
            </w:pPr>
          </w:p>
        </w:tc>
        <w:tc>
          <w:tcPr>
            <w:tcW w:w="400" w:type="dxa"/>
            <w:vAlign w:val="bottom"/>
            <w:tcBorders>
              <w:top w:val="single" w:sz="8" w:color="auto"/>
            </w:tcBorders>
          </w:tcPr>
          <w:p>
            <w:pPr>
              <w:jc w:val="right"/>
              <w:ind w:right="15"/>
              <w:spacing w:after="0" w:line="142" w:lineRule="exact"/>
              <w:rPr>
                <w:sz w:val="20"/>
                <w:szCs w:val="20"/>
                <w:color w:val="auto"/>
              </w:rPr>
            </w:pPr>
            <w:r>
              <w:rPr>
                <w:rFonts w:ascii="Arial" w:cs="Arial" w:eastAsia="Arial" w:hAnsi="Arial"/>
                <w:sz w:val="14"/>
                <w:szCs w:val="14"/>
                <w:b w:val="1"/>
                <w:bCs w:val="1"/>
                <w:color w:val="auto"/>
                <w:w w:val="89"/>
              </w:rPr>
              <w:t>2007</w:t>
            </w: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 w:type="dxa"/>
            <w:vAlign w:val="bottom"/>
            <w:tcBorders>
              <w:top w:val="single" w:sz="8" w:color="auto"/>
            </w:tcBorders>
          </w:tcPr>
          <w:p>
            <w:pPr>
              <w:spacing w:after="0"/>
              <w:rPr>
                <w:sz w:val="12"/>
                <w:szCs w:val="12"/>
                <w:color w:val="auto"/>
              </w:rPr>
            </w:pPr>
          </w:p>
        </w:tc>
        <w:tc>
          <w:tcPr>
            <w:tcW w:w="400" w:type="dxa"/>
            <w:vAlign w:val="bottom"/>
            <w:tcBorders>
              <w:top w:val="single" w:sz="8" w:color="auto"/>
            </w:tcBorders>
          </w:tcPr>
          <w:p>
            <w:pPr>
              <w:jc w:val="right"/>
              <w:ind w:right="36"/>
              <w:spacing w:after="0" w:line="142" w:lineRule="exact"/>
              <w:rPr>
                <w:sz w:val="20"/>
                <w:szCs w:val="20"/>
                <w:color w:val="auto"/>
              </w:rPr>
            </w:pPr>
            <w:r>
              <w:rPr>
                <w:rFonts w:ascii="Arial" w:cs="Arial" w:eastAsia="Arial" w:hAnsi="Arial"/>
                <w:sz w:val="14"/>
                <w:szCs w:val="14"/>
                <w:b w:val="1"/>
                <w:bCs w:val="1"/>
                <w:color w:val="auto"/>
                <w:w w:val="83"/>
              </w:rPr>
              <w:t>2008</w:t>
            </w:r>
          </w:p>
        </w:tc>
        <w:tc>
          <w:tcPr>
            <w:tcW w:w="200" w:type="dxa"/>
            <w:vAlign w:val="bottom"/>
            <w:tcBorders>
              <w:top w:val="single" w:sz="8" w:color="auto"/>
            </w:tcBorders>
          </w:tcPr>
          <w:p>
            <w:pPr>
              <w:spacing w:after="0"/>
              <w:rPr>
                <w:sz w:val="12"/>
                <w:szCs w:val="12"/>
                <w:color w:val="auto"/>
              </w:rPr>
            </w:pPr>
          </w:p>
        </w:tc>
        <w:tc>
          <w:tcPr>
            <w:tcW w:w="60" w:type="dxa"/>
            <w:vAlign w:val="bottom"/>
            <w:tcBorders>
              <w:top w:val="single" w:sz="8" w:color="auto"/>
            </w:tcBorders>
          </w:tcPr>
          <w:p>
            <w:pPr>
              <w:spacing w:after="0"/>
              <w:rPr>
                <w:sz w:val="12"/>
                <w:szCs w:val="12"/>
                <w:color w:val="auto"/>
              </w:rPr>
            </w:pPr>
          </w:p>
        </w:tc>
        <w:tc>
          <w:tcPr>
            <w:tcW w:w="60" w:type="dxa"/>
            <w:vAlign w:val="bottom"/>
            <w:tcBorders>
              <w:top w:val="single" w:sz="8" w:color="auto"/>
            </w:tcBorders>
          </w:tcPr>
          <w:p>
            <w:pPr>
              <w:spacing w:after="0"/>
              <w:rPr>
                <w:sz w:val="12"/>
                <w:szCs w:val="12"/>
                <w:color w:val="auto"/>
              </w:rPr>
            </w:pPr>
          </w:p>
        </w:tc>
        <w:tc>
          <w:tcPr>
            <w:tcW w:w="400" w:type="dxa"/>
            <w:vAlign w:val="bottom"/>
            <w:tcBorders>
              <w:top w:val="single" w:sz="8" w:color="auto"/>
            </w:tcBorders>
          </w:tcPr>
          <w:p>
            <w:pPr>
              <w:jc w:val="right"/>
              <w:ind w:right="35"/>
              <w:spacing w:after="0" w:line="142" w:lineRule="exact"/>
              <w:rPr>
                <w:sz w:val="20"/>
                <w:szCs w:val="20"/>
                <w:color w:val="auto"/>
              </w:rPr>
            </w:pPr>
            <w:r>
              <w:rPr>
                <w:rFonts w:ascii="Arial" w:cs="Arial" w:eastAsia="Arial" w:hAnsi="Arial"/>
                <w:sz w:val="14"/>
                <w:szCs w:val="14"/>
                <w:b w:val="1"/>
                <w:bCs w:val="1"/>
                <w:color w:val="auto"/>
                <w:w w:val="83"/>
              </w:rPr>
              <w:t>2007</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0"/>
        </w:trPr>
        <w:tc>
          <w:tcPr>
            <w:tcW w:w="20" w:type="dxa"/>
            <w:vAlign w:val="bottom"/>
            <w:vMerge w:val="restart"/>
          </w:tcPr>
          <w:p>
            <w:pPr>
              <w:spacing w:after="0" w:line="20" w:lineRule="exact"/>
              <w:rPr>
                <w:sz w:val="1"/>
                <w:szCs w:val="1"/>
                <w:color w:val="auto"/>
              </w:rPr>
            </w:pPr>
          </w:p>
        </w:tc>
        <w:tc>
          <w:tcPr>
            <w:tcW w:w="440" w:type="dxa"/>
            <w:vAlign w:val="bottom"/>
            <w:shd w:val="clear" w:color="auto" w:fill="000000"/>
          </w:tcPr>
          <w:p>
            <w:pPr>
              <w:spacing w:after="0" w:line="20" w:lineRule="exact"/>
              <w:rPr>
                <w:sz w:val="1"/>
                <w:szCs w:val="1"/>
                <w:color w:val="auto"/>
              </w:rPr>
            </w:pPr>
          </w:p>
        </w:tc>
        <w:tc>
          <w:tcPr>
            <w:tcW w:w="1360" w:type="dxa"/>
            <w:vAlign w:val="bottom"/>
            <w:shd w:val="clear" w:color="auto" w:fill="000000"/>
          </w:tcPr>
          <w:p>
            <w:pPr>
              <w:spacing w:after="0" w:line="20" w:lineRule="exact"/>
              <w:rPr>
                <w:sz w:val="1"/>
                <w:szCs w:val="1"/>
                <w:color w:val="auto"/>
              </w:rPr>
            </w:pPr>
          </w:p>
        </w:tc>
        <w:tc>
          <w:tcPr>
            <w:tcW w:w="1180" w:type="dxa"/>
            <w:vAlign w:val="bottom"/>
            <w:shd w:val="clear" w:color="auto" w:fill="000000"/>
          </w:tcPr>
          <w:p>
            <w:pPr>
              <w:spacing w:after="0" w:line="20" w:lineRule="exact"/>
              <w:rPr>
                <w:sz w:val="1"/>
                <w:szCs w:val="1"/>
                <w:color w:val="auto"/>
              </w:rPr>
            </w:pPr>
          </w:p>
        </w:tc>
        <w:tc>
          <w:tcPr>
            <w:tcW w:w="578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60" w:type="dxa"/>
            <w:vAlign w:val="bottom"/>
            <w:tcBorders>
              <w:right w:val="single" w:sz="8" w:color="auto"/>
            </w:tcBorders>
          </w:tcPr>
          <w:p>
            <w:pPr>
              <w:spacing w:after="0" w:line="20" w:lineRule="exact"/>
              <w:rPr>
                <w:sz w:val="1"/>
                <w:szCs w:val="1"/>
                <w:color w:val="auto"/>
              </w:rPr>
            </w:pPr>
          </w:p>
        </w:tc>
        <w:tc>
          <w:tcPr>
            <w:tcW w:w="60" w:type="dxa"/>
            <w:vAlign w:val="bottom"/>
            <w:shd w:val="clear" w:color="auto" w:fill="000000"/>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vMerge w:val="continue"/>
          </w:tcPr>
          <w:p>
            <w:pPr>
              <w:spacing w:after="0"/>
              <w:rPr>
                <w:sz w:val="18"/>
                <w:szCs w:val="18"/>
                <w:color w:val="auto"/>
              </w:rPr>
            </w:pPr>
          </w:p>
        </w:tc>
        <w:tc>
          <w:tcPr>
            <w:tcW w:w="298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Net income</w:t>
            </w:r>
          </w:p>
        </w:tc>
        <w:tc>
          <w:tcPr>
            <w:tcW w:w="5780" w:type="dxa"/>
            <w:vAlign w:val="bottom"/>
            <w:shd w:val="clear" w:color="auto" w:fill="CCEEFF"/>
          </w:tcPr>
          <w:p>
            <w:pPr>
              <w:spacing w:after="0"/>
              <w:rPr>
                <w:sz w:val="18"/>
                <w:szCs w:val="18"/>
                <w:color w:val="auto"/>
              </w:rPr>
            </w:pPr>
          </w:p>
        </w:tc>
        <w:tc>
          <w:tcPr>
            <w:tcW w:w="500" w:type="dxa"/>
            <w:vAlign w:val="bottom"/>
            <w:gridSpan w:val="3"/>
            <w:shd w:val="clear" w:color="auto" w:fill="CCEEFF"/>
          </w:tcPr>
          <w:p>
            <w:pPr>
              <w:jc w:val="right"/>
              <w:spacing w:after="0"/>
              <w:rPr>
                <w:sz w:val="20"/>
                <w:szCs w:val="20"/>
                <w:color w:val="auto"/>
              </w:rPr>
            </w:pPr>
            <w:r>
              <w:rPr>
                <w:rFonts w:ascii="Arial" w:cs="Arial" w:eastAsia="Arial" w:hAnsi="Arial"/>
                <w:sz w:val="18"/>
                <w:szCs w:val="18"/>
                <w:u w:val="single" w:color="auto"/>
                <w:color w:val="auto"/>
                <w:w w:val="87"/>
              </w:rPr>
              <w:t>$</w:t>
            </w:r>
            <w:r>
              <w:rPr>
                <w:rFonts w:ascii="Arial" w:cs="Arial" w:eastAsia="Arial" w:hAnsi="Arial"/>
                <w:sz w:val="18"/>
                <w:szCs w:val="18"/>
                <w:color w:val="auto"/>
                <w:w w:val="87"/>
              </w:rPr>
              <w:t>1,275</w:t>
            </w:r>
          </w:p>
        </w:tc>
        <w:tc>
          <w:tcPr>
            <w:tcW w:w="16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u w:val="single" w:color="auto"/>
                <w:color w:val="auto"/>
                <w:w w:val="79"/>
              </w:rPr>
              <w:t>$</w:t>
            </w:r>
          </w:p>
        </w:tc>
        <w:tc>
          <w:tcPr>
            <w:tcW w:w="4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4"/>
              </w:rPr>
              <w:t>1,148</w:t>
            </w:r>
          </w:p>
        </w:tc>
        <w:tc>
          <w:tcPr>
            <w:tcW w:w="220" w:type="dxa"/>
            <w:vAlign w:val="bottom"/>
            <w:gridSpan w:val="2"/>
            <w:shd w:val="clear" w:color="auto" w:fill="CCEEFF"/>
          </w:tcPr>
          <w:p>
            <w:pPr>
              <w:spacing w:after="0"/>
              <w:rPr>
                <w:sz w:val="18"/>
                <w:szCs w:val="18"/>
                <w:color w:val="auto"/>
              </w:rPr>
            </w:pPr>
          </w:p>
        </w:tc>
        <w:tc>
          <w:tcPr>
            <w:tcW w:w="700" w:type="dxa"/>
            <w:vAlign w:val="bottom"/>
            <w:gridSpan w:val="3"/>
            <w:shd w:val="clear" w:color="auto" w:fill="CCEEFF"/>
          </w:tcPr>
          <w:p>
            <w:pPr>
              <w:jc w:val="right"/>
              <w:ind w:right="200"/>
              <w:spacing w:after="0"/>
              <w:rPr>
                <w:sz w:val="20"/>
                <w:szCs w:val="20"/>
                <w:color w:val="auto"/>
              </w:rPr>
            </w:pPr>
            <w:r>
              <w:rPr>
                <w:rFonts w:ascii="Arial" w:cs="Arial" w:eastAsia="Arial" w:hAnsi="Arial"/>
                <w:sz w:val="18"/>
                <w:szCs w:val="18"/>
                <w:u w:val="single" w:color="auto"/>
                <w:color w:val="auto"/>
                <w:w w:val="87"/>
              </w:rPr>
              <w:t>$</w:t>
            </w:r>
            <w:r>
              <w:rPr>
                <w:rFonts w:ascii="Arial" w:cs="Arial" w:eastAsia="Arial" w:hAnsi="Arial"/>
                <w:sz w:val="18"/>
                <w:szCs w:val="18"/>
                <w:color w:val="auto"/>
                <w:w w:val="87"/>
              </w:rPr>
              <w:t>2,275</w:t>
            </w:r>
          </w:p>
        </w:tc>
        <w:tc>
          <w:tcPr>
            <w:tcW w:w="1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u w:val="single" w:color="auto"/>
                <w:color w:val="auto"/>
                <w:w w:val="79"/>
              </w:rPr>
              <w:t>$</w:t>
            </w:r>
          </w:p>
        </w:tc>
        <w:tc>
          <w:tcPr>
            <w:tcW w:w="4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4"/>
              </w:rPr>
              <w:t>1,967</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8780" w:type="dxa"/>
            <w:vAlign w:val="bottom"/>
            <w:gridSpan w:val="5"/>
            <w:vMerge w:val="restart"/>
          </w:tcPr>
          <w:p>
            <w:pPr>
              <w:spacing w:after="0"/>
              <w:rPr>
                <w:sz w:val="20"/>
                <w:szCs w:val="20"/>
                <w:color w:val="auto"/>
              </w:rPr>
            </w:pPr>
            <w:r>
              <w:rPr>
                <w:rFonts w:ascii="Arial" w:cs="Arial" w:eastAsia="Arial" w:hAnsi="Arial"/>
                <w:sz w:val="18"/>
                <w:szCs w:val="18"/>
                <w:color w:val="auto"/>
              </w:rPr>
              <w:t>Average shares:</w:t>
            </w:r>
          </w:p>
        </w:tc>
        <w:tc>
          <w:tcPr>
            <w:tcW w:w="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8"/>
        </w:trPr>
        <w:tc>
          <w:tcPr>
            <w:tcW w:w="8780" w:type="dxa"/>
            <w:vAlign w:val="bottom"/>
            <w:gridSpan w:val="5"/>
            <w:vMerge w:val="continue"/>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8"/>
        </w:trPr>
        <w:tc>
          <w:tcPr>
            <w:tcW w:w="20" w:type="dxa"/>
            <w:vAlign w:val="bottom"/>
          </w:tcPr>
          <w:p>
            <w:pPr>
              <w:spacing w:after="0"/>
              <w:rPr>
                <w:sz w:val="18"/>
                <w:szCs w:val="18"/>
                <w:color w:val="auto"/>
              </w:rPr>
            </w:pPr>
          </w:p>
        </w:tc>
        <w:tc>
          <w:tcPr>
            <w:tcW w:w="8760" w:type="dxa"/>
            <w:vAlign w:val="bottom"/>
            <w:gridSpan w:val="4"/>
            <w:shd w:val="clear" w:color="auto" w:fill="CCEEFF"/>
          </w:tcPr>
          <w:p>
            <w:pPr>
              <w:ind w:left="420"/>
              <w:spacing w:after="0"/>
              <w:rPr>
                <w:sz w:val="20"/>
                <w:szCs w:val="20"/>
                <w:color w:val="auto"/>
              </w:rPr>
            </w:pPr>
            <w:r>
              <w:rPr>
                <w:rFonts w:ascii="Arial" w:cs="Arial" w:eastAsia="Arial" w:hAnsi="Arial"/>
                <w:sz w:val="18"/>
                <w:szCs w:val="18"/>
                <w:color w:val="auto"/>
              </w:rPr>
              <w:t>Basic</w:t>
            </w: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944</w:t>
            </w:r>
          </w:p>
        </w:tc>
        <w:tc>
          <w:tcPr>
            <w:tcW w:w="16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966</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948</w:t>
            </w:r>
          </w:p>
        </w:tc>
        <w:tc>
          <w:tcPr>
            <w:tcW w:w="60" w:type="dxa"/>
            <w:vAlign w:val="bottom"/>
            <w:tcBorders>
              <w:right w:val="single" w:sz="8" w:color="CCEEFF"/>
            </w:tcBorders>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967</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760" w:type="dxa"/>
            <w:vAlign w:val="bottom"/>
            <w:gridSpan w:val="4"/>
          </w:tcPr>
          <w:p>
            <w:pPr>
              <w:ind w:left="420"/>
              <w:spacing w:after="0"/>
              <w:rPr>
                <w:sz w:val="20"/>
                <w:szCs w:val="20"/>
                <w:color w:val="auto"/>
              </w:rPr>
            </w:pPr>
            <w:r>
              <w:rPr>
                <w:rFonts w:ascii="Arial" w:cs="Arial" w:eastAsia="Arial" w:hAnsi="Arial"/>
                <w:sz w:val="18"/>
                <w:szCs w:val="18"/>
                <w:color w:val="auto"/>
              </w:rPr>
              <w:t>Stock awards</w:t>
            </w: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20" w:type="dxa"/>
            <w:vAlign w:val="bottom"/>
          </w:tcPr>
          <w:p>
            <w:pPr>
              <w:jc w:val="right"/>
              <w:spacing w:after="0"/>
              <w:rPr>
                <w:sz w:val="20"/>
                <w:szCs w:val="20"/>
                <w:color w:val="auto"/>
              </w:rPr>
            </w:pPr>
            <w:r>
              <w:rPr>
                <w:rFonts w:ascii="Arial" w:cs="Arial" w:eastAsia="Arial" w:hAnsi="Arial"/>
                <w:sz w:val="18"/>
                <w:szCs w:val="18"/>
                <w:color w:val="auto"/>
              </w:rPr>
              <w:t>22</w:t>
            </w:r>
          </w:p>
        </w:tc>
        <w:tc>
          <w:tcPr>
            <w:tcW w:w="1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00" w:type="dxa"/>
            <w:vAlign w:val="bottom"/>
          </w:tcPr>
          <w:p>
            <w:pPr>
              <w:jc w:val="right"/>
              <w:spacing w:after="0"/>
              <w:rPr>
                <w:sz w:val="20"/>
                <w:szCs w:val="20"/>
                <w:color w:val="auto"/>
              </w:rPr>
            </w:pPr>
            <w:r>
              <w:rPr>
                <w:rFonts w:ascii="Arial" w:cs="Arial" w:eastAsia="Arial" w:hAnsi="Arial"/>
                <w:sz w:val="18"/>
                <w:szCs w:val="18"/>
                <w:color w:val="auto"/>
              </w:rPr>
              <w:t>24</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0" w:type="dxa"/>
            <w:vAlign w:val="bottom"/>
            <w:gridSpan w:val="2"/>
          </w:tcPr>
          <w:p>
            <w:pPr>
              <w:jc w:val="right"/>
              <w:ind w:right="200"/>
              <w:spacing w:after="0"/>
              <w:rPr>
                <w:sz w:val="20"/>
                <w:szCs w:val="20"/>
                <w:color w:val="auto"/>
              </w:rPr>
            </w:pPr>
            <w:r>
              <w:rPr>
                <w:rFonts w:ascii="Arial" w:cs="Arial" w:eastAsia="Arial" w:hAnsi="Arial"/>
                <w:sz w:val="18"/>
                <w:szCs w:val="18"/>
                <w:color w:val="auto"/>
              </w:rPr>
              <w:t>23</w:t>
            </w:r>
          </w:p>
        </w:tc>
        <w:tc>
          <w:tcPr>
            <w:tcW w:w="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400" w:type="dxa"/>
            <w:vAlign w:val="bottom"/>
          </w:tcPr>
          <w:p>
            <w:pPr>
              <w:jc w:val="right"/>
              <w:spacing w:after="0"/>
              <w:rPr>
                <w:sz w:val="20"/>
                <w:szCs w:val="20"/>
                <w:color w:val="auto"/>
              </w:rPr>
            </w:pPr>
            <w:r>
              <w:rPr>
                <w:rFonts w:ascii="Arial" w:cs="Arial" w:eastAsia="Arial" w:hAnsi="Arial"/>
                <w:sz w:val="18"/>
                <w:szCs w:val="18"/>
                <w:color w:val="auto"/>
              </w:rPr>
              <w:t>24</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440" w:type="dxa"/>
            <w:vAlign w:val="bottom"/>
          </w:tcPr>
          <w:p>
            <w:pPr>
              <w:spacing w:after="0"/>
              <w:rPr>
                <w:sz w:val="2"/>
                <w:szCs w:val="2"/>
                <w:color w:val="auto"/>
              </w:rPr>
            </w:pPr>
          </w:p>
        </w:tc>
        <w:tc>
          <w:tcPr>
            <w:tcW w:w="1360" w:type="dxa"/>
            <w:vAlign w:val="bottom"/>
          </w:tcPr>
          <w:p>
            <w:pPr>
              <w:spacing w:after="0"/>
              <w:rPr>
                <w:sz w:val="2"/>
                <w:szCs w:val="2"/>
                <w:color w:val="auto"/>
              </w:rPr>
            </w:pPr>
          </w:p>
        </w:tc>
        <w:tc>
          <w:tcPr>
            <w:tcW w:w="1180" w:type="dxa"/>
            <w:vAlign w:val="bottom"/>
          </w:tcPr>
          <w:p>
            <w:pPr>
              <w:spacing w:after="0"/>
              <w:rPr>
                <w:sz w:val="2"/>
                <w:szCs w:val="2"/>
                <w:color w:val="auto"/>
              </w:rPr>
            </w:pPr>
          </w:p>
        </w:tc>
        <w:tc>
          <w:tcPr>
            <w:tcW w:w="578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320" w:type="dxa"/>
            <w:vAlign w:val="bottom"/>
            <w:shd w:val="clear" w:color="auto" w:fill="000000"/>
          </w:tcPr>
          <w:p>
            <w:pPr>
              <w:spacing w:after="0"/>
              <w:rPr>
                <w:sz w:val="2"/>
                <w:szCs w:val="2"/>
                <w:color w:val="auto"/>
              </w:rPr>
            </w:pPr>
          </w:p>
        </w:tc>
        <w:tc>
          <w:tcPr>
            <w:tcW w:w="160" w:type="dxa"/>
            <w:vAlign w:val="bottom"/>
          </w:tcPr>
          <w:p>
            <w:pPr>
              <w:spacing w:after="0"/>
              <w:rPr>
                <w:sz w:val="2"/>
                <w:szCs w:val="2"/>
                <w:color w:val="auto"/>
              </w:rPr>
            </w:pPr>
          </w:p>
        </w:tc>
        <w:tc>
          <w:tcPr>
            <w:tcW w:w="4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40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40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60" w:type="dxa"/>
            <w:vAlign w:val="bottom"/>
            <w:tcBorders>
              <w:right w:val="single" w:sz="8" w:color="auto"/>
            </w:tcBorders>
          </w:tcPr>
          <w:p>
            <w:pPr>
              <w:spacing w:after="0"/>
              <w:rPr>
                <w:sz w:val="2"/>
                <w:szCs w:val="2"/>
                <w:color w:val="auto"/>
              </w:rPr>
            </w:pPr>
          </w:p>
        </w:tc>
        <w:tc>
          <w:tcPr>
            <w:tcW w:w="60" w:type="dxa"/>
            <w:vAlign w:val="bottom"/>
            <w:shd w:val="clear" w:color="auto" w:fill="000000"/>
          </w:tcPr>
          <w:p>
            <w:pPr>
              <w:spacing w:after="0"/>
              <w:rPr>
                <w:sz w:val="2"/>
                <w:szCs w:val="2"/>
                <w:color w:val="auto"/>
              </w:rPr>
            </w:pPr>
          </w:p>
        </w:tc>
        <w:tc>
          <w:tcPr>
            <w:tcW w:w="400" w:type="dxa"/>
            <w:vAlign w:val="bottom"/>
            <w:shd w:val="clear" w:color="auto" w:fill="000000"/>
          </w:tcPr>
          <w:p>
            <w:pPr>
              <w:spacing w:after="0"/>
              <w:rPr>
                <w:sz w:val="2"/>
                <w:szCs w:val="2"/>
                <w:color w:val="auto"/>
              </w:rPr>
            </w:pPr>
          </w:p>
        </w:tc>
        <w:tc>
          <w:tcPr>
            <w:tcW w:w="20" w:type="dxa"/>
            <w:vAlign w:val="bottom"/>
            <w:vMerge w:val="restart"/>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tcPr>
          <w:p>
            <w:pPr>
              <w:spacing w:after="0"/>
              <w:rPr>
                <w:sz w:val="18"/>
                <w:szCs w:val="18"/>
                <w:color w:val="auto"/>
              </w:rPr>
            </w:pPr>
          </w:p>
        </w:tc>
        <w:tc>
          <w:tcPr>
            <w:tcW w:w="8760" w:type="dxa"/>
            <w:vAlign w:val="bottom"/>
            <w:gridSpan w:val="4"/>
            <w:shd w:val="clear" w:color="auto" w:fill="CCEEFF"/>
          </w:tcPr>
          <w:p>
            <w:pPr>
              <w:ind w:left="420"/>
              <w:spacing w:after="0"/>
              <w:rPr>
                <w:sz w:val="20"/>
                <w:szCs w:val="20"/>
                <w:color w:val="auto"/>
              </w:rPr>
            </w:pPr>
            <w:r>
              <w:rPr>
                <w:rFonts w:ascii="Arial" w:cs="Arial" w:eastAsia="Arial" w:hAnsi="Arial"/>
                <w:sz w:val="18"/>
                <w:szCs w:val="18"/>
                <w:color w:val="auto"/>
              </w:rPr>
              <w:t>Diluted</w:t>
            </w: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966</w:t>
            </w:r>
          </w:p>
        </w:tc>
        <w:tc>
          <w:tcPr>
            <w:tcW w:w="16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990</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971</w:t>
            </w:r>
          </w:p>
        </w:tc>
        <w:tc>
          <w:tcPr>
            <w:tcW w:w="60" w:type="dxa"/>
            <w:vAlign w:val="bottom"/>
            <w:tcBorders>
              <w:right w:val="single" w:sz="8" w:color="CCEEFF"/>
            </w:tcBorders>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991</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8780" w:type="dxa"/>
            <w:vAlign w:val="bottom"/>
            <w:gridSpan w:val="5"/>
            <w:vMerge w:val="restart"/>
          </w:tcPr>
          <w:p>
            <w:pPr>
              <w:spacing w:after="0"/>
              <w:rPr>
                <w:sz w:val="20"/>
                <w:szCs w:val="20"/>
                <w:color w:val="auto"/>
              </w:rPr>
            </w:pPr>
            <w:r>
              <w:rPr>
                <w:rFonts w:ascii="Arial" w:cs="Arial" w:eastAsia="Arial" w:hAnsi="Arial"/>
                <w:sz w:val="18"/>
                <w:szCs w:val="18"/>
                <w:color w:val="auto"/>
              </w:rPr>
              <w:t>Earnings per share of Common Stock:</w:t>
            </w:r>
          </w:p>
        </w:tc>
        <w:tc>
          <w:tcPr>
            <w:tcW w:w="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8"/>
        </w:trPr>
        <w:tc>
          <w:tcPr>
            <w:tcW w:w="8780" w:type="dxa"/>
            <w:vAlign w:val="bottom"/>
            <w:gridSpan w:val="5"/>
            <w:vMerge w:val="continue"/>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8"/>
        </w:trPr>
        <w:tc>
          <w:tcPr>
            <w:tcW w:w="20" w:type="dxa"/>
            <w:vAlign w:val="bottom"/>
          </w:tcPr>
          <w:p>
            <w:pPr>
              <w:spacing w:after="0"/>
              <w:rPr>
                <w:sz w:val="18"/>
                <w:szCs w:val="18"/>
                <w:color w:val="auto"/>
              </w:rPr>
            </w:pPr>
          </w:p>
        </w:tc>
        <w:tc>
          <w:tcPr>
            <w:tcW w:w="8760" w:type="dxa"/>
            <w:vAlign w:val="bottom"/>
            <w:gridSpan w:val="4"/>
            <w:shd w:val="clear" w:color="auto" w:fill="CCEEFF"/>
          </w:tcPr>
          <w:p>
            <w:pPr>
              <w:ind w:left="420"/>
              <w:spacing w:after="0"/>
              <w:rPr>
                <w:sz w:val="20"/>
                <w:szCs w:val="20"/>
                <w:color w:val="auto"/>
              </w:rPr>
            </w:pPr>
            <w:r>
              <w:rPr>
                <w:rFonts w:ascii="Arial" w:cs="Arial" w:eastAsia="Arial" w:hAnsi="Arial"/>
                <w:sz w:val="18"/>
                <w:szCs w:val="18"/>
                <w:color w:val="auto"/>
              </w:rPr>
              <w:t>Basic</w:t>
            </w: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00" w:type="dxa"/>
            <w:vAlign w:val="bottom"/>
            <w:shd w:val="clear" w:color="auto" w:fill="CCEEFF"/>
          </w:tcPr>
          <w:p>
            <w:pPr>
              <w:spacing w:after="0"/>
              <w:rPr>
                <w:sz w:val="18"/>
                <w:szCs w:val="18"/>
                <w:color w:val="auto"/>
              </w:rPr>
            </w:pPr>
          </w:p>
        </w:tc>
        <w:tc>
          <w:tcPr>
            <w:tcW w:w="3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5"/>
              </w:rPr>
              <w:t>1.35</w:t>
            </w:r>
          </w:p>
        </w:tc>
        <w:tc>
          <w:tcPr>
            <w:tcW w:w="16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1.19</w:t>
            </w:r>
          </w:p>
        </w:tc>
        <w:tc>
          <w:tcPr>
            <w:tcW w:w="32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0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2.40</w:t>
            </w:r>
          </w:p>
        </w:tc>
        <w:tc>
          <w:tcPr>
            <w:tcW w:w="1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w w:val="79"/>
              </w:rPr>
              <w:t>$</w:t>
            </w:r>
          </w:p>
        </w:tc>
        <w:tc>
          <w:tcPr>
            <w:tcW w:w="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2.03</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8760" w:type="dxa"/>
            <w:vAlign w:val="bottom"/>
            <w:gridSpan w:val="4"/>
          </w:tcPr>
          <w:p>
            <w:pPr>
              <w:ind w:left="420"/>
              <w:spacing w:after="0"/>
              <w:rPr>
                <w:sz w:val="20"/>
                <w:szCs w:val="20"/>
                <w:color w:val="auto"/>
              </w:rPr>
            </w:pPr>
            <w:r>
              <w:rPr>
                <w:rFonts w:ascii="Arial" w:cs="Arial" w:eastAsia="Arial" w:hAnsi="Arial"/>
                <w:sz w:val="18"/>
                <w:szCs w:val="18"/>
                <w:color w:val="auto"/>
              </w:rPr>
              <w:t>Diluted</w:t>
            </w:r>
          </w:p>
        </w:tc>
        <w:tc>
          <w:tcPr>
            <w:tcW w:w="8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00" w:type="dxa"/>
            <w:vAlign w:val="bottom"/>
          </w:tcPr>
          <w:p>
            <w:pPr>
              <w:spacing w:after="0"/>
              <w:rPr>
                <w:sz w:val="19"/>
                <w:szCs w:val="19"/>
                <w:color w:val="auto"/>
              </w:rPr>
            </w:pPr>
          </w:p>
        </w:tc>
        <w:tc>
          <w:tcPr>
            <w:tcW w:w="320" w:type="dxa"/>
            <w:vAlign w:val="bottom"/>
          </w:tcPr>
          <w:p>
            <w:pPr>
              <w:jc w:val="right"/>
              <w:spacing w:after="0"/>
              <w:rPr>
                <w:sz w:val="20"/>
                <w:szCs w:val="20"/>
                <w:color w:val="auto"/>
              </w:rPr>
            </w:pPr>
            <w:r>
              <w:rPr>
                <w:rFonts w:ascii="Arial" w:cs="Arial" w:eastAsia="Arial" w:hAnsi="Arial"/>
                <w:sz w:val="18"/>
                <w:szCs w:val="18"/>
                <w:color w:val="auto"/>
                <w:w w:val="85"/>
              </w:rPr>
              <w:t>1.32</w:t>
            </w:r>
          </w:p>
        </w:tc>
        <w:tc>
          <w:tcPr>
            <w:tcW w:w="16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400" w:type="dxa"/>
            <w:vAlign w:val="bottom"/>
          </w:tcPr>
          <w:p>
            <w:pPr>
              <w:jc w:val="right"/>
              <w:spacing w:after="0"/>
              <w:rPr>
                <w:sz w:val="20"/>
                <w:szCs w:val="20"/>
                <w:color w:val="auto"/>
              </w:rPr>
            </w:pPr>
            <w:r>
              <w:rPr>
                <w:rFonts w:ascii="Arial" w:cs="Arial" w:eastAsia="Arial" w:hAnsi="Arial"/>
                <w:sz w:val="18"/>
                <w:szCs w:val="18"/>
                <w:color w:val="auto"/>
              </w:rPr>
              <w:t>1.16</w:t>
            </w:r>
          </w:p>
        </w:tc>
        <w:tc>
          <w:tcPr>
            <w:tcW w:w="320" w:type="dxa"/>
            <w:vAlign w:val="bottom"/>
            <w:gridSpan w:val="3"/>
          </w:tcPr>
          <w:p>
            <w:pPr>
              <w:jc w:val="right"/>
              <w:spacing w:after="0"/>
              <w:rPr>
                <w:sz w:val="20"/>
                <w:szCs w:val="20"/>
                <w:color w:val="auto"/>
              </w:rPr>
            </w:pPr>
            <w:r>
              <w:rPr>
                <w:rFonts w:ascii="Arial" w:cs="Arial" w:eastAsia="Arial" w:hAnsi="Arial"/>
                <w:sz w:val="18"/>
                <w:szCs w:val="18"/>
                <w:color w:val="auto"/>
              </w:rPr>
              <w:t>$</w:t>
            </w:r>
          </w:p>
        </w:tc>
        <w:tc>
          <w:tcPr>
            <w:tcW w:w="600" w:type="dxa"/>
            <w:vAlign w:val="bottom"/>
            <w:gridSpan w:val="2"/>
          </w:tcPr>
          <w:p>
            <w:pPr>
              <w:jc w:val="right"/>
              <w:ind w:right="200"/>
              <w:spacing w:after="0"/>
              <w:rPr>
                <w:sz w:val="20"/>
                <w:szCs w:val="20"/>
                <w:color w:val="auto"/>
              </w:rPr>
            </w:pPr>
            <w:r>
              <w:rPr>
                <w:rFonts w:ascii="Arial" w:cs="Arial" w:eastAsia="Arial" w:hAnsi="Arial"/>
                <w:sz w:val="18"/>
                <w:szCs w:val="18"/>
                <w:color w:val="auto"/>
              </w:rPr>
              <w:t>2.34</w:t>
            </w:r>
          </w:p>
        </w:tc>
        <w:tc>
          <w:tcPr>
            <w:tcW w:w="120" w:type="dxa"/>
            <w:vAlign w:val="bottom"/>
            <w:gridSpan w:val="2"/>
          </w:tcPr>
          <w:p>
            <w:pPr>
              <w:jc w:val="right"/>
              <w:ind w:right="20"/>
              <w:spacing w:after="0"/>
              <w:rPr>
                <w:sz w:val="20"/>
                <w:szCs w:val="20"/>
                <w:color w:val="auto"/>
              </w:rPr>
            </w:pPr>
            <w:r>
              <w:rPr>
                <w:rFonts w:ascii="Arial" w:cs="Arial" w:eastAsia="Arial" w:hAnsi="Arial"/>
                <w:sz w:val="18"/>
                <w:szCs w:val="18"/>
                <w:color w:val="auto"/>
                <w:w w:val="79"/>
              </w:rPr>
              <w:t>$</w:t>
            </w:r>
          </w:p>
        </w:tc>
        <w:tc>
          <w:tcPr>
            <w:tcW w:w="400" w:type="dxa"/>
            <w:vAlign w:val="bottom"/>
          </w:tcPr>
          <w:p>
            <w:pPr>
              <w:jc w:val="right"/>
              <w:spacing w:after="0"/>
              <w:rPr>
                <w:sz w:val="20"/>
                <w:szCs w:val="20"/>
                <w:color w:val="auto"/>
              </w:rPr>
            </w:pPr>
            <w:r>
              <w:rPr>
                <w:rFonts w:ascii="Arial" w:cs="Arial" w:eastAsia="Arial" w:hAnsi="Arial"/>
                <w:sz w:val="18"/>
                <w:szCs w:val="18"/>
                <w:color w:val="auto"/>
              </w:rPr>
              <w:t>1.98</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451"/>
        </w:trPr>
        <w:tc>
          <w:tcPr>
            <w:tcW w:w="8780" w:type="dxa"/>
            <w:vAlign w:val="bottom"/>
            <w:gridSpan w:val="5"/>
          </w:tcPr>
          <w:p>
            <w:pPr>
              <w:spacing w:after="0"/>
              <w:rPr>
                <w:sz w:val="20"/>
                <w:szCs w:val="20"/>
                <w:color w:val="auto"/>
              </w:rPr>
            </w:pPr>
            <w:r>
              <w:rPr>
                <w:rFonts w:ascii="Arial" w:cs="Arial" w:eastAsia="Arial" w:hAnsi="Arial"/>
                <w:sz w:val="18"/>
                <w:szCs w:val="18"/>
                <w:b w:val="1"/>
                <w:bCs w:val="1"/>
                <w:color w:val="auto"/>
              </w:rPr>
              <w:t>Note 3: Inventories and Contracts in Progress</w:t>
            </w: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97"/>
        </w:trPr>
        <w:tc>
          <w:tcPr>
            <w:tcW w:w="20" w:type="dxa"/>
            <w:vAlign w:val="bottom"/>
          </w:tcPr>
          <w:p>
            <w:pPr>
              <w:spacing w:after="0"/>
              <w:rPr>
                <w:sz w:val="24"/>
                <w:szCs w:val="24"/>
                <w:color w:val="auto"/>
              </w:rPr>
            </w:pPr>
          </w:p>
        </w:tc>
        <w:tc>
          <w:tcPr>
            <w:tcW w:w="8760" w:type="dxa"/>
            <w:vAlign w:val="bottom"/>
            <w:gridSpan w:val="4"/>
          </w:tcPr>
          <w:p>
            <w:pPr>
              <w:ind w:left="440"/>
              <w:spacing w:after="0"/>
              <w:rPr>
                <w:sz w:val="20"/>
                <w:szCs w:val="20"/>
                <w:color w:val="auto"/>
              </w:rPr>
            </w:pPr>
            <w:r>
              <w:rPr>
                <w:rFonts w:ascii="Arial" w:cs="Arial" w:eastAsia="Arial" w:hAnsi="Arial"/>
                <w:sz w:val="18"/>
                <w:szCs w:val="18"/>
                <w:color w:val="auto"/>
              </w:rPr>
              <w:t>Inventories consist of the following:</w:t>
            </w: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40"/>
        </w:trPr>
        <w:tc>
          <w:tcPr>
            <w:tcW w:w="2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57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20" w:type="dxa"/>
            <w:vAlign w:val="bottom"/>
            <w:gridSpan w:val="4"/>
          </w:tcPr>
          <w:p>
            <w:pPr>
              <w:jc w:val="center"/>
              <w:ind w:right="20"/>
              <w:spacing w:after="0"/>
              <w:rPr>
                <w:sz w:val="20"/>
                <w:szCs w:val="20"/>
                <w:color w:val="auto"/>
              </w:rPr>
            </w:pPr>
            <w:r>
              <w:rPr>
                <w:rFonts w:ascii="Arial" w:cs="Arial" w:eastAsia="Arial" w:hAnsi="Arial"/>
                <w:sz w:val="14"/>
                <w:szCs w:val="14"/>
                <w:b w:val="1"/>
                <w:bCs w:val="1"/>
                <w:color w:val="auto"/>
                <w:w w:val="85"/>
              </w:rPr>
              <w:t>June 30,</w:t>
            </w:r>
          </w:p>
        </w:tc>
        <w:tc>
          <w:tcPr>
            <w:tcW w:w="10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00" w:type="dxa"/>
            <w:vAlign w:val="bottom"/>
            <w:gridSpan w:val="4"/>
          </w:tcPr>
          <w:p>
            <w:pPr>
              <w:spacing w:after="0"/>
              <w:rPr>
                <w:sz w:val="20"/>
                <w:szCs w:val="20"/>
                <w:color w:val="auto"/>
              </w:rPr>
            </w:pPr>
            <w:r>
              <w:rPr>
                <w:rFonts w:ascii="Arial" w:cs="Arial" w:eastAsia="Arial" w:hAnsi="Arial"/>
                <w:sz w:val="14"/>
                <w:szCs w:val="14"/>
                <w:b w:val="1"/>
                <w:bCs w:val="1"/>
                <w:color w:val="auto"/>
                <w:w w:val="85"/>
              </w:rPr>
              <w:t>December 31,</w:t>
            </w:r>
          </w:p>
        </w:tc>
        <w:tc>
          <w:tcPr>
            <w:tcW w:w="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61"/>
        </w:trPr>
        <w:tc>
          <w:tcPr>
            <w:tcW w:w="2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1360" w:type="dxa"/>
            <w:vAlign w:val="bottom"/>
            <w:tcBorders>
              <w:bottom w:val="single" w:sz="8" w:color="auto"/>
            </w:tcBorders>
          </w:tcPr>
          <w:p>
            <w:pPr>
              <w:spacing w:after="0"/>
              <w:rPr>
                <w:sz w:val="20"/>
                <w:szCs w:val="20"/>
                <w:color w:val="auto"/>
              </w:rPr>
            </w:pPr>
            <w:r>
              <w:rPr>
                <w:rFonts w:ascii="Arial" w:cs="Arial" w:eastAsia="Arial" w:hAnsi="Arial"/>
                <w:sz w:val="14"/>
                <w:szCs w:val="14"/>
                <w:b w:val="1"/>
                <w:bCs w:val="1"/>
                <w:color w:val="auto"/>
                <w:w w:val="92"/>
              </w:rPr>
              <w:t>(in millions of dollars)</w:t>
            </w:r>
          </w:p>
        </w:tc>
        <w:tc>
          <w:tcPr>
            <w:tcW w:w="6960" w:type="dxa"/>
            <w:vAlign w:val="bottom"/>
            <w:gridSpan w:val="2"/>
          </w:tcPr>
          <w:p>
            <w:pPr>
              <w:spacing w:after="0"/>
              <w:rPr>
                <w:sz w:val="14"/>
                <w:szCs w:val="14"/>
                <w:color w:val="auto"/>
              </w:rPr>
            </w:pPr>
          </w:p>
        </w:tc>
        <w:tc>
          <w:tcPr>
            <w:tcW w:w="8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480" w:type="dxa"/>
            <w:vAlign w:val="bottom"/>
            <w:tcBorders>
              <w:bottom w:val="single" w:sz="8" w:color="auto"/>
            </w:tcBorders>
            <w:gridSpan w:val="2"/>
          </w:tcPr>
          <w:p>
            <w:pPr>
              <w:jc w:val="right"/>
              <w:ind w:right="140"/>
              <w:spacing w:after="0"/>
              <w:rPr>
                <w:sz w:val="20"/>
                <w:szCs w:val="20"/>
                <w:color w:val="auto"/>
              </w:rPr>
            </w:pPr>
            <w:r>
              <w:rPr>
                <w:rFonts w:ascii="Arial" w:cs="Arial" w:eastAsia="Arial" w:hAnsi="Arial"/>
                <w:sz w:val="14"/>
                <w:szCs w:val="14"/>
                <w:b w:val="1"/>
                <w:bCs w:val="1"/>
                <w:color w:val="auto"/>
              </w:rPr>
              <w:t>2008</w:t>
            </w:r>
          </w:p>
        </w:tc>
        <w:tc>
          <w:tcPr>
            <w:tcW w:w="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40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2007</w:t>
            </w:r>
          </w:p>
        </w:tc>
        <w:tc>
          <w:tcPr>
            <w:tcW w:w="200" w:type="dxa"/>
            <w:vAlign w:val="bottom"/>
            <w:tcBorders>
              <w:bottom w:val="single" w:sz="8" w:color="auto"/>
            </w:tcBorders>
          </w:tcPr>
          <w:p>
            <w:pPr>
              <w:spacing w:after="0"/>
              <w:rPr>
                <w:sz w:val="14"/>
                <w:szCs w:val="14"/>
                <w:color w:val="auto"/>
              </w:rPr>
            </w:pPr>
          </w:p>
        </w:tc>
        <w:tc>
          <w:tcPr>
            <w:tcW w:w="6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832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Raw materials</w:t>
            </w:r>
          </w:p>
        </w:tc>
        <w:tc>
          <w:tcPr>
            <w:tcW w:w="180" w:type="dxa"/>
            <w:vAlign w:val="bottom"/>
            <w:gridSpan w:val="2"/>
            <w:shd w:val="clear" w:color="auto" w:fill="CCEEFF"/>
          </w:tcPr>
          <w:p>
            <w:pPr>
              <w:ind w:left="80"/>
              <w:spacing w:after="0"/>
              <w:rPr>
                <w:sz w:val="20"/>
                <w:szCs w:val="20"/>
                <w:color w:val="auto"/>
              </w:rPr>
            </w:pPr>
            <w:r>
              <w:rPr>
                <w:rFonts w:ascii="Arial" w:cs="Arial" w:eastAsia="Arial" w:hAnsi="Arial"/>
                <w:sz w:val="18"/>
                <w:szCs w:val="18"/>
                <w:color w:val="auto"/>
                <w:w w:val="79"/>
              </w:rPr>
              <w:t>$</w:t>
            </w:r>
          </w:p>
        </w:tc>
        <w:tc>
          <w:tcPr>
            <w:tcW w:w="520" w:type="dxa"/>
            <w:vAlign w:val="bottom"/>
            <w:gridSpan w:val="3"/>
            <w:shd w:val="clear" w:color="auto" w:fill="CCEEFF"/>
          </w:tcPr>
          <w:p>
            <w:pPr>
              <w:jc w:val="right"/>
              <w:ind w:right="40"/>
              <w:spacing w:after="0"/>
              <w:rPr>
                <w:sz w:val="20"/>
                <w:szCs w:val="20"/>
                <w:color w:val="auto"/>
              </w:rPr>
            </w:pPr>
            <w:r>
              <w:rPr>
                <w:rFonts w:ascii="Arial" w:cs="Arial" w:eastAsia="Arial" w:hAnsi="Arial"/>
                <w:sz w:val="18"/>
                <w:szCs w:val="18"/>
                <w:color w:val="auto"/>
              </w:rPr>
              <w:t>1,355</w:t>
            </w:r>
          </w:p>
        </w:tc>
        <w:tc>
          <w:tcPr>
            <w:tcW w:w="10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220" w:type="dxa"/>
            <w:vAlign w:val="bottom"/>
            <w:gridSpan w:val="2"/>
            <w:shd w:val="clear" w:color="auto" w:fill="CCEEFF"/>
          </w:tcPr>
          <w:p>
            <w:pPr>
              <w:ind w:left="120"/>
              <w:spacing w:after="0"/>
              <w:rPr>
                <w:sz w:val="20"/>
                <w:szCs w:val="20"/>
                <w:color w:val="auto"/>
              </w:rPr>
            </w:pPr>
            <w:r>
              <w:rPr>
                <w:rFonts w:ascii="Arial" w:cs="Arial" w:eastAsia="Arial" w:hAnsi="Arial"/>
                <w:sz w:val="18"/>
                <w:szCs w:val="18"/>
                <w:color w:val="auto"/>
                <w:w w:val="79"/>
              </w:rPr>
              <w:t>$</w:t>
            </w:r>
          </w:p>
        </w:tc>
        <w:tc>
          <w:tcPr>
            <w:tcW w:w="100" w:type="dxa"/>
            <w:vAlign w:val="bottom"/>
            <w:shd w:val="clear" w:color="auto" w:fill="CCEEFF"/>
          </w:tcPr>
          <w:p>
            <w:pPr>
              <w:spacing w:after="0"/>
              <w:rPr>
                <w:sz w:val="18"/>
                <w:szCs w:val="18"/>
                <w:color w:val="auto"/>
              </w:rPr>
            </w:pPr>
          </w:p>
        </w:tc>
        <w:tc>
          <w:tcPr>
            <w:tcW w:w="6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1,281</w:t>
            </w:r>
          </w:p>
        </w:tc>
        <w:tc>
          <w:tcPr>
            <w:tcW w:w="60" w:type="dxa"/>
            <w:vAlign w:val="bottom"/>
            <w:tcBorders>
              <w:right w:val="single" w:sz="8" w:color="CCEEFF"/>
            </w:tcBorders>
            <w:shd w:val="clear" w:color="auto" w:fill="CCEEFF"/>
          </w:tcPr>
          <w:p>
            <w:pPr>
              <w:spacing w:after="0"/>
              <w:rPr>
                <w:sz w:val="18"/>
                <w:szCs w:val="18"/>
                <w:color w:val="auto"/>
              </w:rPr>
            </w:pPr>
          </w:p>
        </w:tc>
        <w:tc>
          <w:tcPr>
            <w:tcW w:w="6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8320" w:type="dxa"/>
            <w:vAlign w:val="bottom"/>
            <w:gridSpan w:val="3"/>
          </w:tcPr>
          <w:p>
            <w:pPr>
              <w:spacing w:after="0"/>
              <w:rPr>
                <w:sz w:val="20"/>
                <w:szCs w:val="20"/>
                <w:color w:val="auto"/>
              </w:rPr>
            </w:pPr>
            <w:r>
              <w:rPr>
                <w:rFonts w:ascii="Arial" w:cs="Arial" w:eastAsia="Arial" w:hAnsi="Arial"/>
                <w:sz w:val="18"/>
                <w:szCs w:val="18"/>
                <w:color w:val="auto"/>
              </w:rPr>
              <w:t>Work-in-process</w:t>
            </w: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20" w:type="dxa"/>
            <w:vAlign w:val="bottom"/>
            <w:gridSpan w:val="3"/>
          </w:tcPr>
          <w:p>
            <w:pPr>
              <w:jc w:val="right"/>
              <w:ind w:right="40"/>
              <w:spacing w:after="0"/>
              <w:rPr>
                <w:sz w:val="20"/>
                <w:szCs w:val="20"/>
                <w:color w:val="auto"/>
              </w:rPr>
            </w:pPr>
            <w:r>
              <w:rPr>
                <w:rFonts w:ascii="Arial" w:cs="Arial" w:eastAsia="Arial" w:hAnsi="Arial"/>
                <w:sz w:val="18"/>
                <w:szCs w:val="18"/>
                <w:color w:val="auto"/>
              </w:rPr>
              <w:t>3,286</w:t>
            </w:r>
          </w:p>
        </w:tc>
        <w:tc>
          <w:tcPr>
            <w:tcW w:w="10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0" w:type="dxa"/>
            <w:vAlign w:val="bottom"/>
            <w:gridSpan w:val="2"/>
          </w:tcPr>
          <w:p>
            <w:pPr>
              <w:jc w:val="right"/>
              <w:spacing w:after="0"/>
              <w:rPr>
                <w:sz w:val="20"/>
                <w:szCs w:val="20"/>
                <w:color w:val="auto"/>
              </w:rPr>
            </w:pPr>
            <w:r>
              <w:rPr>
                <w:rFonts w:ascii="Arial" w:cs="Arial" w:eastAsia="Arial" w:hAnsi="Arial"/>
                <w:sz w:val="18"/>
                <w:szCs w:val="18"/>
                <w:color w:val="auto"/>
              </w:rPr>
              <w:t>2,783</w:t>
            </w:r>
          </w:p>
        </w:tc>
        <w:tc>
          <w:tcPr>
            <w:tcW w:w="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832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Finished goods</w:t>
            </w: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20" w:type="dxa"/>
            <w:vAlign w:val="bottom"/>
            <w:gridSpan w:val="3"/>
            <w:shd w:val="clear" w:color="auto" w:fill="CCEEFF"/>
          </w:tcPr>
          <w:p>
            <w:pPr>
              <w:jc w:val="right"/>
              <w:ind w:right="40"/>
              <w:spacing w:after="0"/>
              <w:rPr>
                <w:sz w:val="20"/>
                <w:szCs w:val="20"/>
                <w:color w:val="auto"/>
              </w:rPr>
            </w:pPr>
            <w:r>
              <w:rPr>
                <w:rFonts w:ascii="Arial" w:cs="Arial" w:eastAsia="Arial" w:hAnsi="Arial"/>
                <w:sz w:val="18"/>
                <w:szCs w:val="18"/>
                <w:color w:val="auto"/>
              </w:rPr>
              <w:t>4,150</w:t>
            </w:r>
          </w:p>
        </w:tc>
        <w:tc>
          <w:tcPr>
            <w:tcW w:w="10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3,694</w:t>
            </w:r>
          </w:p>
        </w:tc>
        <w:tc>
          <w:tcPr>
            <w:tcW w:w="60" w:type="dxa"/>
            <w:vAlign w:val="bottom"/>
            <w:tcBorders>
              <w:right w:val="single" w:sz="8" w:color="CCEEFF"/>
            </w:tcBorders>
            <w:shd w:val="clear" w:color="auto" w:fill="CCEEFF"/>
          </w:tcPr>
          <w:p>
            <w:pPr>
              <w:spacing w:after="0"/>
              <w:rPr>
                <w:sz w:val="18"/>
                <w:szCs w:val="18"/>
                <w:color w:val="auto"/>
              </w:rPr>
            </w:pPr>
          </w:p>
        </w:tc>
        <w:tc>
          <w:tcPr>
            <w:tcW w:w="6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8320" w:type="dxa"/>
            <w:vAlign w:val="bottom"/>
            <w:gridSpan w:val="3"/>
          </w:tcPr>
          <w:p>
            <w:pPr>
              <w:spacing w:after="0"/>
              <w:rPr>
                <w:sz w:val="20"/>
                <w:szCs w:val="20"/>
                <w:color w:val="auto"/>
              </w:rPr>
            </w:pPr>
            <w:r>
              <w:rPr>
                <w:rFonts w:ascii="Arial" w:cs="Arial" w:eastAsia="Arial" w:hAnsi="Arial"/>
                <w:sz w:val="18"/>
                <w:szCs w:val="18"/>
                <w:color w:val="auto"/>
              </w:rPr>
              <w:t>Contracts in progress</w:t>
            </w: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20" w:type="dxa"/>
            <w:vAlign w:val="bottom"/>
            <w:gridSpan w:val="3"/>
          </w:tcPr>
          <w:p>
            <w:pPr>
              <w:jc w:val="right"/>
              <w:ind w:right="40"/>
              <w:spacing w:after="0"/>
              <w:rPr>
                <w:sz w:val="20"/>
                <w:szCs w:val="20"/>
                <w:color w:val="auto"/>
              </w:rPr>
            </w:pPr>
            <w:r>
              <w:rPr>
                <w:rFonts w:ascii="Arial" w:cs="Arial" w:eastAsia="Arial" w:hAnsi="Arial"/>
                <w:sz w:val="18"/>
                <w:szCs w:val="18"/>
                <w:color w:val="auto"/>
              </w:rPr>
              <w:t>5,233</w:t>
            </w:r>
          </w:p>
        </w:tc>
        <w:tc>
          <w:tcPr>
            <w:tcW w:w="10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0" w:type="dxa"/>
            <w:vAlign w:val="bottom"/>
            <w:gridSpan w:val="2"/>
          </w:tcPr>
          <w:p>
            <w:pPr>
              <w:jc w:val="right"/>
              <w:spacing w:after="0"/>
              <w:rPr>
                <w:sz w:val="20"/>
                <w:szCs w:val="20"/>
                <w:color w:val="auto"/>
              </w:rPr>
            </w:pPr>
            <w:r>
              <w:rPr>
                <w:rFonts w:ascii="Arial" w:cs="Arial" w:eastAsia="Arial" w:hAnsi="Arial"/>
                <w:sz w:val="18"/>
                <w:szCs w:val="18"/>
                <w:color w:val="auto"/>
              </w:rPr>
              <w:t>4,753</w:t>
            </w:r>
          </w:p>
        </w:tc>
        <w:tc>
          <w:tcPr>
            <w:tcW w:w="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440" w:type="dxa"/>
            <w:vAlign w:val="bottom"/>
          </w:tcPr>
          <w:p>
            <w:pPr>
              <w:spacing w:after="0"/>
              <w:rPr>
                <w:sz w:val="2"/>
                <w:szCs w:val="2"/>
                <w:color w:val="auto"/>
              </w:rPr>
            </w:pPr>
          </w:p>
        </w:tc>
        <w:tc>
          <w:tcPr>
            <w:tcW w:w="1360" w:type="dxa"/>
            <w:vAlign w:val="bottom"/>
          </w:tcPr>
          <w:p>
            <w:pPr>
              <w:spacing w:after="0"/>
              <w:rPr>
                <w:sz w:val="2"/>
                <w:szCs w:val="2"/>
                <w:color w:val="auto"/>
              </w:rPr>
            </w:pPr>
          </w:p>
        </w:tc>
        <w:tc>
          <w:tcPr>
            <w:tcW w:w="1180" w:type="dxa"/>
            <w:vAlign w:val="bottom"/>
          </w:tcPr>
          <w:p>
            <w:pPr>
              <w:spacing w:after="0"/>
              <w:rPr>
                <w:sz w:val="2"/>
                <w:szCs w:val="2"/>
                <w:color w:val="auto"/>
              </w:rPr>
            </w:pPr>
          </w:p>
        </w:tc>
        <w:tc>
          <w:tcPr>
            <w:tcW w:w="5780" w:type="dxa"/>
            <w:vAlign w:val="bottom"/>
          </w:tcPr>
          <w:p>
            <w:pPr>
              <w:spacing w:after="0"/>
              <w:rPr>
                <w:sz w:val="2"/>
                <w:szCs w:val="2"/>
                <w:color w:val="auto"/>
              </w:rPr>
            </w:pPr>
          </w:p>
        </w:tc>
        <w:tc>
          <w:tcPr>
            <w:tcW w:w="8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320" w:type="dxa"/>
            <w:vAlign w:val="bottom"/>
            <w:shd w:val="clear" w:color="auto" w:fill="000000"/>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40" w:type="dxa"/>
            <w:vAlign w:val="bottom"/>
          </w:tcPr>
          <w:p>
            <w:pPr>
              <w:spacing w:after="0"/>
              <w:rPr>
                <w:sz w:val="2"/>
                <w:szCs w:val="2"/>
                <w:color w:val="auto"/>
              </w:rPr>
            </w:pPr>
          </w:p>
        </w:tc>
        <w:tc>
          <w:tcPr>
            <w:tcW w:w="100" w:type="dxa"/>
            <w:vAlign w:val="bottom"/>
          </w:tcPr>
          <w:p>
            <w:pPr>
              <w:spacing w:after="0"/>
              <w:rPr>
                <w:sz w:val="2"/>
                <w:szCs w:val="2"/>
                <w:color w:val="auto"/>
              </w:rPr>
            </w:pPr>
          </w:p>
        </w:tc>
        <w:tc>
          <w:tcPr>
            <w:tcW w:w="4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400" w:type="dxa"/>
            <w:vAlign w:val="bottom"/>
            <w:shd w:val="clear" w:color="auto" w:fill="000000"/>
          </w:tcPr>
          <w:p>
            <w:pPr>
              <w:spacing w:after="0"/>
              <w:rPr>
                <w:sz w:val="2"/>
                <w:szCs w:val="2"/>
                <w:color w:val="auto"/>
              </w:rPr>
            </w:pPr>
          </w:p>
        </w:tc>
        <w:tc>
          <w:tcPr>
            <w:tcW w:w="200" w:type="dxa"/>
            <w:vAlign w:val="bottom"/>
            <w:shd w:val="clear" w:color="auto" w:fill="000000"/>
          </w:tcPr>
          <w:p>
            <w:pPr>
              <w:spacing w:after="0"/>
              <w:rPr>
                <w:sz w:val="2"/>
                <w:szCs w:val="2"/>
                <w:color w:val="auto"/>
              </w:rPr>
            </w:pPr>
          </w:p>
        </w:tc>
        <w:tc>
          <w:tcPr>
            <w:tcW w:w="60" w:type="dxa"/>
            <w:vAlign w:val="bottom"/>
          </w:tcPr>
          <w:p>
            <w:pPr>
              <w:spacing w:after="0"/>
              <w:rPr>
                <w:sz w:val="2"/>
                <w:szCs w:val="2"/>
                <w:color w:val="auto"/>
              </w:rPr>
            </w:pPr>
          </w:p>
        </w:tc>
        <w:tc>
          <w:tcPr>
            <w:tcW w:w="60" w:type="dxa"/>
            <w:vAlign w:val="bottom"/>
          </w:tcPr>
          <w:p>
            <w:pPr>
              <w:spacing w:after="0"/>
              <w:rPr>
                <w:sz w:val="2"/>
                <w:szCs w:val="2"/>
                <w:color w:val="auto"/>
              </w:rPr>
            </w:pPr>
          </w:p>
        </w:tc>
        <w:tc>
          <w:tcPr>
            <w:tcW w:w="400" w:type="dxa"/>
            <w:vAlign w:val="bottom"/>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360" w:type="dxa"/>
            <w:vAlign w:val="bottom"/>
            <w:shd w:val="clear" w:color="auto" w:fill="CCEEFF"/>
          </w:tcPr>
          <w:p>
            <w:pPr>
              <w:spacing w:after="0"/>
              <w:rPr>
                <w:sz w:val="18"/>
                <w:szCs w:val="18"/>
                <w:color w:val="auto"/>
              </w:rPr>
            </w:pPr>
          </w:p>
        </w:tc>
        <w:tc>
          <w:tcPr>
            <w:tcW w:w="1180" w:type="dxa"/>
            <w:vAlign w:val="bottom"/>
            <w:shd w:val="clear" w:color="auto" w:fill="CCEEFF"/>
          </w:tcPr>
          <w:p>
            <w:pPr>
              <w:spacing w:after="0"/>
              <w:rPr>
                <w:sz w:val="18"/>
                <w:szCs w:val="18"/>
                <w:color w:val="auto"/>
              </w:rPr>
            </w:pPr>
          </w:p>
        </w:tc>
        <w:tc>
          <w:tcPr>
            <w:tcW w:w="57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20" w:type="dxa"/>
            <w:vAlign w:val="bottom"/>
            <w:gridSpan w:val="3"/>
            <w:shd w:val="clear" w:color="auto" w:fill="CCEEFF"/>
          </w:tcPr>
          <w:p>
            <w:pPr>
              <w:jc w:val="right"/>
              <w:ind w:right="40"/>
              <w:spacing w:after="0"/>
              <w:rPr>
                <w:sz w:val="20"/>
                <w:szCs w:val="20"/>
                <w:color w:val="auto"/>
              </w:rPr>
            </w:pPr>
            <w:r>
              <w:rPr>
                <w:rFonts w:ascii="Arial" w:cs="Arial" w:eastAsia="Arial" w:hAnsi="Arial"/>
                <w:sz w:val="18"/>
                <w:szCs w:val="18"/>
                <w:color w:val="auto"/>
                <w:w w:val="83"/>
              </w:rPr>
              <w:t>14,024</w:t>
            </w:r>
          </w:p>
        </w:tc>
        <w:tc>
          <w:tcPr>
            <w:tcW w:w="10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12,511</w:t>
            </w:r>
          </w:p>
        </w:tc>
        <w:tc>
          <w:tcPr>
            <w:tcW w:w="60" w:type="dxa"/>
            <w:vAlign w:val="bottom"/>
            <w:tcBorders>
              <w:right w:val="single" w:sz="8" w:color="CCEEFF"/>
            </w:tcBorders>
            <w:shd w:val="clear" w:color="auto" w:fill="CCEEFF"/>
          </w:tcPr>
          <w:p>
            <w:pPr>
              <w:spacing w:after="0"/>
              <w:rPr>
                <w:sz w:val="18"/>
                <w:szCs w:val="18"/>
                <w:color w:val="auto"/>
              </w:rPr>
            </w:pPr>
          </w:p>
        </w:tc>
        <w:tc>
          <w:tcPr>
            <w:tcW w:w="6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323"/>
        </w:trPr>
        <w:tc>
          <w:tcPr>
            <w:tcW w:w="20" w:type="dxa"/>
            <w:vAlign w:val="bottom"/>
          </w:tcPr>
          <w:p>
            <w:pPr>
              <w:spacing w:after="0"/>
              <w:rPr>
                <w:sz w:val="24"/>
                <w:szCs w:val="24"/>
                <w:color w:val="auto"/>
              </w:rPr>
            </w:pPr>
          </w:p>
        </w:tc>
        <w:tc>
          <w:tcPr>
            <w:tcW w:w="8760" w:type="dxa"/>
            <w:vAlign w:val="bottom"/>
            <w:gridSpan w:val="4"/>
          </w:tcPr>
          <w:p>
            <w:pPr>
              <w:ind w:left="440"/>
              <w:spacing w:after="0"/>
              <w:rPr>
                <w:sz w:val="20"/>
                <w:szCs w:val="20"/>
                <w:color w:val="auto"/>
              </w:rPr>
            </w:pPr>
            <w:r>
              <w:rPr>
                <w:rFonts w:ascii="Arial" w:cs="Arial" w:eastAsia="Arial" w:hAnsi="Arial"/>
                <w:sz w:val="18"/>
                <w:szCs w:val="18"/>
                <w:color w:val="auto"/>
              </w:rPr>
              <w:t>Less:</w:t>
            </w: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7"/>
        </w:trPr>
        <w:tc>
          <w:tcPr>
            <w:tcW w:w="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8320" w:type="dxa"/>
            <w:vAlign w:val="bottom"/>
            <w:gridSpan w:val="3"/>
            <w:shd w:val="clear" w:color="auto" w:fill="CCEEFF"/>
          </w:tcPr>
          <w:p>
            <w:pPr>
              <w:ind w:left="440"/>
              <w:spacing w:after="0"/>
              <w:rPr>
                <w:sz w:val="20"/>
                <w:szCs w:val="20"/>
                <w:color w:val="auto"/>
              </w:rPr>
            </w:pPr>
            <w:r>
              <w:rPr>
                <w:rFonts w:ascii="Arial" w:cs="Arial" w:eastAsia="Arial" w:hAnsi="Arial"/>
                <w:sz w:val="18"/>
                <w:szCs w:val="18"/>
                <w:color w:val="auto"/>
              </w:rPr>
              <w:t>Progress payments, secured by lien, on U.S. Government contracts</w:t>
            </w: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20" w:type="dxa"/>
            <w:vAlign w:val="bottom"/>
            <w:gridSpan w:val="4"/>
            <w:shd w:val="clear" w:color="auto" w:fill="CCEEFF"/>
          </w:tcPr>
          <w:p>
            <w:pPr>
              <w:jc w:val="right"/>
              <w:spacing w:after="0"/>
              <w:rPr>
                <w:sz w:val="20"/>
                <w:szCs w:val="20"/>
                <w:color w:val="auto"/>
              </w:rPr>
            </w:pPr>
            <w:r>
              <w:rPr>
                <w:rFonts w:ascii="Arial" w:cs="Arial" w:eastAsia="Arial" w:hAnsi="Arial"/>
                <w:sz w:val="18"/>
                <w:szCs w:val="18"/>
                <w:color w:val="auto"/>
              </w:rPr>
              <w:t>(407)</w:t>
            </w:r>
          </w:p>
        </w:tc>
        <w:tc>
          <w:tcPr>
            <w:tcW w:w="4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60" w:type="dxa"/>
            <w:vAlign w:val="bottom"/>
            <w:tcBorders>
              <w:right w:val="single" w:sz="8" w:color="CCEEFF"/>
            </w:tcBorders>
            <w:gridSpan w:val="3"/>
            <w:shd w:val="clear" w:color="auto" w:fill="CCEEFF"/>
          </w:tcPr>
          <w:p>
            <w:pPr>
              <w:jc w:val="right"/>
              <w:spacing w:after="0"/>
              <w:rPr>
                <w:sz w:val="20"/>
                <w:szCs w:val="20"/>
                <w:color w:val="auto"/>
              </w:rPr>
            </w:pPr>
            <w:r>
              <w:rPr>
                <w:rFonts w:ascii="Arial" w:cs="Arial" w:eastAsia="Arial" w:hAnsi="Arial"/>
                <w:sz w:val="18"/>
                <w:szCs w:val="18"/>
                <w:color w:val="auto"/>
              </w:rPr>
              <w:t>(279)</w:t>
            </w:r>
          </w:p>
        </w:tc>
        <w:tc>
          <w:tcPr>
            <w:tcW w:w="6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8320" w:type="dxa"/>
            <w:vAlign w:val="bottom"/>
            <w:gridSpan w:val="3"/>
          </w:tcPr>
          <w:p>
            <w:pPr>
              <w:ind w:left="440"/>
              <w:spacing w:after="0"/>
              <w:rPr>
                <w:sz w:val="20"/>
                <w:szCs w:val="20"/>
                <w:color w:val="auto"/>
              </w:rPr>
            </w:pPr>
            <w:r>
              <w:rPr>
                <w:rFonts w:ascii="Arial" w:cs="Arial" w:eastAsia="Arial" w:hAnsi="Arial"/>
                <w:sz w:val="18"/>
                <w:szCs w:val="18"/>
                <w:color w:val="auto"/>
              </w:rPr>
              <w:t>Billings on contracts in progress</w:t>
            </w: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20" w:type="dxa"/>
            <w:vAlign w:val="bottom"/>
            <w:gridSpan w:val="4"/>
          </w:tcPr>
          <w:p>
            <w:pPr>
              <w:jc w:val="right"/>
              <w:spacing w:after="0"/>
              <w:rPr>
                <w:sz w:val="20"/>
                <w:szCs w:val="20"/>
                <w:color w:val="auto"/>
              </w:rPr>
            </w:pPr>
            <w:r>
              <w:rPr>
                <w:rFonts w:ascii="Arial" w:cs="Arial" w:eastAsia="Arial" w:hAnsi="Arial"/>
                <w:sz w:val="18"/>
                <w:szCs w:val="18"/>
                <w:color w:val="auto"/>
                <w:w w:val="91"/>
              </w:rPr>
              <w:t>(4,535)</w:t>
            </w:r>
          </w:p>
        </w:tc>
        <w:tc>
          <w:tcPr>
            <w:tcW w:w="4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60" w:type="dxa"/>
            <w:vAlign w:val="bottom"/>
            <w:gridSpan w:val="3"/>
          </w:tcPr>
          <w:p>
            <w:pPr>
              <w:jc w:val="right"/>
              <w:spacing w:after="0"/>
              <w:rPr>
                <w:sz w:val="20"/>
                <w:szCs w:val="20"/>
                <w:color w:val="auto"/>
              </w:rPr>
            </w:pPr>
            <w:r>
              <w:rPr>
                <w:rFonts w:ascii="Arial" w:cs="Arial" w:eastAsia="Arial" w:hAnsi="Arial"/>
                <w:sz w:val="18"/>
                <w:szCs w:val="18"/>
                <w:color w:val="auto"/>
              </w:rPr>
              <w:t>(4,131)</w:t>
            </w:r>
          </w:p>
        </w:tc>
        <w:tc>
          <w:tcPr>
            <w:tcW w:w="6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440" w:type="dxa"/>
            <w:vAlign w:val="bottom"/>
          </w:tcPr>
          <w:p>
            <w:pPr>
              <w:spacing w:after="0"/>
              <w:rPr>
                <w:sz w:val="2"/>
                <w:szCs w:val="2"/>
                <w:color w:val="auto"/>
              </w:rPr>
            </w:pPr>
          </w:p>
        </w:tc>
        <w:tc>
          <w:tcPr>
            <w:tcW w:w="1360" w:type="dxa"/>
            <w:vAlign w:val="bottom"/>
          </w:tcPr>
          <w:p>
            <w:pPr>
              <w:spacing w:after="0"/>
              <w:rPr>
                <w:sz w:val="2"/>
                <w:szCs w:val="2"/>
                <w:color w:val="auto"/>
              </w:rPr>
            </w:pPr>
          </w:p>
        </w:tc>
        <w:tc>
          <w:tcPr>
            <w:tcW w:w="1180" w:type="dxa"/>
            <w:vAlign w:val="bottom"/>
          </w:tcPr>
          <w:p>
            <w:pPr>
              <w:spacing w:after="0"/>
              <w:rPr>
                <w:sz w:val="2"/>
                <w:szCs w:val="2"/>
                <w:color w:val="auto"/>
              </w:rPr>
            </w:pPr>
          </w:p>
        </w:tc>
        <w:tc>
          <w:tcPr>
            <w:tcW w:w="5780" w:type="dxa"/>
            <w:vAlign w:val="bottom"/>
          </w:tcPr>
          <w:p>
            <w:pPr>
              <w:spacing w:after="0"/>
              <w:rPr>
                <w:sz w:val="2"/>
                <w:szCs w:val="2"/>
                <w:color w:val="auto"/>
              </w:rPr>
            </w:pPr>
          </w:p>
        </w:tc>
        <w:tc>
          <w:tcPr>
            <w:tcW w:w="8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320" w:type="dxa"/>
            <w:vAlign w:val="bottom"/>
            <w:shd w:val="clear" w:color="auto" w:fill="000000"/>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40" w:type="dxa"/>
            <w:vAlign w:val="bottom"/>
          </w:tcPr>
          <w:p>
            <w:pPr>
              <w:spacing w:after="0"/>
              <w:rPr>
                <w:sz w:val="2"/>
                <w:szCs w:val="2"/>
                <w:color w:val="auto"/>
              </w:rPr>
            </w:pPr>
          </w:p>
        </w:tc>
        <w:tc>
          <w:tcPr>
            <w:tcW w:w="100" w:type="dxa"/>
            <w:vAlign w:val="bottom"/>
          </w:tcPr>
          <w:p>
            <w:pPr>
              <w:spacing w:after="0"/>
              <w:rPr>
                <w:sz w:val="2"/>
                <w:szCs w:val="2"/>
                <w:color w:val="auto"/>
              </w:rPr>
            </w:pPr>
          </w:p>
        </w:tc>
        <w:tc>
          <w:tcPr>
            <w:tcW w:w="4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400" w:type="dxa"/>
            <w:vAlign w:val="bottom"/>
            <w:shd w:val="clear" w:color="auto" w:fill="000000"/>
          </w:tcPr>
          <w:p>
            <w:pPr>
              <w:spacing w:after="0"/>
              <w:rPr>
                <w:sz w:val="2"/>
                <w:szCs w:val="2"/>
                <w:color w:val="auto"/>
              </w:rPr>
            </w:pPr>
          </w:p>
        </w:tc>
        <w:tc>
          <w:tcPr>
            <w:tcW w:w="200" w:type="dxa"/>
            <w:vAlign w:val="bottom"/>
            <w:shd w:val="clear" w:color="auto" w:fill="000000"/>
          </w:tcPr>
          <w:p>
            <w:pPr>
              <w:spacing w:after="0"/>
              <w:rPr>
                <w:sz w:val="2"/>
                <w:szCs w:val="2"/>
                <w:color w:val="auto"/>
              </w:rPr>
            </w:pPr>
          </w:p>
        </w:tc>
        <w:tc>
          <w:tcPr>
            <w:tcW w:w="60" w:type="dxa"/>
            <w:vAlign w:val="bottom"/>
          </w:tcPr>
          <w:p>
            <w:pPr>
              <w:spacing w:after="0"/>
              <w:rPr>
                <w:sz w:val="2"/>
                <w:szCs w:val="2"/>
                <w:color w:val="auto"/>
              </w:rPr>
            </w:pPr>
          </w:p>
        </w:tc>
        <w:tc>
          <w:tcPr>
            <w:tcW w:w="60" w:type="dxa"/>
            <w:vAlign w:val="bottom"/>
          </w:tcPr>
          <w:p>
            <w:pPr>
              <w:spacing w:after="0"/>
              <w:rPr>
                <w:sz w:val="2"/>
                <w:szCs w:val="2"/>
                <w:color w:val="auto"/>
              </w:rPr>
            </w:pPr>
          </w:p>
        </w:tc>
        <w:tc>
          <w:tcPr>
            <w:tcW w:w="400" w:type="dxa"/>
            <w:vAlign w:val="bottom"/>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360" w:type="dxa"/>
            <w:vAlign w:val="bottom"/>
            <w:shd w:val="clear" w:color="auto" w:fill="CCEEFF"/>
          </w:tcPr>
          <w:p>
            <w:pPr>
              <w:spacing w:after="0"/>
              <w:rPr>
                <w:sz w:val="18"/>
                <w:szCs w:val="18"/>
                <w:color w:val="auto"/>
              </w:rPr>
            </w:pPr>
          </w:p>
        </w:tc>
        <w:tc>
          <w:tcPr>
            <w:tcW w:w="1180" w:type="dxa"/>
            <w:vAlign w:val="bottom"/>
            <w:shd w:val="clear" w:color="auto" w:fill="CCEEFF"/>
          </w:tcPr>
          <w:p>
            <w:pPr>
              <w:spacing w:after="0"/>
              <w:rPr>
                <w:sz w:val="18"/>
                <w:szCs w:val="18"/>
                <w:color w:val="auto"/>
              </w:rPr>
            </w:pPr>
          </w:p>
        </w:tc>
        <w:tc>
          <w:tcPr>
            <w:tcW w:w="57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20"/>
                <w:szCs w:val="20"/>
                <w:color w:val="auto"/>
              </w:rPr>
            </w:pPr>
            <w:r>
              <w:rPr>
                <w:rFonts w:ascii="Arial" w:cs="Arial" w:eastAsia="Arial" w:hAnsi="Arial"/>
                <w:sz w:val="18"/>
                <w:szCs w:val="18"/>
                <w:color w:val="auto"/>
                <w:w w:val="79"/>
              </w:rPr>
              <w:t>$</w:t>
            </w:r>
          </w:p>
        </w:tc>
        <w:tc>
          <w:tcPr>
            <w:tcW w:w="520" w:type="dxa"/>
            <w:vAlign w:val="bottom"/>
            <w:gridSpan w:val="3"/>
            <w:shd w:val="clear" w:color="auto" w:fill="CCEEFF"/>
          </w:tcPr>
          <w:p>
            <w:pPr>
              <w:jc w:val="right"/>
              <w:ind w:right="40"/>
              <w:spacing w:after="0"/>
              <w:rPr>
                <w:sz w:val="20"/>
                <w:szCs w:val="20"/>
                <w:color w:val="auto"/>
              </w:rPr>
            </w:pPr>
            <w:r>
              <w:rPr>
                <w:rFonts w:ascii="Arial" w:cs="Arial" w:eastAsia="Arial" w:hAnsi="Arial"/>
                <w:sz w:val="18"/>
                <w:szCs w:val="18"/>
                <w:color w:val="auto"/>
              </w:rPr>
              <w:t>9,082</w:t>
            </w:r>
          </w:p>
        </w:tc>
        <w:tc>
          <w:tcPr>
            <w:tcW w:w="10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220" w:type="dxa"/>
            <w:vAlign w:val="bottom"/>
            <w:gridSpan w:val="2"/>
            <w:shd w:val="clear" w:color="auto" w:fill="CCEEFF"/>
          </w:tcPr>
          <w:p>
            <w:pPr>
              <w:ind w:left="120"/>
              <w:spacing w:after="0"/>
              <w:rPr>
                <w:sz w:val="20"/>
                <w:szCs w:val="20"/>
                <w:color w:val="auto"/>
              </w:rPr>
            </w:pPr>
            <w:r>
              <w:rPr>
                <w:rFonts w:ascii="Arial" w:cs="Arial" w:eastAsia="Arial" w:hAnsi="Arial"/>
                <w:sz w:val="18"/>
                <w:szCs w:val="18"/>
                <w:color w:val="auto"/>
                <w:w w:val="79"/>
              </w:rPr>
              <w:t>$</w:t>
            </w:r>
          </w:p>
        </w:tc>
        <w:tc>
          <w:tcPr>
            <w:tcW w:w="100" w:type="dxa"/>
            <w:vAlign w:val="bottom"/>
            <w:shd w:val="clear" w:color="auto" w:fill="CCEEFF"/>
          </w:tcPr>
          <w:p>
            <w:pPr>
              <w:spacing w:after="0"/>
              <w:rPr>
                <w:sz w:val="18"/>
                <w:szCs w:val="18"/>
                <w:color w:val="auto"/>
              </w:rPr>
            </w:pPr>
          </w:p>
        </w:tc>
        <w:tc>
          <w:tcPr>
            <w:tcW w:w="6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8,101</w:t>
            </w:r>
          </w:p>
        </w:tc>
        <w:tc>
          <w:tcPr>
            <w:tcW w:w="60" w:type="dxa"/>
            <w:vAlign w:val="bottom"/>
            <w:tcBorders>
              <w:right w:val="single" w:sz="8" w:color="CCEEFF"/>
            </w:tcBorders>
            <w:shd w:val="clear" w:color="auto" w:fill="CCEEFF"/>
          </w:tcPr>
          <w:p>
            <w:pPr>
              <w:spacing w:after="0"/>
              <w:rPr>
                <w:sz w:val="18"/>
                <w:szCs w:val="18"/>
                <w:color w:val="auto"/>
              </w:rPr>
            </w:pPr>
          </w:p>
        </w:tc>
        <w:tc>
          <w:tcPr>
            <w:tcW w:w="6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360" w:type="dxa"/>
            <w:vAlign w:val="bottom"/>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c>
          <w:tcPr>
            <w:tcW w:w="57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67" w:lineRule="exact"/>
        <w:rPr>
          <w:sz w:val="20"/>
          <w:szCs w:val="20"/>
          <w:color w:val="auto"/>
        </w:rPr>
      </w:pPr>
    </w:p>
    <w:p>
      <w:pPr>
        <w:ind w:right="80" w:firstLine="456"/>
        <w:spacing w:after="0" w:line="256" w:lineRule="auto"/>
        <w:rPr>
          <w:sz w:val="20"/>
          <w:szCs w:val="20"/>
          <w:color w:val="auto"/>
        </w:rPr>
      </w:pPr>
      <w:r>
        <w:rPr>
          <w:rFonts w:ascii="Arial" w:cs="Arial" w:eastAsia="Arial" w:hAnsi="Arial"/>
          <w:sz w:val="18"/>
          <w:szCs w:val="18"/>
          <w:color w:val="auto"/>
        </w:rPr>
        <w:t>As of June 30, 2008 and December 31, 2007, inventory included capitalized research and development costs of $796 million and $740 million, respectively, relating to certain aerospace programs, principally at Sikorsky. These capitalized costs will be liquidated as production units are delivered to customers. Sikorsky’s capitalized contract research and development costs within inventory relate principally to development costs incurred on the H-92 contract with the Canadian government.</w:t>
      </w:r>
    </w:p>
    <w:p>
      <w:pPr>
        <w:spacing w:after="0" w:line="21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4: Borrowings and Lines of Credit</w:t>
      </w:r>
    </w:p>
    <w:p>
      <w:pPr>
        <w:spacing w:after="0" w:line="96" w:lineRule="exact"/>
        <w:rPr>
          <w:sz w:val="20"/>
          <w:szCs w:val="20"/>
          <w:color w:val="auto"/>
        </w:rPr>
      </w:pPr>
    </w:p>
    <w:p>
      <w:pPr>
        <w:ind w:right="100" w:firstLine="456"/>
        <w:spacing w:after="0" w:line="290" w:lineRule="auto"/>
        <w:rPr>
          <w:sz w:val="20"/>
          <w:szCs w:val="20"/>
          <w:color w:val="auto"/>
        </w:rPr>
      </w:pPr>
      <w:r>
        <w:rPr>
          <w:rFonts w:ascii="Arial" w:cs="Arial" w:eastAsia="Arial" w:hAnsi="Arial"/>
          <w:sz w:val="16"/>
          <w:szCs w:val="16"/>
          <w:color w:val="auto"/>
        </w:rPr>
        <w:t>Commercial paper borrowings provide short-term liquidity to supplement operating cash flows and are used for general corporate purposes as well as the potential funding of certain acquisitions. We have $350 million of commercial paper outstanding at June 30, 2008, all of which was scheduled to mature in less than one week. At June 30, 2008, we had credit commitments from banks totaling $2.5 billion. We have a credit commitment of $1.5 billion under a revolving credit agreement that serves as a back-up facility for the issuance of commercial paper. As of June 30, 2008, there were no borrowings under this line of credit, which expires in October 2011. We also have a $1.0 billion multi-currency revolving credit agreement that is to be used for general corporate funding purposes, including acquisitions. As of June 30, 2008, approximately $747 million had been borrowed under this line of credit to fund corporate expenses and acquisitions. This credit agreement expires in November 2011.</w:t>
      </w:r>
    </w:p>
    <w:p>
      <w:pPr>
        <w:spacing w:after="0" w:line="118" w:lineRule="exact"/>
        <w:rPr>
          <w:sz w:val="20"/>
          <w:szCs w:val="20"/>
          <w:color w:val="auto"/>
        </w:rPr>
      </w:pPr>
    </w:p>
    <w:p>
      <w:pPr>
        <w:ind w:right="60" w:firstLine="456"/>
        <w:spacing w:after="0" w:line="289" w:lineRule="auto"/>
        <w:rPr>
          <w:sz w:val="20"/>
          <w:szCs w:val="20"/>
          <w:color w:val="auto"/>
        </w:rPr>
      </w:pPr>
      <w:r>
        <w:rPr>
          <w:rFonts w:ascii="Arial" w:cs="Arial" w:eastAsia="Arial" w:hAnsi="Arial"/>
          <w:sz w:val="16"/>
          <w:szCs w:val="16"/>
          <w:color w:val="auto"/>
        </w:rPr>
        <w:t>In July 2007, we filed with the Securities and Exchange Commission (SEC) a universal shelf registration statement for an indeterminate amount of securities for future issuance, subject to our internal limitations on the amount of debt to be issued under this shelf registration statement. In May 2008, we issued $1.0 billion of long-term debt pursuant to this shelf registration statement, the proceeds of which were used for general corporate purposes, including financing acquisitions and repurchases of our stock. This debt bears interest at 6.125% and will mature on July 15, 2038. We may redeem the notes, in whole or in part, at our option at any time at a redemption price in U.S. dollars equal to the greater of: 1) 100% of the principal amount of the notes to be redeemed; or 2) the sum of the present values of the remaining scheduled payments of principal and interest on the notes to be redeemed, discounted to the redemption date on a semiannual basis at the adjusted treasury rate plus 25 basis points. The redemption price will also include interest accrued to the date of redemption on the principal balance of the notes being redeemed.</w:t>
      </w:r>
    </w:p>
    <w:p>
      <w:pPr>
        <w:spacing w:after="0" w:line="10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w:t>
      </w:r>
    </w:p>
    <w:p>
      <w:pPr>
        <w:sectPr>
          <w:pgSz w:w="11900" w:h="16838" w:orient="portrait"/>
          <w:cols w:equalWidth="0" w:num="1">
            <w:col w:w="11420"/>
          </w:cols>
          <w:pgMar w:left="240" w:top="459" w:right="239" w:bottom="1440" w:gutter="0" w:footer="0" w:header="0"/>
        </w:sectPr>
      </w:pPr>
    </w:p>
    <w:bookmarkStart w:id="8" w:name="page9"/>
    <w:bookmarkEnd w:id="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5: Income Taxes</w:t>
      </w:r>
    </w:p>
    <w:p>
      <w:pPr>
        <w:spacing w:after="0" w:line="96" w:lineRule="exact"/>
        <w:rPr>
          <w:sz w:val="20"/>
          <w:szCs w:val="20"/>
          <w:color w:val="auto"/>
        </w:rPr>
      </w:pPr>
    </w:p>
    <w:p>
      <w:pPr>
        <w:ind w:right="80" w:firstLine="456"/>
        <w:spacing w:after="0" w:line="298" w:lineRule="auto"/>
        <w:rPr>
          <w:sz w:val="20"/>
          <w:szCs w:val="20"/>
          <w:color w:val="auto"/>
        </w:rPr>
      </w:pPr>
      <w:r>
        <w:rPr>
          <w:rFonts w:ascii="Arial" w:cs="Arial" w:eastAsia="Arial" w:hAnsi="Arial"/>
          <w:sz w:val="16"/>
          <w:szCs w:val="16"/>
          <w:color w:val="auto"/>
        </w:rPr>
        <w:t>We conduct business globally and, as a result, UTC or one or more of our subsidiaries files income tax returns in the U.S. federal jurisdiction and various state, local and foreign jurisdictions. In the normal course of business we are subject to examination by taxing authorities throughout the world, including such major jurisdictions as Australia, Canada, China, France, Germany, Hong Kong, Italy, Japan, Korea, Singapore, Spain, the United Kingdom and the United States. With few exceptions, we are no longer subject to U.S. federal, state and local, or non-U.S. income tax examinations for years before 1998.</w:t>
      </w:r>
    </w:p>
    <w:p>
      <w:pPr>
        <w:spacing w:after="0" w:line="113" w:lineRule="exact"/>
        <w:rPr>
          <w:sz w:val="20"/>
          <w:szCs w:val="20"/>
          <w:color w:val="auto"/>
        </w:rPr>
      </w:pPr>
    </w:p>
    <w:p>
      <w:pPr>
        <w:ind w:right="40" w:firstLine="456"/>
        <w:spacing w:after="0" w:line="255" w:lineRule="auto"/>
        <w:rPr>
          <w:sz w:val="20"/>
          <w:szCs w:val="20"/>
          <w:color w:val="auto"/>
        </w:rPr>
      </w:pPr>
      <w:r>
        <w:rPr>
          <w:rFonts w:ascii="Arial" w:cs="Arial" w:eastAsia="Arial" w:hAnsi="Arial"/>
          <w:sz w:val="18"/>
          <w:szCs w:val="18"/>
          <w:color w:val="auto"/>
        </w:rPr>
        <w:t>We adopted the provisions of Financial Accounting Standards Board (FASB) Interpretation No. 48, “Accounting for Uncertainty in Income Taxes” on January 1, 2007. As a result of the adoption, we recognized a charge of approximately $19 million to the January 1, 2007 retained earnings balance. We recognize interest accrued related to unrecognized tax benefits in interest expense. Penalties, if incurred, would be recognized as a component of income tax expense. It is reasonably possible that a reduction in a range of $70 million to $125 million of unrecognized tax benefits may occur within 12 months as a result of projected resolutions of worldwide tax disputes.</w:t>
      </w:r>
    </w:p>
    <w:p>
      <w:pPr>
        <w:spacing w:after="0" w:line="143" w:lineRule="exact"/>
        <w:rPr>
          <w:sz w:val="20"/>
          <w:szCs w:val="20"/>
          <w:color w:val="auto"/>
        </w:rPr>
      </w:pPr>
    </w:p>
    <w:p>
      <w:pPr>
        <w:ind w:right="400" w:firstLine="456"/>
        <w:spacing w:after="0" w:line="259" w:lineRule="auto"/>
        <w:rPr>
          <w:sz w:val="20"/>
          <w:szCs w:val="20"/>
          <w:color w:val="auto"/>
        </w:rPr>
      </w:pPr>
      <w:r>
        <w:rPr>
          <w:rFonts w:ascii="Arial" w:cs="Arial" w:eastAsia="Arial" w:hAnsi="Arial"/>
          <w:sz w:val="18"/>
          <w:szCs w:val="18"/>
          <w:color w:val="auto"/>
        </w:rPr>
        <w:t>The Internal Revenue Service (IRS) review of tax years 2004 and 2005 is ongoing. IRS examination fieldwork for tax years 2000 through 2003 was completed in 2007. We are currently addressing disputed adjustments resulting from the 2000 to 2003 examination with the Appeals Division of the IRS and anticipate a resolution in 2008.</w:t>
      </w:r>
    </w:p>
    <w:p>
      <w:pPr>
        <w:spacing w:after="0" w:line="21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6: Employee Benefit Plans</w:t>
      </w:r>
    </w:p>
    <w:p>
      <w:pPr>
        <w:spacing w:after="0" w:line="177" w:lineRule="exact"/>
        <w:rPr>
          <w:sz w:val="20"/>
          <w:szCs w:val="20"/>
          <w:color w:val="auto"/>
        </w:rPr>
      </w:pPr>
    </w:p>
    <w:p>
      <w:pPr>
        <w:ind w:firstLine="456"/>
        <w:spacing w:after="0" w:line="268" w:lineRule="auto"/>
        <w:rPr>
          <w:sz w:val="20"/>
          <w:szCs w:val="20"/>
          <w:color w:val="auto"/>
        </w:rPr>
      </w:pPr>
      <w:r>
        <w:rPr>
          <w:rFonts w:ascii="Arial" w:cs="Arial" w:eastAsia="Arial" w:hAnsi="Arial"/>
          <w:sz w:val="18"/>
          <w:szCs w:val="18"/>
          <w:color w:val="auto"/>
        </w:rPr>
        <w:t>We sponsor both funded and unfunded domestic and foreign defined pension and postretirement plans. Cash contributions to these plans during the quarters and six months ended June 30, 2008 and 2007 were as follows:</w:t>
      </w:r>
    </w:p>
    <w:p>
      <w:pPr>
        <w:spacing w:after="0" w:line="156"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73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20" w:type="dxa"/>
            <w:vAlign w:val="bottom"/>
            <w:gridSpan w:val="4"/>
          </w:tcPr>
          <w:p>
            <w:pPr>
              <w:jc w:val="right"/>
              <w:ind w:right="32"/>
              <w:spacing w:after="0"/>
              <w:rPr>
                <w:sz w:val="20"/>
                <w:szCs w:val="20"/>
                <w:color w:val="auto"/>
              </w:rPr>
            </w:pPr>
            <w:r>
              <w:rPr>
                <w:rFonts w:ascii="Arial" w:cs="Arial" w:eastAsia="Arial" w:hAnsi="Arial"/>
                <w:sz w:val="14"/>
                <w:szCs w:val="14"/>
                <w:b w:val="1"/>
                <w:bCs w:val="1"/>
                <w:color w:val="auto"/>
                <w:w w:val="90"/>
              </w:rPr>
              <w:t>Quarter Ended</w:t>
            </w:r>
          </w:p>
        </w:tc>
        <w:tc>
          <w:tcPr>
            <w:tcW w:w="3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20" w:type="dxa"/>
            <w:vAlign w:val="bottom"/>
            <w:gridSpan w:val="5"/>
          </w:tcPr>
          <w:p>
            <w:pPr>
              <w:jc w:val="right"/>
              <w:ind w:right="140"/>
              <w:spacing w:after="0"/>
              <w:rPr>
                <w:sz w:val="20"/>
                <w:szCs w:val="20"/>
                <w:color w:val="auto"/>
              </w:rPr>
            </w:pPr>
            <w:r>
              <w:rPr>
                <w:rFonts w:ascii="Arial" w:cs="Arial" w:eastAsia="Arial" w:hAnsi="Arial"/>
                <w:sz w:val="14"/>
                <w:szCs w:val="14"/>
                <w:b w:val="1"/>
                <w:bCs w:val="1"/>
                <w:color w:val="auto"/>
                <w:w w:val="87"/>
              </w:rPr>
              <w:t>Six Months Ended</w:t>
            </w:r>
          </w:p>
        </w:tc>
        <w:tc>
          <w:tcPr>
            <w:tcW w:w="0" w:type="dxa"/>
            <w:vAlign w:val="bottom"/>
          </w:tcPr>
          <w:p>
            <w:pPr>
              <w:spacing w:after="0"/>
              <w:rPr>
                <w:sz w:val="1"/>
                <w:szCs w:val="1"/>
                <w:color w:val="auto"/>
              </w:rPr>
            </w:pPr>
          </w:p>
        </w:tc>
      </w:tr>
      <w:tr>
        <w:trPr>
          <w:trHeight w:val="161"/>
        </w:trPr>
        <w:tc>
          <w:tcPr>
            <w:tcW w:w="8700" w:type="dxa"/>
            <w:vAlign w:val="bottom"/>
            <w:gridSpan w:val="3"/>
            <w:vMerge w:val="restart"/>
          </w:tcPr>
          <w:p>
            <w:pPr>
              <w:spacing w:after="0"/>
              <w:rPr>
                <w:sz w:val="20"/>
                <w:szCs w:val="20"/>
                <w:color w:val="auto"/>
              </w:rPr>
            </w:pPr>
            <w:r>
              <w:rPr>
                <w:rFonts w:ascii="Arial" w:cs="Arial" w:eastAsia="Arial" w:hAnsi="Arial"/>
                <w:sz w:val="14"/>
                <w:szCs w:val="14"/>
                <w:b w:val="1"/>
                <w:bCs w:val="1"/>
                <w:color w:val="auto"/>
              </w:rPr>
              <w:t>(in millions of dollars)</w:t>
            </w:r>
          </w:p>
        </w:tc>
        <w:tc>
          <w:tcPr>
            <w:tcW w:w="20" w:type="dxa"/>
            <w:vAlign w:val="bottom"/>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760" w:type="dxa"/>
            <w:vAlign w:val="bottom"/>
            <w:tcBorders>
              <w:bottom w:val="single" w:sz="8" w:color="auto"/>
            </w:tcBorders>
            <w:gridSpan w:val="3"/>
          </w:tcPr>
          <w:p>
            <w:pPr>
              <w:jc w:val="right"/>
              <w:ind w:right="60"/>
              <w:spacing w:after="0"/>
              <w:rPr>
                <w:sz w:val="20"/>
                <w:szCs w:val="20"/>
                <w:color w:val="auto"/>
              </w:rPr>
            </w:pPr>
            <w:r>
              <w:rPr>
                <w:rFonts w:ascii="Arial" w:cs="Arial" w:eastAsia="Arial" w:hAnsi="Arial"/>
                <w:sz w:val="14"/>
                <w:szCs w:val="14"/>
                <w:b w:val="1"/>
                <w:bCs w:val="1"/>
                <w:color w:val="auto"/>
              </w:rPr>
              <w:t>June 30,</w:t>
            </w:r>
          </w:p>
        </w:tc>
        <w:tc>
          <w:tcPr>
            <w:tcW w:w="260" w:type="dxa"/>
            <w:vAlign w:val="bottom"/>
            <w:tcBorders>
              <w:bottom w:val="single" w:sz="8" w:color="auto"/>
            </w:tcBorders>
          </w:tcPr>
          <w:p>
            <w:pPr>
              <w:spacing w:after="0"/>
              <w:rPr>
                <w:sz w:val="14"/>
                <w:szCs w:val="14"/>
                <w:color w:val="auto"/>
              </w:rPr>
            </w:pPr>
          </w:p>
        </w:tc>
        <w:tc>
          <w:tcPr>
            <w:tcW w:w="30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800" w:type="dxa"/>
            <w:vAlign w:val="bottom"/>
            <w:tcBorders>
              <w:bottom w:val="single" w:sz="8" w:color="auto"/>
            </w:tcBorders>
            <w:gridSpan w:val="3"/>
          </w:tcPr>
          <w:p>
            <w:pPr>
              <w:jc w:val="right"/>
              <w:spacing w:after="0"/>
              <w:rPr>
                <w:sz w:val="20"/>
                <w:szCs w:val="20"/>
                <w:color w:val="auto"/>
              </w:rPr>
            </w:pPr>
            <w:r>
              <w:rPr>
                <w:rFonts w:ascii="Arial" w:cs="Arial" w:eastAsia="Arial" w:hAnsi="Arial"/>
                <w:sz w:val="14"/>
                <w:szCs w:val="14"/>
                <w:b w:val="1"/>
                <w:bCs w:val="1"/>
                <w:color w:val="auto"/>
              </w:rPr>
              <w:t>June 30,</w:t>
            </w:r>
          </w:p>
        </w:tc>
        <w:tc>
          <w:tcPr>
            <w:tcW w:w="400" w:type="dxa"/>
            <w:vAlign w:val="bottom"/>
            <w:tcBorders>
              <w:bottom w:val="single" w:sz="8" w:color="auto"/>
            </w:tcBorders>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8700" w:type="dxa"/>
            <w:vAlign w:val="bottom"/>
            <w:gridSpan w:val="3"/>
            <w:vMerge w:val="continue"/>
          </w:tcPr>
          <w:p>
            <w:pPr>
              <w:spacing w:after="0"/>
              <w:rPr>
                <w:sz w:val="12"/>
                <w:szCs w:val="12"/>
                <w:color w:val="auto"/>
              </w:rPr>
            </w:pPr>
          </w:p>
        </w:tc>
        <w:tc>
          <w:tcPr>
            <w:tcW w:w="20" w:type="dxa"/>
            <w:vAlign w:val="bottom"/>
          </w:tcPr>
          <w:p>
            <w:pPr>
              <w:spacing w:after="0"/>
              <w:rPr>
                <w:sz w:val="12"/>
                <w:szCs w:val="12"/>
                <w:color w:val="auto"/>
              </w:rPr>
            </w:pPr>
          </w:p>
        </w:tc>
        <w:tc>
          <w:tcPr>
            <w:tcW w:w="380" w:type="dxa"/>
            <w:vAlign w:val="bottom"/>
            <w:gridSpan w:val="2"/>
          </w:tcPr>
          <w:p>
            <w:pPr>
              <w:jc w:val="right"/>
              <w:spacing w:after="0" w:line="142" w:lineRule="exact"/>
              <w:rPr>
                <w:sz w:val="20"/>
                <w:szCs w:val="20"/>
                <w:color w:val="auto"/>
              </w:rPr>
            </w:pPr>
            <w:r>
              <w:rPr>
                <w:rFonts w:ascii="Arial" w:cs="Arial" w:eastAsia="Arial" w:hAnsi="Arial"/>
                <w:sz w:val="14"/>
                <w:szCs w:val="14"/>
                <w:b w:val="1"/>
                <w:bCs w:val="1"/>
                <w:color w:val="auto"/>
                <w:w w:val="96"/>
              </w:rPr>
              <w:t>2008</w:t>
            </w:r>
          </w:p>
        </w:tc>
        <w:tc>
          <w:tcPr>
            <w:tcW w:w="720" w:type="dxa"/>
            <w:vAlign w:val="bottom"/>
            <w:gridSpan w:val="3"/>
          </w:tcPr>
          <w:p>
            <w:pPr>
              <w:jc w:val="right"/>
              <w:spacing w:after="0" w:line="142" w:lineRule="exact"/>
              <w:rPr>
                <w:sz w:val="20"/>
                <w:szCs w:val="20"/>
                <w:color w:val="auto"/>
              </w:rPr>
            </w:pPr>
            <w:r>
              <w:rPr>
                <w:rFonts w:ascii="Arial" w:cs="Arial" w:eastAsia="Arial" w:hAnsi="Arial"/>
                <w:sz w:val="14"/>
                <w:szCs w:val="14"/>
                <w:b w:val="1"/>
                <w:bCs w:val="1"/>
                <w:color w:val="auto"/>
              </w:rPr>
              <w:t>2007</w:t>
            </w:r>
          </w:p>
        </w:tc>
        <w:tc>
          <w:tcPr>
            <w:tcW w:w="3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380" w:type="dxa"/>
            <w:vAlign w:val="bottom"/>
          </w:tcPr>
          <w:p>
            <w:pPr>
              <w:jc w:val="right"/>
              <w:ind w:right="24"/>
              <w:spacing w:after="0" w:line="142" w:lineRule="exact"/>
              <w:rPr>
                <w:sz w:val="20"/>
                <w:szCs w:val="20"/>
                <w:color w:val="auto"/>
              </w:rPr>
            </w:pPr>
            <w:r>
              <w:rPr>
                <w:rFonts w:ascii="Arial" w:cs="Arial" w:eastAsia="Arial" w:hAnsi="Arial"/>
                <w:sz w:val="14"/>
                <w:szCs w:val="14"/>
                <w:b w:val="1"/>
                <w:bCs w:val="1"/>
                <w:color w:val="auto"/>
                <w:w w:val="83"/>
              </w:rPr>
              <w:t>2008</w:t>
            </w:r>
          </w:p>
        </w:tc>
        <w:tc>
          <w:tcPr>
            <w:tcW w:w="3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400" w:type="dxa"/>
            <w:vAlign w:val="bottom"/>
          </w:tcPr>
          <w:p>
            <w:pPr>
              <w:jc w:val="right"/>
              <w:ind w:right="39"/>
              <w:spacing w:after="0" w:line="142" w:lineRule="exact"/>
              <w:rPr>
                <w:sz w:val="20"/>
                <w:szCs w:val="20"/>
                <w:color w:val="auto"/>
              </w:rPr>
            </w:pPr>
            <w:r>
              <w:rPr>
                <w:rFonts w:ascii="Arial" w:cs="Arial" w:eastAsia="Arial" w:hAnsi="Arial"/>
                <w:sz w:val="14"/>
                <w:szCs w:val="14"/>
                <w:b w:val="1"/>
                <w:bCs w:val="1"/>
                <w:color w:val="auto"/>
                <w:w w:val="83"/>
              </w:rPr>
              <w:t>2007</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0"/>
        </w:trPr>
        <w:tc>
          <w:tcPr>
            <w:tcW w:w="20" w:type="dxa"/>
            <w:vAlign w:val="bottom"/>
            <w:vMerge w:val="restart"/>
          </w:tcPr>
          <w:p>
            <w:pPr>
              <w:spacing w:after="0" w:line="20" w:lineRule="exact"/>
              <w:rPr>
                <w:sz w:val="1"/>
                <w:szCs w:val="1"/>
                <w:color w:val="auto"/>
              </w:rPr>
            </w:pPr>
          </w:p>
        </w:tc>
        <w:tc>
          <w:tcPr>
            <w:tcW w:w="1340" w:type="dxa"/>
            <w:vAlign w:val="bottom"/>
            <w:shd w:val="clear" w:color="auto" w:fill="000000"/>
          </w:tcPr>
          <w:p>
            <w:pPr>
              <w:spacing w:after="0" w:line="20" w:lineRule="exact"/>
              <w:rPr>
                <w:sz w:val="1"/>
                <w:szCs w:val="1"/>
                <w:color w:val="auto"/>
              </w:rPr>
            </w:pPr>
          </w:p>
        </w:tc>
        <w:tc>
          <w:tcPr>
            <w:tcW w:w="73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380" w:type="dxa"/>
            <w:vAlign w:val="bottom"/>
            <w:shd w:val="clear" w:color="auto" w:fill="000000"/>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vMerge w:val="continue"/>
          </w:tcPr>
          <w:p>
            <w:pPr>
              <w:spacing w:after="0"/>
              <w:rPr>
                <w:sz w:val="18"/>
                <w:szCs w:val="18"/>
                <w:color w:val="auto"/>
              </w:rPr>
            </w:pPr>
          </w:p>
        </w:tc>
        <w:tc>
          <w:tcPr>
            <w:tcW w:w="86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Defined Benefit Plans</w:t>
            </w:r>
          </w:p>
        </w:tc>
        <w:tc>
          <w:tcPr>
            <w:tcW w:w="1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3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w:t>
            </w:r>
          </w:p>
        </w:tc>
        <w:tc>
          <w:tcPr>
            <w:tcW w:w="4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w:t>
            </w:r>
          </w:p>
        </w:tc>
        <w:tc>
          <w:tcPr>
            <w:tcW w:w="4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8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45</w:t>
            </w: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28</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8700" w:type="dxa"/>
            <w:vAlign w:val="bottom"/>
            <w:gridSpan w:val="3"/>
            <w:vMerge w:val="restart"/>
          </w:tcPr>
          <w:p>
            <w:pPr>
              <w:spacing w:after="0"/>
              <w:rPr>
                <w:sz w:val="20"/>
                <w:szCs w:val="20"/>
                <w:color w:val="auto"/>
              </w:rPr>
            </w:pPr>
            <w:r>
              <w:rPr>
                <w:rFonts w:ascii="Arial" w:cs="Arial" w:eastAsia="Arial" w:hAnsi="Arial"/>
                <w:sz w:val="18"/>
                <w:szCs w:val="18"/>
                <w:color w:val="auto"/>
              </w:rPr>
              <w:t>Defined Contribution Plans</w:t>
            </w:r>
          </w:p>
        </w:tc>
        <w:tc>
          <w:tcPr>
            <w:tcW w:w="2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8700" w:type="dxa"/>
            <w:vAlign w:val="bottom"/>
            <w:gridSpan w:val="3"/>
            <w:vMerge w:val="continue"/>
          </w:tcPr>
          <w:p>
            <w:pPr>
              <w:spacing w:after="0"/>
              <w:rPr>
                <w:sz w:val="18"/>
                <w:szCs w:val="18"/>
                <w:color w:val="auto"/>
              </w:rPr>
            </w:pPr>
          </w:p>
        </w:tc>
        <w:tc>
          <w:tcPr>
            <w:tcW w:w="100" w:type="dxa"/>
            <w:vAlign w:val="bottom"/>
            <w:gridSpan w:val="2"/>
          </w:tcPr>
          <w:p>
            <w:pPr>
              <w:jc w:val="right"/>
              <w:spacing w:after="0"/>
              <w:rPr>
                <w:sz w:val="20"/>
                <w:szCs w:val="20"/>
                <w:color w:val="auto"/>
              </w:rPr>
            </w:pPr>
            <w:r>
              <w:rPr>
                <w:rFonts w:ascii="Arial" w:cs="Arial" w:eastAsia="Arial" w:hAnsi="Arial"/>
                <w:sz w:val="18"/>
                <w:szCs w:val="18"/>
                <w:color w:val="auto"/>
                <w:w w:val="79"/>
              </w:rPr>
              <w:t>$</w:t>
            </w:r>
          </w:p>
        </w:tc>
        <w:tc>
          <w:tcPr>
            <w:tcW w:w="300" w:type="dxa"/>
            <w:vAlign w:val="bottom"/>
          </w:tcPr>
          <w:p>
            <w:pPr>
              <w:jc w:val="right"/>
              <w:spacing w:after="0"/>
              <w:rPr>
                <w:sz w:val="20"/>
                <w:szCs w:val="20"/>
                <w:color w:val="auto"/>
              </w:rPr>
            </w:pPr>
            <w:r>
              <w:rPr>
                <w:rFonts w:ascii="Arial" w:cs="Arial" w:eastAsia="Arial" w:hAnsi="Arial"/>
                <w:sz w:val="18"/>
                <w:szCs w:val="18"/>
                <w:color w:val="auto"/>
              </w:rPr>
              <w:t>63</w:t>
            </w:r>
          </w:p>
        </w:tc>
        <w:tc>
          <w:tcPr>
            <w:tcW w:w="460" w:type="dxa"/>
            <w:vAlign w:val="bottom"/>
            <w:gridSpan w:val="2"/>
          </w:tcPr>
          <w:p>
            <w:pPr>
              <w:jc w:val="right"/>
              <w:ind w:right="60"/>
              <w:spacing w:after="0"/>
              <w:rPr>
                <w:sz w:val="20"/>
                <w:szCs w:val="20"/>
                <w:color w:val="auto"/>
              </w:rPr>
            </w:pPr>
            <w:r>
              <w:rPr>
                <w:rFonts w:ascii="Arial" w:cs="Arial" w:eastAsia="Arial" w:hAnsi="Arial"/>
                <w:sz w:val="18"/>
                <w:szCs w:val="18"/>
                <w:color w:val="auto"/>
              </w:rPr>
              <w:t>$</w:t>
            </w:r>
          </w:p>
        </w:tc>
        <w:tc>
          <w:tcPr>
            <w:tcW w:w="260" w:type="dxa"/>
            <w:vAlign w:val="bottom"/>
          </w:tcPr>
          <w:p>
            <w:pPr>
              <w:jc w:val="right"/>
              <w:spacing w:after="0"/>
              <w:rPr>
                <w:sz w:val="20"/>
                <w:szCs w:val="20"/>
                <w:color w:val="auto"/>
              </w:rPr>
            </w:pPr>
            <w:r>
              <w:rPr>
                <w:rFonts w:ascii="Arial" w:cs="Arial" w:eastAsia="Arial" w:hAnsi="Arial"/>
                <w:sz w:val="18"/>
                <w:szCs w:val="18"/>
                <w:color w:val="auto"/>
              </w:rPr>
              <w:t>49</w:t>
            </w:r>
          </w:p>
        </w:tc>
        <w:tc>
          <w:tcPr>
            <w:tcW w:w="4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680" w:type="dxa"/>
            <w:vAlign w:val="bottom"/>
            <w:gridSpan w:val="2"/>
          </w:tcPr>
          <w:p>
            <w:pPr>
              <w:jc w:val="right"/>
              <w:ind w:right="300"/>
              <w:spacing w:after="0"/>
              <w:rPr>
                <w:sz w:val="20"/>
                <w:szCs w:val="20"/>
                <w:color w:val="auto"/>
              </w:rPr>
            </w:pPr>
            <w:r>
              <w:rPr>
                <w:rFonts w:ascii="Arial" w:cs="Arial" w:eastAsia="Arial" w:hAnsi="Arial"/>
                <w:sz w:val="18"/>
                <w:szCs w:val="18"/>
                <w:color w:val="auto"/>
              </w:rPr>
              <w:t>118</w:t>
            </w:r>
          </w:p>
        </w:tc>
        <w:tc>
          <w:tcPr>
            <w:tcW w:w="12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420" w:type="dxa"/>
            <w:vAlign w:val="bottom"/>
            <w:gridSpan w:val="2"/>
          </w:tcPr>
          <w:p>
            <w:pPr>
              <w:jc w:val="right"/>
              <w:ind w:right="20"/>
              <w:spacing w:after="0"/>
              <w:rPr>
                <w:sz w:val="20"/>
                <w:szCs w:val="20"/>
                <w:color w:val="auto"/>
              </w:rPr>
            </w:pPr>
            <w:r>
              <w:rPr>
                <w:rFonts w:ascii="Arial" w:cs="Arial" w:eastAsia="Arial" w:hAnsi="Arial"/>
                <w:sz w:val="18"/>
                <w:szCs w:val="18"/>
                <w:color w:val="auto"/>
              </w:rPr>
              <w:t>106</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340" w:type="dxa"/>
            <w:vAlign w:val="bottom"/>
          </w:tcPr>
          <w:p>
            <w:pPr>
              <w:spacing w:after="0" w:line="20" w:lineRule="exact"/>
              <w:rPr>
                <w:sz w:val="1"/>
                <w:szCs w:val="1"/>
                <w:color w:val="auto"/>
              </w:rPr>
            </w:pPr>
          </w:p>
        </w:tc>
        <w:tc>
          <w:tcPr>
            <w:tcW w:w="7340" w:type="dxa"/>
            <w:vAlign w:val="bottom"/>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67" w:lineRule="exact"/>
        <w:rPr>
          <w:sz w:val="20"/>
          <w:szCs w:val="20"/>
          <w:color w:val="auto"/>
        </w:rPr>
      </w:pPr>
    </w:p>
    <w:p>
      <w:pPr>
        <w:ind w:right="180" w:firstLine="456"/>
        <w:spacing w:after="0" w:line="259" w:lineRule="auto"/>
        <w:rPr>
          <w:sz w:val="20"/>
          <w:szCs w:val="20"/>
          <w:color w:val="auto"/>
        </w:rPr>
      </w:pPr>
      <w:r>
        <w:rPr>
          <w:rFonts w:ascii="Arial" w:cs="Arial" w:eastAsia="Arial" w:hAnsi="Arial"/>
          <w:sz w:val="18"/>
          <w:szCs w:val="18"/>
          <w:color w:val="auto"/>
        </w:rPr>
        <w:t>In the first six months of 2007, we contributed $150 million of UTC common stock to our domestic defined benefit pension plans, all of which was contributed in the first quarter of 2007. There were no contributions of UTC common stock to our domestic defined benefit pension plans in the first six months of 2008.</w:t>
      </w:r>
    </w:p>
    <w:p>
      <w:pPr>
        <w:spacing w:after="0" w:line="140" w:lineRule="exact"/>
        <w:rPr>
          <w:sz w:val="20"/>
          <w:szCs w:val="20"/>
          <w:color w:val="auto"/>
        </w:rPr>
      </w:pPr>
    </w:p>
    <w:p>
      <w:pPr>
        <w:ind w:right="100" w:firstLine="456"/>
        <w:spacing w:after="0" w:line="253" w:lineRule="auto"/>
        <w:rPr>
          <w:sz w:val="20"/>
          <w:szCs w:val="20"/>
          <w:color w:val="auto"/>
        </w:rPr>
      </w:pPr>
      <w:r>
        <w:rPr>
          <w:rFonts w:ascii="Arial" w:cs="Arial" w:eastAsia="Arial" w:hAnsi="Arial"/>
          <w:sz w:val="18"/>
          <w:szCs w:val="18"/>
          <w:color w:val="auto"/>
        </w:rPr>
        <w:t>Effective January 1, 2007, we early-adopted the measurement date (the date at which plan assets and the benefit obligation are measured) provisions of Statement of Financial Accounting Standards (SFAS) No. 158, “Employers’ Accounting for Defined Benefit Pension and Other Postretirement Plans – an amendment of FASB Statements No. 87, 88, 106 and 132(R)” (SFAS 158). Under SFAS 158, the measurement date is required to be the company’s fiscal year-end. The majority of our pension and postretirement plans previously used a November 30 measurement date. All plans are now measured as of December 31, consistent with the company’s fiscal year-end. The non-cash effect of the adoption of the measurement date provisions of SFAS 158 at January 1, 2007 increased shareowners’ equity by approximately $425 million and decreased long-term liabilities by approximately $620 million. There was no effect on our results of operations.</w:t>
      </w:r>
    </w:p>
    <w:p>
      <w:pPr>
        <w:spacing w:after="0" w:line="13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w:t>
      </w:r>
    </w:p>
    <w:p>
      <w:pPr>
        <w:sectPr>
          <w:pgSz w:w="11900" w:h="16838" w:orient="portrait"/>
          <w:cols w:equalWidth="0" w:num="1">
            <w:col w:w="11420"/>
          </w:cols>
          <w:pgMar w:left="240" w:top="459" w:right="239" w:bottom="1440" w:gutter="0" w:footer="0" w:header="0"/>
        </w:sectPr>
      </w:pPr>
    </w:p>
    <w:bookmarkStart w:id="9" w:name="page10"/>
    <w:bookmarkEnd w:id="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following table illustrates the components of net periodic benefit cost for our pension and other postretirement benefits:</w:t>
      </w:r>
    </w:p>
    <w:p>
      <w:pPr>
        <w:spacing w:after="0" w:line="195"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70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500" w:type="dxa"/>
            <w:vAlign w:val="bottom"/>
            <w:gridSpan w:val="3"/>
          </w:tcPr>
          <w:p>
            <w:pPr>
              <w:jc w:val="center"/>
              <w:ind w:right="80"/>
              <w:spacing w:after="0"/>
              <w:rPr>
                <w:sz w:val="20"/>
                <w:szCs w:val="20"/>
                <w:color w:val="auto"/>
              </w:rPr>
            </w:pPr>
            <w:r>
              <w:rPr>
                <w:rFonts w:ascii="Arial" w:cs="Arial" w:eastAsia="Arial" w:hAnsi="Arial"/>
                <w:sz w:val="14"/>
                <w:szCs w:val="14"/>
                <w:b w:val="1"/>
                <w:bCs w:val="1"/>
                <w:color w:val="auto"/>
                <w:w w:val="90"/>
              </w:rPr>
              <w:t>Other</w:t>
            </w:r>
          </w:p>
        </w:tc>
        <w:tc>
          <w:tcPr>
            <w:tcW w:w="30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340" w:type="dxa"/>
            <w:vAlign w:val="bottom"/>
          </w:tcPr>
          <w:p>
            <w:pPr>
              <w:spacing w:after="0"/>
              <w:rPr>
                <w:sz w:val="12"/>
                <w:szCs w:val="12"/>
                <w:color w:val="auto"/>
              </w:rPr>
            </w:pPr>
          </w:p>
        </w:tc>
        <w:tc>
          <w:tcPr>
            <w:tcW w:w="70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140" w:type="dxa"/>
            <w:vAlign w:val="bottom"/>
            <w:gridSpan w:val="7"/>
          </w:tcPr>
          <w:p>
            <w:pPr>
              <w:jc w:val="center"/>
              <w:ind w:right="160"/>
              <w:spacing w:after="0" w:line="149" w:lineRule="exact"/>
              <w:rPr>
                <w:sz w:val="20"/>
                <w:szCs w:val="20"/>
                <w:color w:val="auto"/>
              </w:rPr>
            </w:pPr>
            <w:r>
              <w:rPr>
                <w:rFonts w:ascii="Arial" w:cs="Arial" w:eastAsia="Arial" w:hAnsi="Arial"/>
                <w:sz w:val="14"/>
                <w:szCs w:val="14"/>
                <w:b w:val="1"/>
                <w:bCs w:val="1"/>
                <w:color w:val="auto"/>
                <w:w w:val="86"/>
              </w:rPr>
              <w:t>Postretirement</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340" w:type="dxa"/>
            <w:vAlign w:val="bottom"/>
          </w:tcPr>
          <w:p>
            <w:pPr>
              <w:spacing w:after="0"/>
              <w:rPr>
                <w:sz w:val="12"/>
                <w:szCs w:val="12"/>
                <w:color w:val="auto"/>
              </w:rPr>
            </w:pPr>
          </w:p>
        </w:tc>
        <w:tc>
          <w:tcPr>
            <w:tcW w:w="70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420" w:type="dxa"/>
            <w:vAlign w:val="bottom"/>
            <w:gridSpan w:val="7"/>
          </w:tcPr>
          <w:p>
            <w:pPr>
              <w:jc w:val="center"/>
              <w:ind w:right="200"/>
              <w:spacing w:after="0" w:line="149" w:lineRule="exact"/>
              <w:rPr>
                <w:sz w:val="20"/>
                <w:szCs w:val="20"/>
                <w:color w:val="auto"/>
              </w:rPr>
            </w:pPr>
            <w:r>
              <w:rPr>
                <w:rFonts w:ascii="Arial" w:cs="Arial" w:eastAsia="Arial" w:hAnsi="Arial"/>
                <w:sz w:val="14"/>
                <w:szCs w:val="14"/>
                <w:b w:val="1"/>
                <w:bCs w:val="1"/>
                <w:color w:val="auto"/>
                <w:w w:val="82"/>
              </w:rPr>
              <w:t>Pension Benefits</w:t>
            </w:r>
          </w:p>
        </w:tc>
        <w:tc>
          <w:tcPr>
            <w:tcW w:w="1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580" w:type="dxa"/>
            <w:vAlign w:val="bottom"/>
            <w:gridSpan w:val="4"/>
          </w:tcPr>
          <w:p>
            <w:pPr>
              <w:jc w:val="center"/>
              <w:spacing w:after="0" w:line="149" w:lineRule="exact"/>
              <w:rPr>
                <w:sz w:val="20"/>
                <w:szCs w:val="20"/>
                <w:color w:val="auto"/>
              </w:rPr>
            </w:pPr>
            <w:r>
              <w:rPr>
                <w:rFonts w:ascii="Arial" w:cs="Arial" w:eastAsia="Arial" w:hAnsi="Arial"/>
                <w:sz w:val="14"/>
                <w:szCs w:val="14"/>
                <w:b w:val="1"/>
                <w:bCs w:val="1"/>
                <w:color w:val="auto"/>
                <w:w w:val="83"/>
              </w:rPr>
              <w:t>Benefits</w:t>
            </w:r>
          </w:p>
        </w:tc>
        <w:tc>
          <w:tcPr>
            <w:tcW w:w="3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340" w:type="dxa"/>
            <w:vAlign w:val="bottom"/>
          </w:tcPr>
          <w:p>
            <w:pPr>
              <w:spacing w:after="0"/>
              <w:rPr>
                <w:sz w:val="12"/>
                <w:szCs w:val="12"/>
                <w:color w:val="auto"/>
              </w:rPr>
            </w:pPr>
          </w:p>
        </w:tc>
        <w:tc>
          <w:tcPr>
            <w:tcW w:w="70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420" w:type="dxa"/>
            <w:vAlign w:val="bottom"/>
            <w:gridSpan w:val="7"/>
          </w:tcPr>
          <w:p>
            <w:pPr>
              <w:jc w:val="center"/>
              <w:ind w:right="220"/>
              <w:spacing w:after="0" w:line="149" w:lineRule="exact"/>
              <w:rPr>
                <w:sz w:val="20"/>
                <w:szCs w:val="20"/>
                <w:color w:val="auto"/>
              </w:rPr>
            </w:pPr>
            <w:r>
              <w:rPr>
                <w:rFonts w:ascii="Arial" w:cs="Arial" w:eastAsia="Arial" w:hAnsi="Arial"/>
                <w:sz w:val="14"/>
                <w:szCs w:val="14"/>
                <w:b w:val="1"/>
                <w:bCs w:val="1"/>
                <w:color w:val="auto"/>
                <w:w w:val="90"/>
              </w:rPr>
              <w:t>Quarter Ended</w:t>
            </w:r>
          </w:p>
        </w:tc>
        <w:tc>
          <w:tcPr>
            <w:tcW w:w="1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140" w:type="dxa"/>
            <w:vAlign w:val="bottom"/>
            <w:gridSpan w:val="7"/>
          </w:tcPr>
          <w:p>
            <w:pPr>
              <w:jc w:val="center"/>
              <w:ind w:right="140"/>
              <w:spacing w:after="0" w:line="149" w:lineRule="exact"/>
              <w:rPr>
                <w:sz w:val="20"/>
                <w:szCs w:val="20"/>
                <w:color w:val="auto"/>
              </w:rPr>
            </w:pPr>
            <w:r>
              <w:rPr>
                <w:rFonts w:ascii="Arial" w:cs="Arial" w:eastAsia="Arial" w:hAnsi="Arial"/>
                <w:sz w:val="14"/>
                <w:szCs w:val="14"/>
                <w:b w:val="1"/>
                <w:bCs w:val="1"/>
                <w:color w:val="auto"/>
                <w:w w:val="90"/>
              </w:rPr>
              <w:t>Quarter Ended</w:t>
            </w:r>
          </w:p>
        </w:tc>
        <w:tc>
          <w:tcPr>
            <w:tcW w:w="0" w:type="dxa"/>
            <w:vAlign w:val="bottom"/>
          </w:tcPr>
          <w:p>
            <w:pPr>
              <w:spacing w:after="0"/>
              <w:rPr>
                <w:sz w:val="1"/>
                <w:szCs w:val="1"/>
                <w:color w:val="auto"/>
              </w:rPr>
            </w:pPr>
          </w:p>
        </w:tc>
      </w:tr>
      <w:tr>
        <w:trPr>
          <w:trHeight w:val="161"/>
        </w:trPr>
        <w:tc>
          <w:tcPr>
            <w:tcW w:w="8440" w:type="dxa"/>
            <w:vAlign w:val="bottom"/>
            <w:gridSpan w:val="3"/>
            <w:vMerge w:val="restart"/>
          </w:tcPr>
          <w:p>
            <w:pPr>
              <w:spacing w:after="0"/>
              <w:rPr>
                <w:sz w:val="20"/>
                <w:szCs w:val="20"/>
                <w:color w:val="auto"/>
              </w:rPr>
            </w:pPr>
            <w:r>
              <w:rPr>
                <w:rFonts w:ascii="Arial" w:cs="Arial" w:eastAsia="Arial" w:hAnsi="Arial"/>
                <w:sz w:val="14"/>
                <w:szCs w:val="14"/>
                <w:b w:val="1"/>
                <w:bCs w:val="1"/>
                <w:color w:val="auto"/>
              </w:rPr>
              <w:t>(in millions of dollars)</w:t>
            </w:r>
          </w:p>
        </w:tc>
        <w:tc>
          <w:tcPr>
            <w:tcW w:w="16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160" w:type="dxa"/>
            <w:vAlign w:val="bottom"/>
            <w:gridSpan w:val="6"/>
          </w:tcPr>
          <w:p>
            <w:pPr>
              <w:jc w:val="center"/>
              <w:ind w:right="480"/>
              <w:spacing w:after="0"/>
              <w:rPr>
                <w:sz w:val="20"/>
                <w:szCs w:val="20"/>
                <w:color w:val="auto"/>
              </w:rPr>
            </w:pPr>
            <w:r>
              <w:rPr>
                <w:rFonts w:ascii="Arial" w:cs="Arial" w:eastAsia="Arial" w:hAnsi="Arial"/>
                <w:sz w:val="14"/>
                <w:szCs w:val="14"/>
                <w:b w:val="1"/>
                <w:bCs w:val="1"/>
                <w:color w:val="auto"/>
                <w:w w:val="85"/>
              </w:rPr>
              <w:t>June 30,</w:t>
            </w:r>
          </w:p>
        </w:tc>
        <w:tc>
          <w:tcPr>
            <w:tcW w:w="1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580" w:type="dxa"/>
            <w:vAlign w:val="bottom"/>
            <w:gridSpan w:val="4"/>
          </w:tcPr>
          <w:p>
            <w:pPr>
              <w:jc w:val="center"/>
              <w:spacing w:after="0"/>
              <w:rPr>
                <w:sz w:val="20"/>
                <w:szCs w:val="20"/>
                <w:color w:val="auto"/>
              </w:rPr>
            </w:pPr>
            <w:r>
              <w:rPr>
                <w:rFonts w:ascii="Arial" w:cs="Arial" w:eastAsia="Arial" w:hAnsi="Arial"/>
                <w:sz w:val="14"/>
                <w:szCs w:val="14"/>
                <w:b w:val="1"/>
                <w:bCs w:val="1"/>
                <w:color w:val="auto"/>
                <w:w w:val="85"/>
              </w:rPr>
              <w:t>June 30,</w:t>
            </w:r>
          </w:p>
        </w:tc>
        <w:tc>
          <w:tcPr>
            <w:tcW w:w="30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8440" w:type="dxa"/>
            <w:vAlign w:val="bottom"/>
            <w:gridSpan w:val="3"/>
            <w:vMerge w:val="continue"/>
          </w:tcPr>
          <w:p>
            <w:pPr>
              <w:spacing w:after="0"/>
              <w:rPr>
                <w:sz w:val="12"/>
                <w:szCs w:val="12"/>
                <w:color w:val="auto"/>
              </w:rPr>
            </w:pPr>
          </w:p>
        </w:tc>
        <w:tc>
          <w:tcPr>
            <w:tcW w:w="160" w:type="dxa"/>
            <w:vAlign w:val="bottom"/>
          </w:tcPr>
          <w:p>
            <w:pPr>
              <w:spacing w:after="0"/>
              <w:rPr>
                <w:sz w:val="12"/>
                <w:szCs w:val="12"/>
                <w:color w:val="auto"/>
              </w:rPr>
            </w:pPr>
          </w:p>
        </w:tc>
        <w:tc>
          <w:tcPr>
            <w:tcW w:w="420" w:type="dxa"/>
            <w:vAlign w:val="bottom"/>
            <w:tcBorders>
              <w:top w:val="single" w:sz="8" w:color="auto"/>
            </w:tcBorders>
            <w:gridSpan w:val="2"/>
          </w:tcPr>
          <w:p>
            <w:pPr>
              <w:jc w:val="right"/>
              <w:ind w:right="12"/>
              <w:spacing w:after="0" w:line="142" w:lineRule="exact"/>
              <w:rPr>
                <w:sz w:val="20"/>
                <w:szCs w:val="20"/>
                <w:color w:val="auto"/>
              </w:rPr>
            </w:pPr>
            <w:r>
              <w:rPr>
                <w:rFonts w:ascii="Arial" w:cs="Arial" w:eastAsia="Arial" w:hAnsi="Arial"/>
                <w:sz w:val="14"/>
                <w:szCs w:val="14"/>
                <w:b w:val="1"/>
                <w:bCs w:val="1"/>
                <w:color w:val="auto"/>
              </w:rPr>
              <w:t>2008</w:t>
            </w:r>
          </w:p>
        </w:tc>
        <w:tc>
          <w:tcPr>
            <w:tcW w:w="220" w:type="dxa"/>
            <w:vAlign w:val="bottom"/>
            <w:tcBorders>
              <w:top w:val="single" w:sz="8" w:color="auto"/>
            </w:tcBorders>
          </w:tcPr>
          <w:p>
            <w:pPr>
              <w:spacing w:after="0"/>
              <w:rPr>
                <w:sz w:val="12"/>
                <w:szCs w:val="12"/>
                <w:color w:val="auto"/>
              </w:rPr>
            </w:pPr>
          </w:p>
        </w:tc>
        <w:tc>
          <w:tcPr>
            <w:tcW w:w="580" w:type="dxa"/>
            <w:vAlign w:val="bottom"/>
            <w:tcBorders>
              <w:top w:val="single" w:sz="8" w:color="auto"/>
            </w:tcBorders>
            <w:gridSpan w:val="3"/>
          </w:tcPr>
          <w:p>
            <w:pPr>
              <w:jc w:val="right"/>
              <w:ind w:right="80"/>
              <w:spacing w:after="0" w:line="142" w:lineRule="exact"/>
              <w:rPr>
                <w:sz w:val="20"/>
                <w:szCs w:val="20"/>
                <w:color w:val="auto"/>
              </w:rPr>
            </w:pPr>
            <w:r>
              <w:rPr>
                <w:rFonts w:ascii="Arial" w:cs="Arial" w:eastAsia="Arial" w:hAnsi="Arial"/>
                <w:sz w:val="14"/>
                <w:szCs w:val="14"/>
                <w:b w:val="1"/>
                <w:bCs w:val="1"/>
                <w:color w:val="auto"/>
              </w:rPr>
              <w:t>2007</w:t>
            </w:r>
          </w:p>
        </w:tc>
        <w:tc>
          <w:tcPr>
            <w:tcW w:w="2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360" w:type="dxa"/>
            <w:vAlign w:val="bottom"/>
            <w:tcBorders>
              <w:top w:val="single" w:sz="8" w:color="auto"/>
            </w:tcBorders>
            <w:gridSpan w:val="3"/>
          </w:tcPr>
          <w:p>
            <w:pPr>
              <w:jc w:val="right"/>
              <w:spacing w:after="0" w:line="142" w:lineRule="exact"/>
              <w:rPr>
                <w:sz w:val="20"/>
                <w:szCs w:val="20"/>
                <w:color w:val="auto"/>
              </w:rPr>
            </w:pPr>
            <w:r>
              <w:rPr>
                <w:rFonts w:ascii="Arial" w:cs="Arial" w:eastAsia="Arial" w:hAnsi="Arial"/>
                <w:sz w:val="14"/>
                <w:szCs w:val="14"/>
                <w:b w:val="1"/>
                <w:bCs w:val="1"/>
                <w:color w:val="auto"/>
                <w:w w:val="96"/>
              </w:rPr>
              <w:t>2008</w:t>
            </w:r>
          </w:p>
        </w:tc>
        <w:tc>
          <w:tcPr>
            <w:tcW w:w="300" w:type="dxa"/>
            <w:vAlign w:val="bottom"/>
            <w:tcBorders>
              <w:top w:val="single" w:sz="8" w:color="auto"/>
            </w:tcBorders>
          </w:tcPr>
          <w:p>
            <w:pPr>
              <w:spacing w:after="0"/>
              <w:rPr>
                <w:sz w:val="12"/>
                <w:szCs w:val="12"/>
                <w:color w:val="auto"/>
              </w:rPr>
            </w:pPr>
          </w:p>
        </w:tc>
        <w:tc>
          <w:tcPr>
            <w:tcW w:w="500" w:type="dxa"/>
            <w:vAlign w:val="bottom"/>
            <w:tcBorders>
              <w:top w:val="single" w:sz="8" w:color="auto"/>
            </w:tcBorders>
            <w:gridSpan w:val="3"/>
          </w:tcPr>
          <w:p>
            <w:pPr>
              <w:jc w:val="right"/>
              <w:spacing w:after="0" w:line="142" w:lineRule="exact"/>
              <w:rPr>
                <w:sz w:val="20"/>
                <w:szCs w:val="20"/>
                <w:color w:val="auto"/>
              </w:rPr>
            </w:pPr>
            <w:r>
              <w:rPr>
                <w:rFonts w:ascii="Arial" w:cs="Arial" w:eastAsia="Arial" w:hAnsi="Arial"/>
                <w:sz w:val="14"/>
                <w:szCs w:val="14"/>
                <w:b w:val="1"/>
                <w:bCs w:val="1"/>
                <w:color w:val="auto"/>
              </w:rPr>
              <w:t>2007</w:t>
            </w: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0"/>
        </w:trPr>
        <w:tc>
          <w:tcPr>
            <w:tcW w:w="20" w:type="dxa"/>
            <w:vAlign w:val="bottom"/>
            <w:vMerge w:val="restart"/>
          </w:tcPr>
          <w:p>
            <w:pPr>
              <w:spacing w:after="0" w:line="20" w:lineRule="exact"/>
              <w:rPr>
                <w:sz w:val="1"/>
                <w:szCs w:val="1"/>
                <w:color w:val="auto"/>
              </w:rPr>
            </w:pPr>
          </w:p>
        </w:tc>
        <w:tc>
          <w:tcPr>
            <w:tcW w:w="1340" w:type="dxa"/>
            <w:vAlign w:val="bottom"/>
            <w:shd w:val="clear" w:color="auto" w:fill="000000"/>
          </w:tcPr>
          <w:p>
            <w:pPr>
              <w:spacing w:after="0" w:line="20" w:lineRule="exact"/>
              <w:rPr>
                <w:sz w:val="1"/>
                <w:szCs w:val="1"/>
                <w:color w:val="auto"/>
              </w:rPr>
            </w:pPr>
          </w:p>
        </w:tc>
        <w:tc>
          <w:tcPr>
            <w:tcW w:w="70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vMerge w:val="continue"/>
          </w:tcPr>
          <w:p>
            <w:pPr>
              <w:spacing w:after="0"/>
              <w:rPr>
                <w:sz w:val="18"/>
                <w:szCs w:val="18"/>
                <w:color w:val="auto"/>
              </w:rPr>
            </w:pPr>
          </w:p>
        </w:tc>
        <w:tc>
          <w:tcPr>
            <w:tcW w:w="1340" w:type="dxa"/>
            <w:vAlign w:val="bottom"/>
            <w:shd w:val="clear" w:color="auto" w:fill="CCEEFF"/>
          </w:tcPr>
          <w:p>
            <w:pPr>
              <w:spacing w:after="0"/>
              <w:rPr>
                <w:sz w:val="20"/>
                <w:szCs w:val="20"/>
                <w:color w:val="auto"/>
              </w:rPr>
            </w:pPr>
            <w:r>
              <w:rPr>
                <w:rFonts w:ascii="Arial" w:cs="Arial" w:eastAsia="Arial" w:hAnsi="Arial"/>
                <w:sz w:val="18"/>
                <w:szCs w:val="18"/>
                <w:color w:val="auto"/>
              </w:rPr>
              <w:t>Service cost</w:t>
            </w:r>
          </w:p>
        </w:tc>
        <w:tc>
          <w:tcPr>
            <w:tcW w:w="7080" w:type="dxa"/>
            <w:vAlign w:val="bottom"/>
            <w:shd w:val="clear" w:color="auto" w:fill="CCEEFF"/>
          </w:tcPr>
          <w:p>
            <w:pPr>
              <w:spacing w:after="0"/>
              <w:rPr>
                <w:sz w:val="18"/>
                <w:szCs w:val="18"/>
                <w:color w:val="auto"/>
              </w:rPr>
            </w:pPr>
          </w:p>
        </w:tc>
        <w:tc>
          <w:tcPr>
            <w:tcW w:w="58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$ 114</w:t>
            </w:r>
          </w:p>
        </w:tc>
        <w:tc>
          <w:tcPr>
            <w:tcW w:w="220" w:type="dxa"/>
            <w:vAlign w:val="bottom"/>
            <w:shd w:val="clear" w:color="auto" w:fill="CCEEFF"/>
          </w:tcPr>
          <w:p>
            <w:pPr>
              <w:spacing w:after="0"/>
              <w:rPr>
                <w:sz w:val="18"/>
                <w:szCs w:val="18"/>
                <w:color w:val="auto"/>
              </w:rPr>
            </w:pPr>
          </w:p>
        </w:tc>
        <w:tc>
          <w:tcPr>
            <w:tcW w:w="58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$ 110</w:t>
            </w:r>
          </w:p>
        </w:tc>
        <w:tc>
          <w:tcPr>
            <w:tcW w:w="200" w:type="dxa"/>
            <w:vAlign w:val="bottom"/>
            <w:shd w:val="clear" w:color="auto" w:fill="CCEEFF"/>
          </w:tcPr>
          <w:p>
            <w:pPr>
              <w:spacing w:after="0"/>
              <w:rPr>
                <w:sz w:val="18"/>
                <w:szCs w:val="18"/>
                <w:color w:val="auto"/>
              </w:rPr>
            </w:pPr>
          </w:p>
        </w:tc>
        <w:tc>
          <w:tcPr>
            <w:tcW w:w="2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580" w:type="dxa"/>
            <w:vAlign w:val="bottom"/>
            <w:gridSpan w:val="3"/>
            <w:shd w:val="clear" w:color="auto" w:fill="CCEEFF"/>
          </w:tcPr>
          <w:p>
            <w:pPr>
              <w:jc w:val="right"/>
              <w:ind w:right="232"/>
              <w:spacing w:after="0"/>
              <w:rPr>
                <w:sz w:val="20"/>
                <w:szCs w:val="20"/>
                <w:color w:val="auto"/>
              </w:rPr>
            </w:pPr>
            <w:r>
              <w:rPr>
                <w:rFonts w:ascii="Arial" w:cs="Arial" w:eastAsia="Arial" w:hAnsi="Arial"/>
                <w:sz w:val="18"/>
                <w:szCs w:val="18"/>
                <w:color w:val="auto"/>
              </w:rPr>
              <w:t>1</w:t>
            </w:r>
          </w:p>
        </w:tc>
        <w:tc>
          <w:tcPr>
            <w:tcW w:w="2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3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420" w:type="dxa"/>
            <w:vAlign w:val="bottom"/>
            <w:gridSpan w:val="2"/>
          </w:tcPr>
          <w:p>
            <w:pPr>
              <w:spacing w:after="0"/>
              <w:rPr>
                <w:sz w:val="20"/>
                <w:szCs w:val="20"/>
                <w:color w:val="auto"/>
              </w:rPr>
            </w:pPr>
            <w:r>
              <w:rPr>
                <w:rFonts w:ascii="Arial" w:cs="Arial" w:eastAsia="Arial" w:hAnsi="Arial"/>
                <w:sz w:val="18"/>
                <w:szCs w:val="18"/>
                <w:color w:val="auto"/>
              </w:rPr>
              <w:t>Interest cost</w:t>
            </w:r>
          </w:p>
        </w:tc>
        <w:tc>
          <w:tcPr>
            <w:tcW w:w="580" w:type="dxa"/>
            <w:vAlign w:val="bottom"/>
            <w:gridSpan w:val="3"/>
          </w:tcPr>
          <w:p>
            <w:pPr>
              <w:jc w:val="right"/>
              <w:spacing w:after="0"/>
              <w:rPr>
                <w:sz w:val="20"/>
                <w:szCs w:val="20"/>
                <w:color w:val="auto"/>
              </w:rPr>
            </w:pPr>
            <w:r>
              <w:rPr>
                <w:rFonts w:ascii="Arial" w:cs="Arial" w:eastAsia="Arial" w:hAnsi="Arial"/>
                <w:sz w:val="18"/>
                <w:szCs w:val="18"/>
                <w:color w:val="auto"/>
              </w:rPr>
              <w:t>320</w:t>
            </w:r>
          </w:p>
        </w:tc>
        <w:tc>
          <w:tcPr>
            <w:tcW w:w="220" w:type="dxa"/>
            <w:vAlign w:val="bottom"/>
          </w:tcPr>
          <w:p>
            <w:pPr>
              <w:spacing w:after="0"/>
              <w:rPr>
                <w:sz w:val="18"/>
                <w:szCs w:val="18"/>
                <w:color w:val="auto"/>
              </w:rPr>
            </w:pPr>
          </w:p>
        </w:tc>
        <w:tc>
          <w:tcPr>
            <w:tcW w:w="580" w:type="dxa"/>
            <w:vAlign w:val="bottom"/>
            <w:gridSpan w:val="3"/>
          </w:tcPr>
          <w:p>
            <w:pPr>
              <w:jc w:val="right"/>
              <w:spacing w:after="0"/>
              <w:rPr>
                <w:sz w:val="20"/>
                <w:szCs w:val="20"/>
                <w:color w:val="auto"/>
              </w:rPr>
            </w:pPr>
            <w:r>
              <w:rPr>
                <w:rFonts w:ascii="Arial" w:cs="Arial" w:eastAsia="Arial" w:hAnsi="Arial"/>
                <w:sz w:val="18"/>
                <w:szCs w:val="18"/>
                <w:color w:val="auto"/>
              </w:rPr>
              <w:t>294</w:t>
            </w:r>
          </w:p>
        </w:tc>
        <w:tc>
          <w:tcPr>
            <w:tcW w:w="2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80" w:type="dxa"/>
            <w:vAlign w:val="bottom"/>
            <w:gridSpan w:val="3"/>
          </w:tcPr>
          <w:p>
            <w:pPr>
              <w:jc w:val="right"/>
              <w:ind w:right="232"/>
              <w:spacing w:after="0"/>
              <w:rPr>
                <w:sz w:val="20"/>
                <w:szCs w:val="20"/>
                <w:color w:val="auto"/>
              </w:rPr>
            </w:pPr>
            <w:r>
              <w:rPr>
                <w:rFonts w:ascii="Arial" w:cs="Arial" w:eastAsia="Arial" w:hAnsi="Arial"/>
                <w:sz w:val="18"/>
                <w:szCs w:val="18"/>
                <w:color w:val="auto"/>
              </w:rPr>
              <w:t>14</w:t>
            </w: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00" w:type="dxa"/>
            <w:vAlign w:val="bottom"/>
          </w:tcPr>
          <w:p>
            <w:pPr>
              <w:jc w:val="right"/>
              <w:spacing w:after="0"/>
              <w:rPr>
                <w:sz w:val="20"/>
                <w:szCs w:val="20"/>
                <w:color w:val="auto"/>
              </w:rPr>
            </w:pPr>
            <w:r>
              <w:rPr>
                <w:rFonts w:ascii="Arial" w:cs="Arial" w:eastAsia="Arial" w:hAnsi="Arial"/>
                <w:sz w:val="18"/>
                <w:szCs w:val="18"/>
                <w:color w:val="auto"/>
              </w:rPr>
              <w:t>14</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4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Expected return on plan assets</w:t>
            </w:r>
          </w:p>
        </w:tc>
        <w:tc>
          <w:tcPr>
            <w:tcW w:w="800" w:type="dxa"/>
            <w:vAlign w:val="bottom"/>
            <w:gridSpan w:val="4"/>
            <w:shd w:val="clear" w:color="auto" w:fill="CCEEFF"/>
          </w:tcPr>
          <w:p>
            <w:pPr>
              <w:jc w:val="right"/>
              <w:ind w:right="160"/>
              <w:spacing w:after="0"/>
              <w:rPr>
                <w:sz w:val="20"/>
                <w:szCs w:val="20"/>
                <w:color w:val="auto"/>
              </w:rPr>
            </w:pPr>
            <w:r>
              <w:rPr>
                <w:rFonts w:ascii="Arial" w:cs="Arial" w:eastAsia="Arial" w:hAnsi="Arial"/>
                <w:sz w:val="18"/>
                <w:szCs w:val="18"/>
                <w:color w:val="auto"/>
              </w:rPr>
              <w:t>(421)</w:t>
            </w:r>
          </w:p>
        </w:tc>
        <w:tc>
          <w:tcPr>
            <w:tcW w:w="780" w:type="dxa"/>
            <w:vAlign w:val="bottom"/>
            <w:gridSpan w:val="4"/>
            <w:shd w:val="clear" w:color="auto" w:fill="CCEEFF"/>
          </w:tcPr>
          <w:p>
            <w:pPr>
              <w:jc w:val="right"/>
              <w:ind w:right="140"/>
              <w:spacing w:after="0"/>
              <w:rPr>
                <w:sz w:val="20"/>
                <w:szCs w:val="20"/>
                <w:color w:val="auto"/>
              </w:rPr>
            </w:pPr>
            <w:r>
              <w:rPr>
                <w:rFonts w:ascii="Arial" w:cs="Arial" w:eastAsia="Arial" w:hAnsi="Arial"/>
                <w:sz w:val="18"/>
                <w:szCs w:val="18"/>
                <w:color w:val="auto"/>
              </w:rPr>
              <w:t>(387)</w:t>
            </w:r>
          </w:p>
        </w:tc>
        <w:tc>
          <w:tcPr>
            <w:tcW w:w="1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80" w:type="dxa"/>
            <w:vAlign w:val="bottom"/>
            <w:gridSpan w:val="3"/>
            <w:shd w:val="clear" w:color="auto" w:fill="CCEEFF"/>
          </w:tcPr>
          <w:p>
            <w:pPr>
              <w:jc w:val="right"/>
              <w:ind w:right="172"/>
              <w:spacing w:after="0"/>
              <w:rPr>
                <w:sz w:val="20"/>
                <w:szCs w:val="20"/>
                <w:color w:val="auto"/>
              </w:rPr>
            </w:pPr>
            <w:r>
              <w:rPr>
                <w:rFonts w:ascii="Arial" w:cs="Arial" w:eastAsia="Arial" w:hAnsi="Arial"/>
                <w:sz w:val="18"/>
                <w:szCs w:val="18"/>
                <w:color w:val="auto"/>
              </w:rPr>
              <w:t>(1)</w:t>
            </w: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3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w w:val="99"/>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420" w:type="dxa"/>
            <w:vAlign w:val="bottom"/>
            <w:gridSpan w:val="2"/>
          </w:tcPr>
          <w:p>
            <w:pPr>
              <w:spacing w:after="0"/>
              <w:rPr>
                <w:sz w:val="20"/>
                <w:szCs w:val="20"/>
                <w:color w:val="auto"/>
              </w:rPr>
            </w:pPr>
            <w:r>
              <w:rPr>
                <w:rFonts w:ascii="Arial" w:cs="Arial" w:eastAsia="Arial" w:hAnsi="Arial"/>
                <w:sz w:val="18"/>
                <w:szCs w:val="18"/>
                <w:color w:val="auto"/>
              </w:rPr>
              <w:t>Amortization</w:t>
            </w:r>
          </w:p>
        </w:tc>
        <w:tc>
          <w:tcPr>
            <w:tcW w:w="580" w:type="dxa"/>
            <w:vAlign w:val="bottom"/>
            <w:gridSpan w:val="3"/>
          </w:tcPr>
          <w:p>
            <w:pPr>
              <w:jc w:val="right"/>
              <w:spacing w:after="0"/>
              <w:rPr>
                <w:sz w:val="20"/>
                <w:szCs w:val="20"/>
                <w:color w:val="auto"/>
              </w:rPr>
            </w:pPr>
            <w:r>
              <w:rPr>
                <w:rFonts w:ascii="Arial" w:cs="Arial" w:eastAsia="Arial" w:hAnsi="Arial"/>
                <w:sz w:val="18"/>
                <w:szCs w:val="18"/>
                <w:color w:val="auto"/>
              </w:rPr>
              <w:t>12</w:t>
            </w:r>
          </w:p>
        </w:tc>
        <w:tc>
          <w:tcPr>
            <w:tcW w:w="220" w:type="dxa"/>
            <w:vAlign w:val="bottom"/>
          </w:tcPr>
          <w:p>
            <w:pPr>
              <w:spacing w:after="0"/>
              <w:rPr>
                <w:sz w:val="18"/>
                <w:szCs w:val="18"/>
                <w:color w:val="auto"/>
              </w:rPr>
            </w:pPr>
          </w:p>
        </w:tc>
        <w:tc>
          <w:tcPr>
            <w:tcW w:w="580" w:type="dxa"/>
            <w:vAlign w:val="bottom"/>
            <w:gridSpan w:val="3"/>
          </w:tcPr>
          <w:p>
            <w:pPr>
              <w:jc w:val="right"/>
              <w:spacing w:after="0"/>
              <w:rPr>
                <w:sz w:val="20"/>
                <w:szCs w:val="20"/>
                <w:color w:val="auto"/>
              </w:rPr>
            </w:pPr>
            <w:r>
              <w:rPr>
                <w:rFonts w:ascii="Arial" w:cs="Arial" w:eastAsia="Arial" w:hAnsi="Arial"/>
                <w:sz w:val="18"/>
                <w:szCs w:val="18"/>
                <w:color w:val="auto"/>
              </w:rPr>
              <w:t>9</w:t>
            </w:r>
          </w:p>
        </w:tc>
        <w:tc>
          <w:tcPr>
            <w:tcW w:w="2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80" w:type="dxa"/>
            <w:vAlign w:val="bottom"/>
            <w:gridSpan w:val="3"/>
          </w:tcPr>
          <w:p>
            <w:pPr>
              <w:jc w:val="right"/>
              <w:ind w:right="172"/>
              <w:spacing w:after="0"/>
              <w:rPr>
                <w:sz w:val="20"/>
                <w:szCs w:val="20"/>
                <w:color w:val="auto"/>
              </w:rPr>
            </w:pPr>
            <w:r>
              <w:rPr>
                <w:rFonts w:ascii="Arial" w:cs="Arial" w:eastAsia="Arial" w:hAnsi="Arial"/>
                <w:sz w:val="18"/>
                <w:szCs w:val="18"/>
                <w:color w:val="auto"/>
              </w:rPr>
              <w:t>(2)</w:t>
            </w: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60" w:type="dxa"/>
            <w:vAlign w:val="bottom"/>
            <w:gridSpan w:val="2"/>
          </w:tcPr>
          <w:p>
            <w:pPr>
              <w:jc w:val="right"/>
              <w:spacing w:after="0"/>
              <w:rPr>
                <w:sz w:val="20"/>
                <w:szCs w:val="20"/>
                <w:color w:val="auto"/>
              </w:rPr>
            </w:pPr>
            <w:r>
              <w:rPr>
                <w:rFonts w:ascii="Arial" w:cs="Arial" w:eastAsia="Arial" w:hAnsi="Arial"/>
                <w:sz w:val="18"/>
                <w:szCs w:val="18"/>
                <w:color w:val="auto"/>
              </w:rPr>
              <w:t>(2)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4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Recognized actuarial net loss</w:t>
            </w:r>
          </w:p>
        </w:tc>
        <w:tc>
          <w:tcPr>
            <w:tcW w:w="160" w:type="dxa"/>
            <w:vAlign w:val="bottom"/>
            <w:shd w:val="clear" w:color="auto" w:fill="CCEEFF"/>
          </w:tcPr>
          <w:p>
            <w:pPr>
              <w:spacing w:after="0"/>
              <w:rPr>
                <w:sz w:val="18"/>
                <w:szCs w:val="18"/>
                <w:color w:val="auto"/>
              </w:rPr>
            </w:pPr>
          </w:p>
        </w:tc>
        <w:tc>
          <w:tcPr>
            <w:tcW w:w="420" w:type="dxa"/>
            <w:vAlign w:val="bottom"/>
            <w:tcBorders>
              <w:bottom w:val="single" w:sz="8" w:color="auto"/>
            </w:tcBorders>
            <w:gridSpan w:val="2"/>
            <w:shd w:val="clear" w:color="auto" w:fill="CCEEFF"/>
          </w:tcPr>
          <w:p>
            <w:pPr>
              <w:jc w:val="right"/>
              <w:spacing w:after="0"/>
              <w:rPr>
                <w:sz w:val="20"/>
                <w:szCs w:val="20"/>
                <w:color w:val="auto"/>
              </w:rPr>
            </w:pPr>
            <w:r>
              <w:rPr>
                <w:rFonts w:ascii="Arial" w:cs="Arial" w:eastAsia="Arial" w:hAnsi="Arial"/>
                <w:sz w:val="18"/>
                <w:szCs w:val="18"/>
                <w:color w:val="auto"/>
              </w:rPr>
              <w:t>31</w:t>
            </w:r>
          </w:p>
        </w:tc>
        <w:tc>
          <w:tcPr>
            <w:tcW w:w="2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420" w:type="dxa"/>
            <w:vAlign w:val="bottom"/>
            <w:tcBorders>
              <w:bottom w:val="single" w:sz="8" w:color="auto"/>
            </w:tcBorders>
            <w:gridSpan w:val="2"/>
            <w:shd w:val="clear" w:color="auto" w:fill="CCEEFF"/>
          </w:tcPr>
          <w:p>
            <w:pPr>
              <w:jc w:val="right"/>
              <w:spacing w:after="0"/>
              <w:rPr>
                <w:sz w:val="20"/>
                <w:szCs w:val="20"/>
                <w:color w:val="auto"/>
              </w:rPr>
            </w:pPr>
            <w:r>
              <w:rPr>
                <w:rFonts w:ascii="Arial" w:cs="Arial" w:eastAsia="Arial" w:hAnsi="Arial"/>
                <w:sz w:val="18"/>
                <w:szCs w:val="18"/>
                <w:color w:val="auto"/>
              </w:rPr>
              <w:t>64</w:t>
            </w:r>
          </w:p>
        </w:tc>
        <w:tc>
          <w:tcPr>
            <w:tcW w:w="2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0" w:type="dxa"/>
            <w:vAlign w:val="bottom"/>
            <w:tcBorders>
              <w:bottom w:val="single" w:sz="8" w:color="auto"/>
            </w:tcBorders>
            <w:shd w:val="clear" w:color="auto" w:fill="CCEEFF"/>
          </w:tcPr>
          <w:p>
            <w:pPr>
              <w:spacing w:after="0"/>
              <w:rPr>
                <w:sz w:val="18"/>
                <w:szCs w:val="18"/>
                <w:color w:val="auto"/>
              </w:rPr>
            </w:pPr>
          </w:p>
        </w:tc>
        <w:tc>
          <w:tcPr>
            <w:tcW w:w="280" w:type="dxa"/>
            <w:vAlign w:val="bottom"/>
            <w:tcBorders>
              <w:bottom w:val="single" w:sz="8" w:color="auto"/>
            </w:tcBorders>
            <w:gridSpan w:val="2"/>
            <w:shd w:val="clear" w:color="auto" w:fill="CCEEFF"/>
          </w:tcPr>
          <w:p>
            <w:pPr>
              <w:jc w:val="right"/>
              <w:ind w:right="12"/>
              <w:spacing w:after="0"/>
              <w:rPr>
                <w:sz w:val="20"/>
                <w:szCs w:val="20"/>
                <w:color w:val="auto"/>
              </w:rPr>
            </w:pPr>
            <w:r>
              <w:rPr>
                <w:rFonts w:ascii="Arial" w:cs="Arial" w:eastAsia="Arial" w:hAnsi="Arial"/>
                <w:sz w:val="18"/>
                <w:szCs w:val="18"/>
                <w:color w:val="auto"/>
                <w:w w:val="99"/>
              </w:rPr>
              <w:t>—</w:t>
            </w:r>
          </w:p>
        </w:tc>
        <w:tc>
          <w:tcPr>
            <w:tcW w:w="3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300" w:type="dxa"/>
            <w:vAlign w:val="bottom"/>
            <w:tcBorders>
              <w:bottom w:val="single" w:sz="8" w:color="auto"/>
            </w:tcBorders>
            <w:shd w:val="clear" w:color="auto" w:fill="CCEEFF"/>
          </w:tcPr>
          <w:p>
            <w:pPr>
              <w:jc w:val="right"/>
              <w:ind w:right="12"/>
              <w:spacing w:after="0"/>
              <w:rPr>
                <w:sz w:val="20"/>
                <w:szCs w:val="20"/>
                <w:color w:val="auto"/>
              </w:rPr>
            </w:pPr>
            <w:r>
              <w:rPr>
                <w:rFonts w:ascii="Arial" w:cs="Arial" w:eastAsia="Arial" w:hAnsi="Arial"/>
                <w:sz w:val="18"/>
                <w:szCs w:val="18"/>
                <w:color w:val="auto"/>
                <w:w w:val="99"/>
              </w:rPr>
              <w:t>—</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8440" w:type="dxa"/>
            <w:vAlign w:val="bottom"/>
            <w:gridSpan w:val="3"/>
          </w:tcPr>
          <w:p>
            <w:pPr>
              <w:spacing w:after="0"/>
              <w:rPr>
                <w:sz w:val="20"/>
                <w:szCs w:val="20"/>
                <w:color w:val="auto"/>
              </w:rPr>
            </w:pPr>
            <w:r>
              <w:rPr>
                <w:rFonts w:ascii="Arial" w:cs="Arial" w:eastAsia="Arial" w:hAnsi="Arial"/>
                <w:sz w:val="18"/>
                <w:szCs w:val="18"/>
                <w:color w:val="auto"/>
              </w:rPr>
              <w:t>Total net periodic benefit cost</w:t>
            </w:r>
          </w:p>
        </w:tc>
        <w:tc>
          <w:tcPr>
            <w:tcW w:w="580" w:type="dxa"/>
            <w:vAlign w:val="bottom"/>
            <w:gridSpan w:val="3"/>
          </w:tcPr>
          <w:p>
            <w:pPr>
              <w:jc w:val="right"/>
              <w:spacing w:after="0"/>
              <w:rPr>
                <w:sz w:val="20"/>
                <w:szCs w:val="20"/>
                <w:color w:val="auto"/>
              </w:rPr>
            </w:pPr>
            <w:r>
              <w:rPr>
                <w:rFonts w:ascii="Arial" w:cs="Arial" w:eastAsia="Arial" w:hAnsi="Arial"/>
                <w:sz w:val="18"/>
                <w:szCs w:val="18"/>
                <w:color w:val="auto"/>
              </w:rPr>
              <w:t>$  56</w:t>
            </w:r>
          </w:p>
        </w:tc>
        <w:tc>
          <w:tcPr>
            <w:tcW w:w="220" w:type="dxa"/>
            <w:vAlign w:val="bottom"/>
          </w:tcPr>
          <w:p>
            <w:pPr>
              <w:spacing w:after="0"/>
              <w:rPr>
                <w:sz w:val="19"/>
                <w:szCs w:val="19"/>
                <w:color w:val="auto"/>
              </w:rPr>
            </w:pPr>
          </w:p>
        </w:tc>
        <w:tc>
          <w:tcPr>
            <w:tcW w:w="580" w:type="dxa"/>
            <w:vAlign w:val="bottom"/>
            <w:gridSpan w:val="3"/>
          </w:tcPr>
          <w:p>
            <w:pPr>
              <w:jc w:val="right"/>
              <w:spacing w:after="0"/>
              <w:rPr>
                <w:sz w:val="20"/>
                <w:szCs w:val="20"/>
                <w:color w:val="auto"/>
              </w:rPr>
            </w:pPr>
            <w:r>
              <w:rPr>
                <w:rFonts w:ascii="Arial" w:cs="Arial" w:eastAsia="Arial" w:hAnsi="Arial"/>
                <w:sz w:val="18"/>
                <w:szCs w:val="18"/>
                <w:color w:val="auto"/>
              </w:rPr>
              <w:t>$  90</w:t>
            </w:r>
          </w:p>
        </w:tc>
        <w:tc>
          <w:tcPr>
            <w:tcW w:w="200" w:type="dxa"/>
            <w:vAlign w:val="bottom"/>
          </w:tcPr>
          <w:p>
            <w:pPr>
              <w:spacing w:after="0"/>
              <w:rPr>
                <w:sz w:val="19"/>
                <w:szCs w:val="19"/>
                <w:color w:val="auto"/>
              </w:rPr>
            </w:pPr>
          </w:p>
        </w:tc>
        <w:tc>
          <w:tcPr>
            <w:tcW w:w="2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580" w:type="dxa"/>
            <w:vAlign w:val="bottom"/>
            <w:gridSpan w:val="3"/>
          </w:tcPr>
          <w:p>
            <w:pPr>
              <w:jc w:val="right"/>
              <w:ind w:right="232"/>
              <w:spacing w:after="0"/>
              <w:rPr>
                <w:sz w:val="20"/>
                <w:szCs w:val="20"/>
                <w:color w:val="auto"/>
              </w:rPr>
            </w:pPr>
            <w:r>
              <w:rPr>
                <w:rFonts w:ascii="Arial" w:cs="Arial" w:eastAsia="Arial" w:hAnsi="Arial"/>
                <w:sz w:val="18"/>
                <w:szCs w:val="18"/>
                <w:color w:val="auto"/>
              </w:rPr>
              <w:t>12</w:t>
            </w:r>
          </w:p>
        </w:tc>
        <w:tc>
          <w:tcPr>
            <w:tcW w:w="20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300" w:type="dxa"/>
            <w:vAlign w:val="bottom"/>
          </w:tcPr>
          <w:p>
            <w:pPr>
              <w:jc w:val="right"/>
              <w:spacing w:after="0"/>
              <w:rPr>
                <w:sz w:val="20"/>
                <w:szCs w:val="20"/>
                <w:color w:val="auto"/>
              </w:rPr>
            </w:pPr>
            <w:r>
              <w:rPr>
                <w:rFonts w:ascii="Arial" w:cs="Arial" w:eastAsia="Arial" w:hAnsi="Arial"/>
                <w:sz w:val="18"/>
                <w:szCs w:val="18"/>
                <w:color w:val="auto"/>
              </w:rPr>
              <w:t>13</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340" w:type="dxa"/>
            <w:vAlign w:val="bottom"/>
          </w:tcPr>
          <w:p>
            <w:pPr>
              <w:spacing w:after="0" w:line="20" w:lineRule="exact"/>
              <w:rPr>
                <w:sz w:val="1"/>
                <w:szCs w:val="1"/>
                <w:color w:val="auto"/>
              </w:rPr>
            </w:pPr>
          </w:p>
        </w:tc>
        <w:tc>
          <w:tcPr>
            <w:tcW w:w="70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33"/>
        </w:trPr>
        <w:tc>
          <w:tcPr>
            <w:tcW w:w="2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70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380" w:type="dxa"/>
            <w:vAlign w:val="bottom"/>
            <w:gridSpan w:val="2"/>
          </w:tcPr>
          <w:p>
            <w:pPr>
              <w:jc w:val="center"/>
              <w:spacing w:after="0"/>
              <w:rPr>
                <w:sz w:val="20"/>
                <w:szCs w:val="20"/>
                <w:color w:val="auto"/>
              </w:rPr>
            </w:pPr>
            <w:r>
              <w:rPr>
                <w:rFonts w:ascii="Arial" w:cs="Arial" w:eastAsia="Arial" w:hAnsi="Arial"/>
                <w:sz w:val="14"/>
                <w:szCs w:val="14"/>
                <w:b w:val="1"/>
                <w:bCs w:val="1"/>
                <w:color w:val="auto"/>
                <w:w w:val="90"/>
              </w:rPr>
              <w:t>Other</w:t>
            </w:r>
          </w:p>
        </w:tc>
        <w:tc>
          <w:tcPr>
            <w:tcW w:w="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340" w:type="dxa"/>
            <w:vAlign w:val="bottom"/>
          </w:tcPr>
          <w:p>
            <w:pPr>
              <w:spacing w:after="0"/>
              <w:rPr>
                <w:sz w:val="12"/>
                <w:szCs w:val="12"/>
                <w:color w:val="auto"/>
              </w:rPr>
            </w:pPr>
          </w:p>
        </w:tc>
        <w:tc>
          <w:tcPr>
            <w:tcW w:w="70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220" w:type="dxa"/>
            <w:vAlign w:val="bottom"/>
            <w:gridSpan w:val="8"/>
          </w:tcPr>
          <w:p>
            <w:pPr>
              <w:jc w:val="center"/>
              <w:ind w:right="240"/>
              <w:spacing w:after="0" w:line="149" w:lineRule="exact"/>
              <w:rPr>
                <w:sz w:val="20"/>
                <w:szCs w:val="20"/>
                <w:color w:val="auto"/>
              </w:rPr>
            </w:pPr>
            <w:r>
              <w:rPr>
                <w:rFonts w:ascii="Arial" w:cs="Arial" w:eastAsia="Arial" w:hAnsi="Arial"/>
                <w:sz w:val="14"/>
                <w:szCs w:val="14"/>
                <w:b w:val="1"/>
                <w:bCs w:val="1"/>
                <w:color w:val="auto"/>
                <w:w w:val="86"/>
              </w:rPr>
              <w:t>Postretirement</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340" w:type="dxa"/>
            <w:vAlign w:val="bottom"/>
          </w:tcPr>
          <w:p>
            <w:pPr>
              <w:spacing w:after="0"/>
              <w:rPr>
                <w:sz w:val="12"/>
                <w:szCs w:val="12"/>
                <w:color w:val="auto"/>
              </w:rPr>
            </w:pPr>
          </w:p>
        </w:tc>
        <w:tc>
          <w:tcPr>
            <w:tcW w:w="7080" w:type="dxa"/>
            <w:vAlign w:val="bottom"/>
          </w:tcPr>
          <w:p>
            <w:pPr>
              <w:spacing w:after="0"/>
              <w:rPr>
                <w:sz w:val="12"/>
                <w:szCs w:val="12"/>
                <w:color w:val="auto"/>
              </w:rPr>
            </w:pPr>
          </w:p>
        </w:tc>
        <w:tc>
          <w:tcPr>
            <w:tcW w:w="1580" w:type="dxa"/>
            <w:vAlign w:val="bottom"/>
            <w:gridSpan w:val="8"/>
          </w:tcPr>
          <w:p>
            <w:pPr>
              <w:jc w:val="center"/>
              <w:ind w:right="380"/>
              <w:spacing w:after="0" w:line="149" w:lineRule="exact"/>
              <w:rPr>
                <w:sz w:val="20"/>
                <w:szCs w:val="20"/>
                <w:color w:val="auto"/>
              </w:rPr>
            </w:pPr>
            <w:r>
              <w:rPr>
                <w:rFonts w:ascii="Arial" w:cs="Arial" w:eastAsia="Arial" w:hAnsi="Arial"/>
                <w:sz w:val="14"/>
                <w:szCs w:val="14"/>
                <w:b w:val="1"/>
                <w:bCs w:val="1"/>
                <w:color w:val="auto"/>
                <w:w w:val="84"/>
              </w:rPr>
              <w:t>Pension Benefits</w:t>
            </w:r>
          </w:p>
        </w:tc>
        <w:tc>
          <w:tcPr>
            <w:tcW w:w="1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80" w:type="dxa"/>
            <w:vAlign w:val="bottom"/>
            <w:gridSpan w:val="5"/>
          </w:tcPr>
          <w:p>
            <w:pPr>
              <w:jc w:val="center"/>
              <w:spacing w:after="0" w:line="149" w:lineRule="exact"/>
              <w:rPr>
                <w:sz w:val="20"/>
                <w:szCs w:val="20"/>
                <w:color w:val="auto"/>
              </w:rPr>
            </w:pPr>
            <w:r>
              <w:rPr>
                <w:rFonts w:ascii="Arial" w:cs="Arial" w:eastAsia="Arial" w:hAnsi="Arial"/>
                <w:sz w:val="14"/>
                <w:szCs w:val="14"/>
                <w:b w:val="1"/>
                <w:bCs w:val="1"/>
                <w:color w:val="auto"/>
                <w:w w:val="83"/>
              </w:rPr>
              <w:t>Benefits</w:t>
            </w:r>
          </w:p>
        </w:tc>
        <w:tc>
          <w:tcPr>
            <w:tcW w:w="3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340" w:type="dxa"/>
            <w:vAlign w:val="bottom"/>
          </w:tcPr>
          <w:p>
            <w:pPr>
              <w:spacing w:after="0"/>
              <w:rPr>
                <w:sz w:val="12"/>
                <w:szCs w:val="12"/>
                <w:color w:val="auto"/>
              </w:rPr>
            </w:pPr>
          </w:p>
        </w:tc>
        <w:tc>
          <w:tcPr>
            <w:tcW w:w="70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420" w:type="dxa"/>
            <w:vAlign w:val="bottom"/>
            <w:gridSpan w:val="7"/>
          </w:tcPr>
          <w:p>
            <w:pPr>
              <w:jc w:val="center"/>
              <w:ind w:right="520"/>
              <w:spacing w:after="0" w:line="149" w:lineRule="exact"/>
              <w:rPr>
                <w:sz w:val="20"/>
                <w:szCs w:val="20"/>
                <w:color w:val="auto"/>
              </w:rPr>
            </w:pPr>
            <w:r>
              <w:rPr>
                <w:rFonts w:ascii="Arial" w:cs="Arial" w:eastAsia="Arial" w:hAnsi="Arial"/>
                <w:sz w:val="14"/>
                <w:szCs w:val="14"/>
                <w:b w:val="1"/>
                <w:bCs w:val="1"/>
                <w:color w:val="auto"/>
                <w:w w:val="88"/>
              </w:rPr>
              <w:t>Six Months</w:t>
            </w:r>
          </w:p>
        </w:tc>
        <w:tc>
          <w:tcPr>
            <w:tcW w:w="1400" w:type="dxa"/>
            <w:vAlign w:val="bottom"/>
            <w:gridSpan w:val="9"/>
          </w:tcPr>
          <w:p>
            <w:pPr>
              <w:jc w:val="center"/>
              <w:ind w:right="60"/>
              <w:spacing w:after="0" w:line="149" w:lineRule="exact"/>
              <w:rPr>
                <w:sz w:val="20"/>
                <w:szCs w:val="20"/>
                <w:color w:val="auto"/>
              </w:rPr>
            </w:pPr>
            <w:r>
              <w:rPr>
                <w:rFonts w:ascii="Arial" w:cs="Arial" w:eastAsia="Arial" w:hAnsi="Arial"/>
                <w:sz w:val="14"/>
                <w:szCs w:val="14"/>
                <w:b w:val="1"/>
                <w:bCs w:val="1"/>
                <w:color w:val="auto"/>
                <w:w w:val="87"/>
              </w:rPr>
              <w:t>Six Months Ended</w:t>
            </w:r>
          </w:p>
        </w:tc>
        <w:tc>
          <w:tcPr>
            <w:tcW w:w="0" w:type="dxa"/>
            <w:vAlign w:val="bottom"/>
          </w:tcPr>
          <w:p>
            <w:pPr>
              <w:spacing w:after="0"/>
              <w:rPr>
                <w:sz w:val="1"/>
                <w:szCs w:val="1"/>
                <w:color w:val="auto"/>
              </w:rPr>
            </w:pPr>
          </w:p>
        </w:tc>
      </w:tr>
      <w:tr>
        <w:trPr>
          <w:trHeight w:val="161"/>
        </w:trPr>
        <w:tc>
          <w:tcPr>
            <w:tcW w:w="8440" w:type="dxa"/>
            <w:vAlign w:val="bottom"/>
            <w:gridSpan w:val="3"/>
            <w:vMerge w:val="restart"/>
          </w:tcPr>
          <w:p>
            <w:pPr>
              <w:spacing w:after="0"/>
              <w:rPr>
                <w:sz w:val="20"/>
                <w:szCs w:val="20"/>
                <w:color w:val="auto"/>
              </w:rPr>
            </w:pPr>
            <w:r>
              <w:rPr>
                <w:rFonts w:ascii="Arial" w:cs="Arial" w:eastAsia="Arial" w:hAnsi="Arial"/>
                <w:sz w:val="14"/>
                <w:szCs w:val="14"/>
                <w:b w:val="1"/>
                <w:bCs w:val="1"/>
                <w:color w:val="auto"/>
              </w:rPr>
              <w:t>(in millions of dollars)</w:t>
            </w:r>
          </w:p>
        </w:tc>
        <w:tc>
          <w:tcPr>
            <w:tcW w:w="160" w:type="dxa"/>
            <w:vAlign w:val="bottom"/>
          </w:tcPr>
          <w:p>
            <w:pPr>
              <w:spacing w:after="0"/>
              <w:rPr>
                <w:sz w:val="14"/>
                <w:szCs w:val="14"/>
                <w:color w:val="auto"/>
              </w:rPr>
            </w:pPr>
          </w:p>
        </w:tc>
        <w:tc>
          <w:tcPr>
            <w:tcW w:w="1420" w:type="dxa"/>
            <w:vAlign w:val="bottom"/>
            <w:gridSpan w:val="7"/>
          </w:tcPr>
          <w:p>
            <w:pPr>
              <w:jc w:val="center"/>
              <w:ind w:right="540"/>
              <w:spacing w:after="0"/>
              <w:rPr>
                <w:sz w:val="20"/>
                <w:szCs w:val="20"/>
                <w:color w:val="auto"/>
              </w:rPr>
            </w:pPr>
            <w:r>
              <w:rPr>
                <w:rFonts w:ascii="Arial" w:cs="Arial" w:eastAsia="Arial" w:hAnsi="Arial"/>
                <w:sz w:val="14"/>
                <w:szCs w:val="14"/>
                <w:b w:val="1"/>
                <w:bCs w:val="1"/>
                <w:color w:val="auto"/>
                <w:w w:val="85"/>
              </w:rPr>
              <w:t>Ended June 30,</w:t>
            </w:r>
          </w:p>
        </w:tc>
        <w:tc>
          <w:tcPr>
            <w:tcW w:w="1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80" w:type="dxa"/>
            <w:vAlign w:val="bottom"/>
            <w:gridSpan w:val="5"/>
          </w:tcPr>
          <w:p>
            <w:pPr>
              <w:jc w:val="center"/>
              <w:spacing w:after="0"/>
              <w:rPr>
                <w:sz w:val="20"/>
                <w:szCs w:val="20"/>
                <w:color w:val="auto"/>
              </w:rPr>
            </w:pPr>
            <w:r>
              <w:rPr>
                <w:rFonts w:ascii="Arial" w:cs="Arial" w:eastAsia="Arial" w:hAnsi="Arial"/>
                <w:sz w:val="14"/>
                <w:szCs w:val="14"/>
                <w:b w:val="1"/>
                <w:bCs w:val="1"/>
                <w:color w:val="auto"/>
                <w:w w:val="85"/>
              </w:rPr>
              <w:t>June 30,</w:t>
            </w:r>
          </w:p>
        </w:tc>
        <w:tc>
          <w:tcPr>
            <w:tcW w:w="30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8440" w:type="dxa"/>
            <w:vAlign w:val="bottom"/>
            <w:gridSpan w:val="3"/>
            <w:vMerge w:val="continue"/>
          </w:tcPr>
          <w:p>
            <w:pPr>
              <w:spacing w:after="0"/>
              <w:rPr>
                <w:sz w:val="12"/>
                <w:szCs w:val="12"/>
                <w:color w:val="auto"/>
              </w:rPr>
            </w:pPr>
          </w:p>
        </w:tc>
        <w:tc>
          <w:tcPr>
            <w:tcW w:w="420" w:type="dxa"/>
            <w:vAlign w:val="bottom"/>
            <w:tcBorders>
              <w:top w:val="single" w:sz="8" w:color="auto"/>
            </w:tcBorders>
            <w:gridSpan w:val="2"/>
          </w:tcPr>
          <w:p>
            <w:pPr>
              <w:jc w:val="right"/>
              <w:ind w:right="9"/>
              <w:spacing w:after="0" w:line="142" w:lineRule="exact"/>
              <w:rPr>
                <w:sz w:val="20"/>
                <w:szCs w:val="20"/>
                <w:color w:val="auto"/>
              </w:rPr>
            </w:pPr>
            <w:r>
              <w:rPr>
                <w:rFonts w:ascii="Arial" w:cs="Arial" w:eastAsia="Arial" w:hAnsi="Arial"/>
                <w:sz w:val="14"/>
                <w:szCs w:val="14"/>
                <w:b w:val="1"/>
                <w:bCs w:val="1"/>
                <w:color w:val="auto"/>
              </w:rPr>
              <w:t>2008</w:t>
            </w:r>
          </w:p>
        </w:tc>
        <w:tc>
          <w:tcPr>
            <w:tcW w:w="160" w:type="dxa"/>
            <w:vAlign w:val="bottom"/>
            <w:tcBorders>
              <w:top w:val="single" w:sz="8" w:color="auto"/>
            </w:tcBorders>
          </w:tcPr>
          <w:p>
            <w:pPr>
              <w:spacing w:after="0"/>
              <w:rPr>
                <w:sz w:val="12"/>
                <w:szCs w:val="12"/>
                <w:color w:val="auto"/>
              </w:rPr>
            </w:pPr>
          </w:p>
        </w:tc>
        <w:tc>
          <w:tcPr>
            <w:tcW w:w="220" w:type="dxa"/>
            <w:vAlign w:val="bottom"/>
            <w:tcBorders>
              <w:top w:val="single" w:sz="8" w:color="auto"/>
            </w:tcBorders>
          </w:tcPr>
          <w:p>
            <w:pPr>
              <w:spacing w:after="0"/>
              <w:rPr>
                <w:sz w:val="12"/>
                <w:szCs w:val="12"/>
                <w:color w:val="auto"/>
              </w:rPr>
            </w:pPr>
          </w:p>
        </w:tc>
        <w:tc>
          <w:tcPr>
            <w:tcW w:w="420" w:type="dxa"/>
            <w:vAlign w:val="bottom"/>
            <w:tcBorders>
              <w:top w:val="single" w:sz="8" w:color="auto"/>
            </w:tcBorders>
            <w:gridSpan w:val="2"/>
          </w:tcPr>
          <w:p>
            <w:pPr>
              <w:jc w:val="right"/>
              <w:spacing w:after="0" w:line="142" w:lineRule="exact"/>
              <w:rPr>
                <w:sz w:val="20"/>
                <w:szCs w:val="20"/>
                <w:color w:val="auto"/>
              </w:rPr>
            </w:pPr>
            <w:r>
              <w:rPr>
                <w:rFonts w:ascii="Arial" w:cs="Arial" w:eastAsia="Arial" w:hAnsi="Arial"/>
                <w:sz w:val="14"/>
                <w:szCs w:val="14"/>
                <w:b w:val="1"/>
                <w:bCs w:val="1"/>
                <w:color w:val="auto"/>
              </w:rPr>
              <w:t>2007</w:t>
            </w:r>
          </w:p>
        </w:tc>
        <w:tc>
          <w:tcPr>
            <w:tcW w:w="1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460" w:type="dxa"/>
            <w:vAlign w:val="bottom"/>
            <w:tcBorders>
              <w:top w:val="single" w:sz="8" w:color="auto"/>
            </w:tcBorders>
            <w:gridSpan w:val="3"/>
          </w:tcPr>
          <w:p>
            <w:pPr>
              <w:jc w:val="right"/>
              <w:ind w:right="17"/>
              <w:spacing w:after="0" w:line="142" w:lineRule="exact"/>
              <w:rPr>
                <w:sz w:val="20"/>
                <w:szCs w:val="20"/>
                <w:color w:val="auto"/>
              </w:rPr>
            </w:pPr>
            <w:r>
              <w:rPr>
                <w:rFonts w:ascii="Arial" w:cs="Arial" w:eastAsia="Arial" w:hAnsi="Arial"/>
                <w:sz w:val="14"/>
                <w:szCs w:val="14"/>
                <w:b w:val="1"/>
                <w:bCs w:val="1"/>
                <w:color w:val="auto"/>
              </w:rPr>
              <w:t>2008</w:t>
            </w:r>
          </w:p>
        </w:tc>
        <w:tc>
          <w:tcPr>
            <w:tcW w:w="80" w:type="dxa"/>
            <w:vAlign w:val="bottom"/>
            <w:tcBorders>
              <w:top w:val="single" w:sz="8" w:color="auto"/>
            </w:tcBorders>
          </w:tcPr>
          <w:p>
            <w:pPr>
              <w:spacing w:after="0"/>
              <w:rPr>
                <w:sz w:val="12"/>
                <w:szCs w:val="12"/>
                <w:color w:val="auto"/>
              </w:rPr>
            </w:pPr>
          </w:p>
        </w:tc>
        <w:tc>
          <w:tcPr>
            <w:tcW w:w="300" w:type="dxa"/>
            <w:vAlign w:val="bottom"/>
            <w:tcBorders>
              <w:top w:val="single" w:sz="8" w:color="auto"/>
            </w:tcBorders>
          </w:tcPr>
          <w:p>
            <w:pPr>
              <w:spacing w:after="0"/>
              <w:rPr>
                <w:sz w:val="12"/>
                <w:szCs w:val="12"/>
                <w:color w:val="auto"/>
              </w:rPr>
            </w:pPr>
          </w:p>
        </w:tc>
        <w:tc>
          <w:tcPr>
            <w:tcW w:w="500" w:type="dxa"/>
            <w:vAlign w:val="bottom"/>
            <w:tcBorders>
              <w:top w:val="single" w:sz="8" w:color="auto"/>
            </w:tcBorders>
            <w:gridSpan w:val="3"/>
          </w:tcPr>
          <w:p>
            <w:pPr>
              <w:jc w:val="right"/>
              <w:ind w:right="32"/>
              <w:spacing w:after="0" w:line="142" w:lineRule="exact"/>
              <w:rPr>
                <w:sz w:val="20"/>
                <w:szCs w:val="20"/>
                <w:color w:val="auto"/>
              </w:rPr>
            </w:pPr>
            <w:r>
              <w:rPr>
                <w:rFonts w:ascii="Arial" w:cs="Arial" w:eastAsia="Arial" w:hAnsi="Arial"/>
                <w:sz w:val="14"/>
                <w:szCs w:val="14"/>
                <w:b w:val="1"/>
                <w:bCs w:val="1"/>
                <w:color w:val="auto"/>
              </w:rPr>
              <w:t>2007</w:t>
            </w: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134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Service cost</w:t>
            </w:r>
          </w:p>
        </w:tc>
        <w:tc>
          <w:tcPr>
            <w:tcW w:w="7080" w:type="dxa"/>
            <w:vAlign w:val="bottom"/>
            <w:shd w:val="clear" w:color="auto" w:fill="CCEEFF"/>
          </w:tcPr>
          <w:p>
            <w:pPr>
              <w:spacing w:after="0"/>
              <w:rPr>
                <w:sz w:val="18"/>
                <w:szCs w:val="18"/>
                <w:color w:val="auto"/>
              </w:rPr>
            </w:pPr>
          </w:p>
        </w:tc>
        <w:tc>
          <w:tcPr>
            <w:tcW w:w="420" w:type="dxa"/>
            <w:vAlign w:val="bottom"/>
            <w:tcBorders>
              <w:top w:val="single" w:sz="8" w:color="auto"/>
            </w:tcBorders>
            <w:gridSpan w:val="2"/>
            <w:shd w:val="clear" w:color="auto" w:fill="CCEEFF"/>
          </w:tcPr>
          <w:p>
            <w:pPr>
              <w:jc w:val="right"/>
              <w:spacing w:after="0"/>
              <w:rPr>
                <w:sz w:val="20"/>
                <w:szCs w:val="20"/>
                <w:color w:val="auto"/>
              </w:rPr>
            </w:pPr>
            <w:r>
              <w:rPr>
                <w:rFonts w:ascii="Arial" w:cs="Arial" w:eastAsia="Arial" w:hAnsi="Arial"/>
                <w:sz w:val="18"/>
                <w:szCs w:val="18"/>
                <w:color w:val="auto"/>
                <w:w w:val="88"/>
              </w:rPr>
              <w:t>$ 227</w:t>
            </w:r>
          </w:p>
        </w:tc>
        <w:tc>
          <w:tcPr>
            <w:tcW w:w="1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420" w:type="dxa"/>
            <w:vAlign w:val="bottom"/>
            <w:tcBorders>
              <w:top w:val="single" w:sz="8" w:color="auto"/>
            </w:tcBorders>
            <w:gridSpan w:val="2"/>
            <w:shd w:val="clear" w:color="auto" w:fill="CCEEFF"/>
          </w:tcPr>
          <w:p>
            <w:pPr>
              <w:jc w:val="right"/>
              <w:spacing w:after="0"/>
              <w:rPr>
                <w:sz w:val="20"/>
                <w:szCs w:val="20"/>
                <w:color w:val="auto"/>
              </w:rPr>
            </w:pPr>
            <w:r>
              <w:rPr>
                <w:rFonts w:ascii="Arial" w:cs="Arial" w:eastAsia="Arial" w:hAnsi="Arial"/>
                <w:sz w:val="18"/>
                <w:szCs w:val="18"/>
                <w:color w:val="auto"/>
                <w:w w:val="88"/>
              </w:rPr>
              <w:t>$ 218</w:t>
            </w:r>
          </w:p>
        </w:tc>
        <w:tc>
          <w:tcPr>
            <w:tcW w:w="1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80" w:type="dxa"/>
            <w:vAlign w:val="bottom"/>
            <w:tcBorders>
              <w:top w:val="single" w:sz="8" w:color="auto"/>
            </w:tcBorders>
            <w:shd w:val="clear" w:color="auto" w:fill="CCEEFF"/>
          </w:tcPr>
          <w:p>
            <w:pPr>
              <w:spacing w:after="0"/>
              <w:rPr>
                <w:sz w:val="18"/>
                <w:szCs w:val="18"/>
                <w:color w:val="auto"/>
              </w:rPr>
            </w:pPr>
          </w:p>
        </w:tc>
        <w:tc>
          <w:tcPr>
            <w:tcW w:w="2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w:t>
            </w:r>
          </w:p>
        </w:tc>
        <w:tc>
          <w:tcPr>
            <w:tcW w:w="8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200" w:type="dxa"/>
            <w:vAlign w:val="bottom"/>
            <w:tcBorders>
              <w:top w:val="single" w:sz="8" w:color="auto"/>
            </w:tcBorders>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79"/>
              </w:rPr>
              <w:t>$</w:t>
            </w:r>
          </w:p>
        </w:tc>
        <w:tc>
          <w:tcPr>
            <w:tcW w:w="3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420" w:type="dxa"/>
            <w:vAlign w:val="bottom"/>
            <w:gridSpan w:val="2"/>
          </w:tcPr>
          <w:p>
            <w:pPr>
              <w:spacing w:after="0"/>
              <w:rPr>
                <w:sz w:val="20"/>
                <w:szCs w:val="20"/>
                <w:color w:val="auto"/>
              </w:rPr>
            </w:pPr>
            <w:r>
              <w:rPr>
                <w:rFonts w:ascii="Arial" w:cs="Arial" w:eastAsia="Arial" w:hAnsi="Arial"/>
                <w:sz w:val="18"/>
                <w:szCs w:val="18"/>
                <w:color w:val="auto"/>
              </w:rPr>
              <w:t>Interest cost</w:t>
            </w:r>
          </w:p>
        </w:tc>
        <w:tc>
          <w:tcPr>
            <w:tcW w:w="420" w:type="dxa"/>
            <w:vAlign w:val="bottom"/>
            <w:gridSpan w:val="2"/>
          </w:tcPr>
          <w:p>
            <w:pPr>
              <w:jc w:val="right"/>
              <w:spacing w:after="0"/>
              <w:rPr>
                <w:sz w:val="20"/>
                <w:szCs w:val="20"/>
                <w:color w:val="auto"/>
              </w:rPr>
            </w:pPr>
            <w:r>
              <w:rPr>
                <w:rFonts w:ascii="Arial" w:cs="Arial" w:eastAsia="Arial" w:hAnsi="Arial"/>
                <w:sz w:val="18"/>
                <w:szCs w:val="18"/>
                <w:color w:val="auto"/>
              </w:rPr>
              <w:t>640</w:t>
            </w:r>
          </w:p>
        </w:tc>
        <w:tc>
          <w:tcPr>
            <w:tcW w:w="1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580" w:type="dxa"/>
            <w:vAlign w:val="bottom"/>
            <w:gridSpan w:val="3"/>
          </w:tcPr>
          <w:p>
            <w:pPr>
              <w:jc w:val="right"/>
              <w:ind w:right="160"/>
              <w:spacing w:after="0"/>
              <w:rPr>
                <w:sz w:val="20"/>
                <w:szCs w:val="20"/>
                <w:color w:val="auto"/>
              </w:rPr>
            </w:pPr>
            <w:r>
              <w:rPr>
                <w:rFonts w:ascii="Arial" w:cs="Arial" w:eastAsia="Arial" w:hAnsi="Arial"/>
                <w:sz w:val="18"/>
                <w:szCs w:val="18"/>
                <w:color w:val="auto"/>
              </w:rPr>
              <w:t>587</w:t>
            </w:r>
          </w:p>
        </w:tc>
        <w:tc>
          <w:tcPr>
            <w:tcW w:w="2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80" w:type="dxa"/>
            <w:vAlign w:val="bottom"/>
            <w:gridSpan w:val="2"/>
          </w:tcPr>
          <w:p>
            <w:pPr>
              <w:jc w:val="right"/>
              <w:ind w:right="12"/>
              <w:spacing w:after="0"/>
              <w:rPr>
                <w:sz w:val="20"/>
                <w:szCs w:val="20"/>
                <w:color w:val="auto"/>
              </w:rPr>
            </w:pPr>
            <w:r>
              <w:rPr>
                <w:rFonts w:ascii="Arial" w:cs="Arial" w:eastAsia="Arial" w:hAnsi="Arial"/>
                <w:sz w:val="18"/>
                <w:szCs w:val="18"/>
                <w:color w:val="auto"/>
                <w:w w:val="89"/>
              </w:rPr>
              <w:t>27</w:t>
            </w:r>
          </w:p>
        </w:tc>
        <w:tc>
          <w:tcPr>
            <w:tcW w:w="3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00" w:type="dxa"/>
            <w:vAlign w:val="bottom"/>
          </w:tcPr>
          <w:p>
            <w:pPr>
              <w:jc w:val="right"/>
              <w:spacing w:after="0"/>
              <w:rPr>
                <w:sz w:val="20"/>
                <w:szCs w:val="20"/>
                <w:color w:val="auto"/>
              </w:rPr>
            </w:pPr>
            <w:r>
              <w:rPr>
                <w:rFonts w:ascii="Arial" w:cs="Arial" w:eastAsia="Arial" w:hAnsi="Arial"/>
                <w:sz w:val="18"/>
                <w:szCs w:val="18"/>
                <w:color w:val="auto"/>
              </w:rPr>
              <w:t>28</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4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Expected return on plan assets</w:t>
            </w:r>
          </w:p>
        </w:tc>
        <w:tc>
          <w:tcPr>
            <w:tcW w:w="580" w:type="dxa"/>
            <w:vAlign w:val="bottom"/>
            <w:gridSpan w:val="3"/>
            <w:shd w:val="clear" w:color="auto" w:fill="CCEEFF"/>
          </w:tcPr>
          <w:p>
            <w:pPr>
              <w:jc w:val="right"/>
              <w:ind w:right="32"/>
              <w:spacing w:after="0"/>
              <w:rPr>
                <w:sz w:val="20"/>
                <w:szCs w:val="20"/>
                <w:color w:val="auto"/>
              </w:rPr>
            </w:pPr>
            <w:r>
              <w:rPr>
                <w:rFonts w:ascii="Arial" w:cs="Arial" w:eastAsia="Arial" w:hAnsi="Arial"/>
                <w:sz w:val="18"/>
                <w:szCs w:val="18"/>
                <w:color w:val="auto"/>
              </w:rPr>
              <w:t>(841)</w:t>
            </w:r>
          </w:p>
        </w:tc>
        <w:tc>
          <w:tcPr>
            <w:tcW w:w="220" w:type="dxa"/>
            <w:vAlign w:val="bottom"/>
            <w:shd w:val="clear" w:color="auto" w:fill="CCEEFF"/>
          </w:tcPr>
          <w:p>
            <w:pPr>
              <w:spacing w:after="0"/>
              <w:rPr>
                <w:sz w:val="18"/>
                <w:szCs w:val="18"/>
                <w:color w:val="auto"/>
              </w:rPr>
            </w:pPr>
          </w:p>
        </w:tc>
        <w:tc>
          <w:tcPr>
            <w:tcW w:w="580" w:type="dxa"/>
            <w:vAlign w:val="bottom"/>
            <w:gridSpan w:val="3"/>
            <w:shd w:val="clear" w:color="auto" w:fill="CCEEFF"/>
          </w:tcPr>
          <w:p>
            <w:pPr>
              <w:jc w:val="right"/>
              <w:ind w:right="120"/>
              <w:spacing w:after="0"/>
              <w:rPr>
                <w:sz w:val="20"/>
                <w:szCs w:val="20"/>
                <w:color w:val="auto"/>
              </w:rPr>
            </w:pPr>
            <w:r>
              <w:rPr>
                <w:rFonts w:ascii="Arial" w:cs="Arial" w:eastAsia="Arial" w:hAnsi="Arial"/>
                <w:sz w:val="18"/>
                <w:szCs w:val="18"/>
                <w:color w:val="auto"/>
              </w:rPr>
              <w:t>(768)</w:t>
            </w:r>
          </w:p>
        </w:tc>
        <w:tc>
          <w:tcPr>
            <w:tcW w:w="2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w:t>
            </w:r>
          </w:p>
        </w:tc>
        <w:tc>
          <w:tcPr>
            <w:tcW w:w="3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3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420" w:type="dxa"/>
            <w:vAlign w:val="bottom"/>
            <w:gridSpan w:val="2"/>
          </w:tcPr>
          <w:p>
            <w:pPr>
              <w:spacing w:after="0"/>
              <w:rPr>
                <w:sz w:val="20"/>
                <w:szCs w:val="20"/>
                <w:color w:val="auto"/>
              </w:rPr>
            </w:pPr>
            <w:r>
              <w:rPr>
                <w:rFonts w:ascii="Arial" w:cs="Arial" w:eastAsia="Arial" w:hAnsi="Arial"/>
                <w:sz w:val="18"/>
                <w:szCs w:val="18"/>
                <w:color w:val="auto"/>
              </w:rPr>
              <w:t>Amortization</w:t>
            </w:r>
          </w:p>
        </w:tc>
        <w:tc>
          <w:tcPr>
            <w:tcW w:w="420" w:type="dxa"/>
            <w:vAlign w:val="bottom"/>
            <w:gridSpan w:val="2"/>
          </w:tcPr>
          <w:p>
            <w:pPr>
              <w:jc w:val="right"/>
              <w:spacing w:after="0"/>
              <w:rPr>
                <w:sz w:val="20"/>
                <w:szCs w:val="20"/>
                <w:color w:val="auto"/>
              </w:rPr>
            </w:pPr>
            <w:r>
              <w:rPr>
                <w:rFonts w:ascii="Arial" w:cs="Arial" w:eastAsia="Arial" w:hAnsi="Arial"/>
                <w:sz w:val="18"/>
                <w:szCs w:val="18"/>
                <w:color w:val="auto"/>
              </w:rPr>
              <w:t>25</w:t>
            </w:r>
          </w:p>
        </w:tc>
        <w:tc>
          <w:tcPr>
            <w:tcW w:w="1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580" w:type="dxa"/>
            <w:vAlign w:val="bottom"/>
            <w:gridSpan w:val="3"/>
          </w:tcPr>
          <w:p>
            <w:pPr>
              <w:jc w:val="right"/>
              <w:ind w:right="160"/>
              <w:spacing w:after="0"/>
              <w:rPr>
                <w:sz w:val="20"/>
                <w:szCs w:val="20"/>
                <w:color w:val="auto"/>
              </w:rPr>
            </w:pPr>
            <w:r>
              <w:rPr>
                <w:rFonts w:ascii="Arial" w:cs="Arial" w:eastAsia="Arial" w:hAnsi="Arial"/>
                <w:sz w:val="18"/>
                <w:szCs w:val="18"/>
                <w:color w:val="auto"/>
              </w:rPr>
              <w:t>18</w:t>
            </w:r>
          </w:p>
        </w:tc>
        <w:tc>
          <w:tcPr>
            <w:tcW w:w="2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80" w:type="dxa"/>
            <w:vAlign w:val="bottom"/>
            <w:gridSpan w:val="2"/>
          </w:tcPr>
          <w:p>
            <w:pPr>
              <w:jc w:val="right"/>
              <w:spacing w:after="0"/>
              <w:rPr>
                <w:sz w:val="20"/>
                <w:szCs w:val="20"/>
                <w:color w:val="auto"/>
              </w:rPr>
            </w:pPr>
            <w:r>
              <w:rPr>
                <w:rFonts w:ascii="Arial" w:cs="Arial" w:eastAsia="Arial" w:hAnsi="Arial"/>
                <w:sz w:val="18"/>
                <w:szCs w:val="18"/>
                <w:color w:val="auto"/>
              </w:rPr>
              <w:t>(4)</w:t>
            </w:r>
          </w:p>
        </w:tc>
        <w:tc>
          <w:tcPr>
            <w:tcW w:w="3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60" w:type="dxa"/>
            <w:vAlign w:val="bottom"/>
            <w:gridSpan w:val="2"/>
          </w:tcPr>
          <w:p>
            <w:pPr>
              <w:jc w:val="right"/>
              <w:spacing w:after="0"/>
              <w:rPr>
                <w:sz w:val="20"/>
                <w:szCs w:val="20"/>
                <w:color w:val="auto"/>
              </w:rPr>
            </w:pPr>
            <w:r>
              <w:rPr>
                <w:rFonts w:ascii="Arial" w:cs="Arial" w:eastAsia="Arial" w:hAnsi="Arial"/>
                <w:sz w:val="18"/>
                <w:szCs w:val="18"/>
                <w:color w:val="auto"/>
              </w:rPr>
              <w:t>(4)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4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Recognized actuarial net loss</w:t>
            </w:r>
          </w:p>
        </w:tc>
        <w:tc>
          <w:tcPr>
            <w:tcW w:w="420" w:type="dxa"/>
            <w:vAlign w:val="bottom"/>
            <w:tcBorders>
              <w:bottom w:val="single" w:sz="8" w:color="auto"/>
            </w:tcBorders>
            <w:gridSpan w:val="2"/>
            <w:shd w:val="clear" w:color="auto" w:fill="CCEEFF"/>
          </w:tcPr>
          <w:p>
            <w:pPr>
              <w:jc w:val="right"/>
              <w:spacing w:after="0"/>
              <w:rPr>
                <w:sz w:val="20"/>
                <w:szCs w:val="20"/>
                <w:color w:val="auto"/>
              </w:rPr>
            </w:pPr>
            <w:r>
              <w:rPr>
                <w:rFonts w:ascii="Arial" w:cs="Arial" w:eastAsia="Arial" w:hAnsi="Arial"/>
                <w:sz w:val="18"/>
                <w:szCs w:val="18"/>
                <w:color w:val="auto"/>
              </w:rPr>
              <w:t>61</w:t>
            </w:r>
          </w:p>
        </w:tc>
        <w:tc>
          <w:tcPr>
            <w:tcW w:w="1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420" w:type="dxa"/>
            <w:vAlign w:val="bottom"/>
            <w:tcBorders>
              <w:bottom w:val="single" w:sz="8" w:color="auto"/>
            </w:tcBorders>
            <w:gridSpan w:val="2"/>
            <w:shd w:val="clear" w:color="auto" w:fill="CCEEFF"/>
          </w:tcPr>
          <w:p>
            <w:pPr>
              <w:jc w:val="right"/>
              <w:spacing w:after="0"/>
              <w:rPr>
                <w:sz w:val="20"/>
                <w:szCs w:val="20"/>
                <w:color w:val="auto"/>
              </w:rPr>
            </w:pPr>
            <w:r>
              <w:rPr>
                <w:rFonts w:ascii="Arial" w:cs="Arial" w:eastAsia="Arial" w:hAnsi="Arial"/>
                <w:sz w:val="18"/>
                <w:szCs w:val="18"/>
                <w:color w:val="auto"/>
              </w:rPr>
              <w:t>126</w:t>
            </w:r>
          </w:p>
        </w:tc>
        <w:tc>
          <w:tcPr>
            <w:tcW w:w="1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80" w:type="dxa"/>
            <w:vAlign w:val="bottom"/>
            <w:tcBorders>
              <w:bottom w:val="single" w:sz="8" w:color="auto"/>
            </w:tcBorders>
            <w:shd w:val="clear" w:color="auto" w:fill="CCEEFF"/>
          </w:tcPr>
          <w:p>
            <w:pPr>
              <w:spacing w:after="0"/>
              <w:rPr>
                <w:sz w:val="18"/>
                <w:szCs w:val="18"/>
                <w:color w:val="auto"/>
              </w:rPr>
            </w:pPr>
          </w:p>
        </w:tc>
        <w:tc>
          <w:tcPr>
            <w:tcW w:w="280" w:type="dxa"/>
            <w:vAlign w:val="bottom"/>
            <w:tcBorders>
              <w:bottom w:val="single" w:sz="8" w:color="auto"/>
            </w:tcBorders>
            <w:gridSpan w:val="2"/>
            <w:shd w:val="clear" w:color="auto" w:fill="CCEEFF"/>
          </w:tcPr>
          <w:p>
            <w:pPr>
              <w:jc w:val="right"/>
              <w:ind w:right="17"/>
              <w:spacing w:after="0"/>
              <w:rPr>
                <w:sz w:val="20"/>
                <w:szCs w:val="20"/>
                <w:color w:val="auto"/>
              </w:rPr>
            </w:pPr>
            <w:r>
              <w:rPr>
                <w:rFonts w:ascii="Arial" w:cs="Arial" w:eastAsia="Arial" w:hAnsi="Arial"/>
                <w:sz w:val="18"/>
                <w:szCs w:val="18"/>
                <w:color w:val="auto"/>
                <w:w w:val="88"/>
              </w:rPr>
              <w:t>—</w:t>
            </w:r>
          </w:p>
        </w:tc>
        <w:tc>
          <w:tcPr>
            <w:tcW w:w="380" w:type="dxa"/>
            <w:vAlign w:val="bottom"/>
            <w:gridSpan w:val="2"/>
            <w:shd w:val="clear" w:color="auto" w:fill="CCEEFF"/>
          </w:tcPr>
          <w:p>
            <w:pPr>
              <w:spacing w:after="0"/>
              <w:rPr>
                <w:sz w:val="18"/>
                <w:szCs w:val="18"/>
                <w:color w:val="auto"/>
              </w:rPr>
            </w:pPr>
          </w:p>
        </w:tc>
        <w:tc>
          <w:tcPr>
            <w:tcW w:w="80" w:type="dxa"/>
            <w:vAlign w:val="bottom"/>
            <w:tcBorders>
              <w:bottom w:val="single" w:sz="8" w:color="auto"/>
            </w:tcBorders>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300" w:type="dxa"/>
            <w:vAlign w:val="bottom"/>
            <w:tcBorders>
              <w:bottom w:val="single" w:sz="8" w:color="auto"/>
            </w:tcBorders>
            <w:shd w:val="clear" w:color="auto" w:fill="CCEEFF"/>
          </w:tcPr>
          <w:p>
            <w:pPr>
              <w:jc w:val="right"/>
              <w:ind w:right="12"/>
              <w:spacing w:after="0"/>
              <w:rPr>
                <w:sz w:val="20"/>
                <w:szCs w:val="20"/>
                <w:color w:val="auto"/>
              </w:rPr>
            </w:pPr>
            <w:r>
              <w:rPr>
                <w:rFonts w:ascii="Arial" w:cs="Arial" w:eastAsia="Arial" w:hAnsi="Arial"/>
                <w:sz w:val="18"/>
                <w:szCs w:val="18"/>
                <w:color w:val="auto"/>
                <w:w w:val="99"/>
              </w:rPr>
              <w:t>—</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1"/>
        </w:trPr>
        <w:tc>
          <w:tcPr>
            <w:tcW w:w="20" w:type="dxa"/>
            <w:vAlign w:val="bottom"/>
          </w:tcPr>
          <w:p>
            <w:pPr>
              <w:spacing w:after="0"/>
              <w:rPr>
                <w:sz w:val="19"/>
                <w:szCs w:val="19"/>
                <w:color w:val="auto"/>
              </w:rPr>
            </w:pPr>
          </w:p>
        </w:tc>
        <w:tc>
          <w:tcPr>
            <w:tcW w:w="1340" w:type="dxa"/>
            <w:vAlign w:val="bottom"/>
          </w:tcPr>
          <w:p>
            <w:pPr>
              <w:spacing w:after="0"/>
              <w:rPr>
                <w:sz w:val="19"/>
                <w:szCs w:val="19"/>
                <w:color w:val="auto"/>
              </w:rPr>
            </w:pPr>
          </w:p>
        </w:tc>
        <w:tc>
          <w:tcPr>
            <w:tcW w:w="7080" w:type="dxa"/>
            <w:vAlign w:val="bottom"/>
          </w:tcPr>
          <w:p>
            <w:pPr>
              <w:spacing w:after="0"/>
              <w:rPr>
                <w:sz w:val="19"/>
                <w:szCs w:val="19"/>
                <w:color w:val="auto"/>
              </w:rPr>
            </w:pPr>
          </w:p>
        </w:tc>
        <w:tc>
          <w:tcPr>
            <w:tcW w:w="420" w:type="dxa"/>
            <w:vAlign w:val="bottom"/>
            <w:gridSpan w:val="2"/>
          </w:tcPr>
          <w:p>
            <w:pPr>
              <w:jc w:val="right"/>
              <w:spacing w:after="0"/>
              <w:rPr>
                <w:sz w:val="20"/>
                <w:szCs w:val="20"/>
                <w:color w:val="auto"/>
              </w:rPr>
            </w:pPr>
            <w:r>
              <w:rPr>
                <w:rFonts w:ascii="Arial" w:cs="Arial" w:eastAsia="Arial" w:hAnsi="Arial"/>
                <w:sz w:val="18"/>
                <w:szCs w:val="18"/>
                <w:color w:val="auto"/>
              </w:rPr>
              <w:t>112</w:t>
            </w:r>
          </w:p>
        </w:tc>
        <w:tc>
          <w:tcPr>
            <w:tcW w:w="1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580" w:type="dxa"/>
            <w:vAlign w:val="bottom"/>
            <w:gridSpan w:val="3"/>
          </w:tcPr>
          <w:p>
            <w:pPr>
              <w:jc w:val="right"/>
              <w:ind w:right="160"/>
              <w:spacing w:after="0"/>
              <w:rPr>
                <w:sz w:val="20"/>
                <w:szCs w:val="20"/>
                <w:color w:val="auto"/>
              </w:rPr>
            </w:pPr>
            <w:r>
              <w:rPr>
                <w:rFonts w:ascii="Arial" w:cs="Arial" w:eastAsia="Arial" w:hAnsi="Arial"/>
                <w:sz w:val="18"/>
                <w:szCs w:val="18"/>
                <w:color w:val="auto"/>
              </w:rPr>
              <w:t>181</w:t>
            </w:r>
          </w:p>
        </w:tc>
        <w:tc>
          <w:tcPr>
            <w:tcW w:w="2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80" w:type="dxa"/>
            <w:vAlign w:val="bottom"/>
            <w:gridSpan w:val="2"/>
          </w:tcPr>
          <w:p>
            <w:pPr>
              <w:jc w:val="right"/>
              <w:ind w:right="12"/>
              <w:spacing w:after="0"/>
              <w:rPr>
                <w:sz w:val="20"/>
                <w:szCs w:val="20"/>
                <w:color w:val="auto"/>
              </w:rPr>
            </w:pPr>
            <w:r>
              <w:rPr>
                <w:rFonts w:ascii="Arial" w:cs="Arial" w:eastAsia="Arial" w:hAnsi="Arial"/>
                <w:sz w:val="18"/>
                <w:szCs w:val="18"/>
                <w:color w:val="auto"/>
                <w:w w:val="89"/>
              </w:rPr>
              <w:t>24</w:t>
            </w:r>
          </w:p>
        </w:tc>
        <w:tc>
          <w:tcPr>
            <w:tcW w:w="3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00" w:type="dxa"/>
            <w:vAlign w:val="bottom"/>
          </w:tcPr>
          <w:p>
            <w:pPr>
              <w:jc w:val="right"/>
              <w:spacing w:after="0"/>
              <w:rPr>
                <w:sz w:val="20"/>
                <w:szCs w:val="20"/>
                <w:color w:val="auto"/>
              </w:rPr>
            </w:pPr>
            <w:r>
              <w:rPr>
                <w:rFonts w:ascii="Arial" w:cs="Arial" w:eastAsia="Arial" w:hAnsi="Arial"/>
                <w:sz w:val="18"/>
                <w:szCs w:val="18"/>
                <w:color w:val="auto"/>
              </w:rPr>
              <w:t>25</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8"/>
        </w:trPr>
        <w:tc>
          <w:tcPr>
            <w:tcW w:w="20" w:type="dxa"/>
            <w:vAlign w:val="bottom"/>
          </w:tcPr>
          <w:p>
            <w:pPr>
              <w:spacing w:after="0"/>
              <w:rPr>
                <w:sz w:val="18"/>
                <w:szCs w:val="18"/>
                <w:color w:val="auto"/>
              </w:rPr>
            </w:pPr>
          </w:p>
        </w:tc>
        <w:tc>
          <w:tcPr>
            <w:tcW w:w="84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Net settlement and curtailment gain</w:t>
            </w:r>
          </w:p>
        </w:tc>
        <w:tc>
          <w:tcPr>
            <w:tcW w:w="580" w:type="dxa"/>
            <w:vAlign w:val="bottom"/>
            <w:gridSpan w:val="3"/>
            <w:shd w:val="clear" w:color="auto" w:fill="CCEEFF"/>
          </w:tcPr>
          <w:p>
            <w:pPr>
              <w:jc w:val="right"/>
              <w:ind w:right="32"/>
              <w:spacing w:after="0"/>
              <w:rPr>
                <w:sz w:val="20"/>
                <w:szCs w:val="20"/>
                <w:color w:val="auto"/>
              </w:rPr>
            </w:pPr>
            <w:r>
              <w:rPr>
                <w:rFonts w:ascii="Arial" w:cs="Arial" w:eastAsia="Arial" w:hAnsi="Arial"/>
                <w:sz w:val="18"/>
                <w:szCs w:val="18"/>
                <w:color w:val="auto"/>
              </w:rPr>
              <w:t>(2)</w:t>
            </w:r>
          </w:p>
        </w:tc>
        <w:tc>
          <w:tcPr>
            <w:tcW w:w="220" w:type="dxa"/>
            <w:vAlign w:val="bottom"/>
            <w:shd w:val="clear" w:color="auto" w:fill="CCEEFF"/>
          </w:tcPr>
          <w:p>
            <w:pPr>
              <w:spacing w:after="0"/>
              <w:rPr>
                <w:sz w:val="18"/>
                <w:szCs w:val="18"/>
                <w:color w:val="auto"/>
              </w:rPr>
            </w:pPr>
          </w:p>
        </w:tc>
        <w:tc>
          <w:tcPr>
            <w:tcW w:w="780" w:type="dxa"/>
            <w:vAlign w:val="bottom"/>
            <w:gridSpan w:val="4"/>
            <w:shd w:val="clear" w:color="auto" w:fill="CCEEFF"/>
          </w:tcPr>
          <w:p>
            <w:pPr>
              <w:jc w:val="right"/>
              <w:ind w:right="460"/>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18"/>
                <w:szCs w:val="18"/>
                <w:color w:val="auto"/>
              </w:rPr>
            </w:pPr>
          </w:p>
        </w:tc>
        <w:tc>
          <w:tcPr>
            <w:tcW w:w="660" w:type="dxa"/>
            <w:vAlign w:val="bottom"/>
            <w:gridSpan w:val="4"/>
            <w:shd w:val="clear" w:color="auto" w:fill="CCEEFF"/>
          </w:tcPr>
          <w:p>
            <w:pPr>
              <w:jc w:val="right"/>
              <w:ind w:right="412"/>
              <w:spacing w:after="0"/>
              <w:rPr>
                <w:sz w:val="20"/>
                <w:szCs w:val="20"/>
                <w:color w:val="auto"/>
              </w:rPr>
            </w:pPr>
            <w:r>
              <w:rPr>
                <w:rFonts w:ascii="Arial" w:cs="Arial" w:eastAsia="Arial" w:hAnsi="Arial"/>
                <w:sz w:val="18"/>
                <w:szCs w:val="18"/>
                <w:color w:val="auto"/>
                <w:w w:val="88"/>
              </w:rPr>
              <w:t>—</w:t>
            </w: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3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w w:val="99"/>
              </w:rPr>
              <w:t>—</w:t>
            </w:r>
          </w:p>
        </w:tc>
        <w:tc>
          <w:tcPr>
            <w:tcW w:w="0" w:type="dxa"/>
            <w:vAlign w:val="bottom"/>
          </w:tcPr>
          <w:p>
            <w:pPr>
              <w:spacing w:after="0"/>
              <w:rPr>
                <w:sz w:val="1"/>
                <w:szCs w:val="1"/>
                <w:color w:val="auto"/>
              </w:rPr>
            </w:pPr>
          </w:p>
        </w:tc>
      </w:tr>
      <w:tr>
        <w:trPr>
          <w:trHeight w:val="222"/>
        </w:trPr>
        <w:tc>
          <w:tcPr>
            <w:tcW w:w="8440" w:type="dxa"/>
            <w:vAlign w:val="bottom"/>
            <w:gridSpan w:val="3"/>
          </w:tcPr>
          <w:p>
            <w:pPr>
              <w:spacing w:after="0"/>
              <w:rPr>
                <w:sz w:val="20"/>
                <w:szCs w:val="20"/>
                <w:color w:val="auto"/>
              </w:rPr>
            </w:pPr>
            <w:r>
              <w:rPr>
                <w:rFonts w:ascii="Arial" w:cs="Arial" w:eastAsia="Arial" w:hAnsi="Arial"/>
                <w:sz w:val="18"/>
                <w:szCs w:val="18"/>
                <w:color w:val="auto"/>
              </w:rPr>
              <w:t>Total net periodic benefit cost</w:t>
            </w:r>
          </w:p>
        </w:tc>
        <w:tc>
          <w:tcPr>
            <w:tcW w:w="420" w:type="dxa"/>
            <w:vAlign w:val="bottom"/>
            <w:tcBorders>
              <w:top w:val="single" w:sz="8" w:color="auto"/>
              <w:bottom w:val="single" w:sz="8" w:color="auto"/>
            </w:tcBorders>
            <w:gridSpan w:val="2"/>
          </w:tcPr>
          <w:p>
            <w:pPr>
              <w:jc w:val="right"/>
              <w:spacing w:after="0"/>
              <w:rPr>
                <w:sz w:val="20"/>
                <w:szCs w:val="20"/>
                <w:color w:val="auto"/>
              </w:rPr>
            </w:pPr>
            <w:r>
              <w:rPr>
                <w:rFonts w:ascii="Arial" w:cs="Arial" w:eastAsia="Arial" w:hAnsi="Arial"/>
                <w:sz w:val="18"/>
                <w:szCs w:val="18"/>
                <w:color w:val="auto"/>
                <w:w w:val="88"/>
              </w:rPr>
              <w:t>$ 110</w:t>
            </w:r>
          </w:p>
        </w:tc>
        <w:tc>
          <w:tcPr>
            <w:tcW w:w="1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420" w:type="dxa"/>
            <w:vAlign w:val="bottom"/>
            <w:tcBorders>
              <w:top w:val="single" w:sz="8" w:color="auto"/>
              <w:bottom w:val="single" w:sz="8" w:color="auto"/>
            </w:tcBorders>
            <w:gridSpan w:val="2"/>
          </w:tcPr>
          <w:p>
            <w:pPr>
              <w:jc w:val="right"/>
              <w:spacing w:after="0"/>
              <w:rPr>
                <w:sz w:val="20"/>
                <w:szCs w:val="20"/>
                <w:color w:val="auto"/>
              </w:rPr>
            </w:pPr>
            <w:r>
              <w:rPr>
                <w:rFonts w:ascii="Arial" w:cs="Arial" w:eastAsia="Arial" w:hAnsi="Arial"/>
                <w:sz w:val="18"/>
                <w:szCs w:val="18"/>
                <w:color w:val="auto"/>
                <w:w w:val="88"/>
              </w:rPr>
              <w:t>$ 181</w:t>
            </w:r>
          </w:p>
        </w:tc>
        <w:tc>
          <w:tcPr>
            <w:tcW w:w="1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80" w:type="dxa"/>
            <w:vAlign w:val="bottom"/>
            <w:tcBorders>
              <w:top w:val="single" w:sz="8" w:color="auto"/>
              <w:bottom w:val="single" w:sz="8" w:color="auto"/>
            </w:tcBorders>
          </w:tcPr>
          <w:p>
            <w:pPr>
              <w:spacing w:after="0"/>
              <w:rPr>
                <w:sz w:val="19"/>
                <w:szCs w:val="19"/>
                <w:color w:val="auto"/>
              </w:rPr>
            </w:pPr>
          </w:p>
        </w:tc>
        <w:tc>
          <w:tcPr>
            <w:tcW w:w="2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89"/>
              </w:rPr>
              <w:t>24</w:t>
            </w:r>
          </w:p>
        </w:tc>
        <w:tc>
          <w:tcPr>
            <w:tcW w:w="8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200" w:type="dxa"/>
            <w:vAlign w:val="bottom"/>
            <w:tcBorders>
              <w:top w:val="single" w:sz="8" w:color="auto"/>
              <w:bottom w:val="single" w:sz="8" w:color="auto"/>
            </w:tcBorders>
            <w:gridSpan w:val="2"/>
          </w:tcPr>
          <w:p>
            <w:pPr>
              <w:jc w:val="right"/>
              <w:ind w:right="100"/>
              <w:spacing w:after="0"/>
              <w:rPr>
                <w:sz w:val="20"/>
                <w:szCs w:val="20"/>
                <w:color w:val="auto"/>
              </w:rPr>
            </w:pPr>
            <w:r>
              <w:rPr>
                <w:rFonts w:ascii="Arial" w:cs="Arial" w:eastAsia="Arial" w:hAnsi="Arial"/>
                <w:sz w:val="18"/>
                <w:szCs w:val="18"/>
                <w:color w:val="auto"/>
                <w:w w:val="79"/>
              </w:rPr>
              <w:t>$</w:t>
            </w:r>
          </w:p>
        </w:tc>
        <w:tc>
          <w:tcPr>
            <w:tcW w:w="3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25</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340" w:type="dxa"/>
            <w:vAlign w:val="bottom"/>
          </w:tcPr>
          <w:p>
            <w:pPr>
              <w:spacing w:after="0" w:line="20" w:lineRule="exact"/>
              <w:rPr>
                <w:sz w:val="1"/>
                <w:szCs w:val="1"/>
                <w:color w:val="auto"/>
              </w:rPr>
            </w:pPr>
          </w:p>
        </w:tc>
        <w:tc>
          <w:tcPr>
            <w:tcW w:w="708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4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7: Restructuring and Related Costs</w:t>
      </w:r>
    </w:p>
    <w:p>
      <w:pPr>
        <w:spacing w:after="0" w:line="177" w:lineRule="exact"/>
        <w:rPr>
          <w:sz w:val="20"/>
          <w:szCs w:val="20"/>
          <w:color w:val="auto"/>
        </w:rPr>
      </w:pPr>
    </w:p>
    <w:p>
      <w:pPr>
        <w:ind w:right="180" w:firstLine="456"/>
        <w:spacing w:after="0" w:line="268" w:lineRule="auto"/>
        <w:rPr>
          <w:sz w:val="20"/>
          <w:szCs w:val="20"/>
          <w:color w:val="auto"/>
        </w:rPr>
      </w:pPr>
      <w:r>
        <w:rPr>
          <w:rFonts w:ascii="Arial" w:cs="Arial" w:eastAsia="Arial" w:hAnsi="Arial"/>
          <w:sz w:val="18"/>
          <w:szCs w:val="18"/>
          <w:color w:val="auto"/>
        </w:rPr>
        <w:t>During the first six months of 2008, we recorded net pre-tax restructuring and related charges in our business segments totaling $128 million for new and ongoing restructuring actions as follows:</w:t>
      </w:r>
    </w:p>
    <w:p>
      <w:pPr>
        <w:spacing w:after="0" w:line="168" w:lineRule="exact"/>
        <w:rPr>
          <w:sz w:val="20"/>
          <w:szCs w:val="20"/>
          <w:color w:val="auto"/>
        </w:rPr>
      </w:pPr>
    </w:p>
    <w:tbl>
      <w:tblPr>
        <w:tblLayout w:type="fixed"/>
        <w:tblInd w:w="460" w:type="dxa"/>
        <w:tblCellMar>
          <w:top w:w="0" w:type="dxa"/>
          <w:left w:w="0" w:type="dxa"/>
          <w:bottom w:w="0" w:type="dxa"/>
          <w:right w:w="0" w:type="dxa"/>
        </w:tblCellMar>
      </w:tblPr>
      <w:tr>
        <w:trPr>
          <w:trHeight w:val="161"/>
        </w:trPr>
        <w:tc>
          <w:tcPr>
            <w:tcW w:w="10140" w:type="dxa"/>
            <w:vAlign w:val="bottom"/>
            <w:gridSpan w:val="3"/>
          </w:tcPr>
          <w:p>
            <w:pPr>
              <w:spacing w:after="0"/>
              <w:rPr>
                <w:sz w:val="20"/>
                <w:szCs w:val="20"/>
                <w:color w:val="auto"/>
              </w:rPr>
            </w:pPr>
            <w:r>
              <w:rPr>
                <w:rFonts w:ascii="Arial" w:cs="Arial" w:eastAsia="Arial" w:hAnsi="Arial"/>
                <w:sz w:val="14"/>
                <w:szCs w:val="14"/>
                <w:b w:val="1"/>
                <w:bCs w:val="1"/>
                <w:color w:val="auto"/>
              </w:rPr>
              <w:t>(in millions of dollars)</w:t>
            </w:r>
          </w:p>
        </w:tc>
        <w:tc>
          <w:tcPr>
            <w:tcW w:w="100" w:type="dxa"/>
            <w:vAlign w:val="bottom"/>
          </w:tcPr>
          <w:p>
            <w:pPr>
              <w:spacing w:after="0"/>
              <w:rPr>
                <w:sz w:val="14"/>
                <w:szCs w:val="14"/>
                <w:color w:val="auto"/>
              </w:rPr>
            </w:pPr>
          </w:p>
        </w:tc>
        <w:tc>
          <w:tcPr>
            <w:tcW w:w="260" w:type="dxa"/>
            <w:vAlign w:val="bottom"/>
          </w:tcPr>
          <w:p>
            <w:pPr>
              <w:spacing w:after="0"/>
              <w:rPr>
                <w:sz w:val="14"/>
                <w:szCs w:val="14"/>
                <w:color w:val="auto"/>
              </w:rPr>
            </w:pPr>
          </w:p>
        </w:tc>
      </w:tr>
      <w:tr>
        <w:trPr>
          <w:trHeight w:val="210"/>
        </w:trPr>
        <w:tc>
          <w:tcPr>
            <w:tcW w:w="20" w:type="dxa"/>
            <w:vAlign w:val="bottom"/>
          </w:tcPr>
          <w:p>
            <w:pPr>
              <w:spacing w:after="0"/>
              <w:rPr>
                <w:sz w:val="18"/>
                <w:szCs w:val="18"/>
                <w:color w:val="auto"/>
              </w:rPr>
            </w:pPr>
          </w:p>
        </w:tc>
        <w:tc>
          <w:tcPr>
            <w:tcW w:w="134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Otis</w:t>
            </w:r>
          </w:p>
        </w:tc>
        <w:tc>
          <w:tcPr>
            <w:tcW w:w="878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w:t>
            </w:r>
          </w:p>
        </w:tc>
      </w:tr>
      <w:tr>
        <w:trPr>
          <w:trHeight w:val="216"/>
        </w:trPr>
        <w:tc>
          <w:tcPr>
            <w:tcW w:w="20" w:type="dxa"/>
            <w:vAlign w:val="bottom"/>
          </w:tcPr>
          <w:p>
            <w:pPr>
              <w:spacing w:after="0"/>
              <w:rPr>
                <w:sz w:val="18"/>
                <w:szCs w:val="18"/>
                <w:color w:val="auto"/>
              </w:rPr>
            </w:pPr>
          </w:p>
        </w:tc>
        <w:tc>
          <w:tcPr>
            <w:tcW w:w="10120" w:type="dxa"/>
            <w:vAlign w:val="bottom"/>
            <w:gridSpan w:val="2"/>
          </w:tcPr>
          <w:p>
            <w:pPr>
              <w:spacing w:after="0"/>
              <w:rPr>
                <w:sz w:val="20"/>
                <w:szCs w:val="20"/>
                <w:color w:val="auto"/>
              </w:rPr>
            </w:pPr>
            <w:r>
              <w:rPr>
                <w:rFonts w:ascii="Arial" w:cs="Arial" w:eastAsia="Arial" w:hAnsi="Arial"/>
                <w:sz w:val="18"/>
                <w:szCs w:val="18"/>
                <w:color w:val="auto"/>
              </w:rPr>
              <w:t>Carrier</w:t>
            </w:r>
          </w:p>
        </w:tc>
        <w:tc>
          <w:tcPr>
            <w:tcW w:w="100" w:type="dxa"/>
            <w:vAlign w:val="bottom"/>
          </w:tcPr>
          <w:p>
            <w:pPr>
              <w:spacing w:after="0"/>
              <w:rPr>
                <w:sz w:val="18"/>
                <w:szCs w:val="18"/>
                <w:color w:val="auto"/>
              </w:rPr>
            </w:pPr>
          </w:p>
        </w:tc>
        <w:tc>
          <w:tcPr>
            <w:tcW w:w="260" w:type="dxa"/>
            <w:vAlign w:val="bottom"/>
          </w:tcPr>
          <w:p>
            <w:pPr>
              <w:jc w:val="right"/>
              <w:spacing w:after="0"/>
              <w:rPr>
                <w:sz w:val="20"/>
                <w:szCs w:val="20"/>
                <w:color w:val="auto"/>
              </w:rPr>
            </w:pPr>
            <w:r>
              <w:rPr>
                <w:rFonts w:ascii="Arial" w:cs="Arial" w:eastAsia="Arial" w:hAnsi="Arial"/>
                <w:sz w:val="18"/>
                <w:szCs w:val="18"/>
                <w:color w:val="auto"/>
              </w:rPr>
              <w:t>57</w:t>
            </w:r>
          </w:p>
        </w:tc>
      </w:tr>
      <w:tr>
        <w:trPr>
          <w:trHeight w:val="216"/>
        </w:trPr>
        <w:tc>
          <w:tcPr>
            <w:tcW w:w="20" w:type="dxa"/>
            <w:vAlign w:val="bottom"/>
          </w:tcPr>
          <w:p>
            <w:pPr>
              <w:spacing w:after="0"/>
              <w:rPr>
                <w:sz w:val="18"/>
                <w:szCs w:val="18"/>
                <w:color w:val="auto"/>
              </w:rPr>
            </w:pPr>
          </w:p>
        </w:tc>
        <w:tc>
          <w:tcPr>
            <w:tcW w:w="101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UTC Fire &amp; Security</w:t>
            </w:r>
          </w:p>
        </w:tc>
        <w:tc>
          <w:tcPr>
            <w:tcW w:w="100" w:type="dxa"/>
            <w:vAlign w:val="bottom"/>
            <w:shd w:val="clear" w:color="auto" w:fill="CCEEFF"/>
          </w:tcPr>
          <w:p>
            <w:pPr>
              <w:spacing w:after="0"/>
              <w:rPr>
                <w:sz w:val="18"/>
                <w:szCs w:val="18"/>
                <w:color w:val="auto"/>
              </w:rPr>
            </w:pPr>
          </w:p>
        </w:tc>
        <w:tc>
          <w:tcPr>
            <w:tcW w:w="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33</w:t>
            </w:r>
          </w:p>
        </w:tc>
      </w:tr>
      <w:tr>
        <w:trPr>
          <w:trHeight w:val="216"/>
        </w:trPr>
        <w:tc>
          <w:tcPr>
            <w:tcW w:w="20" w:type="dxa"/>
            <w:vAlign w:val="bottom"/>
          </w:tcPr>
          <w:p>
            <w:pPr>
              <w:spacing w:after="0"/>
              <w:rPr>
                <w:sz w:val="18"/>
                <w:szCs w:val="18"/>
                <w:color w:val="auto"/>
              </w:rPr>
            </w:pPr>
          </w:p>
        </w:tc>
        <w:tc>
          <w:tcPr>
            <w:tcW w:w="10120" w:type="dxa"/>
            <w:vAlign w:val="bottom"/>
            <w:gridSpan w:val="2"/>
          </w:tcPr>
          <w:p>
            <w:pPr>
              <w:spacing w:after="0"/>
              <w:rPr>
                <w:sz w:val="20"/>
                <w:szCs w:val="20"/>
                <w:color w:val="auto"/>
              </w:rPr>
            </w:pPr>
            <w:r>
              <w:rPr>
                <w:rFonts w:ascii="Arial" w:cs="Arial" w:eastAsia="Arial" w:hAnsi="Arial"/>
                <w:sz w:val="18"/>
                <w:szCs w:val="18"/>
                <w:color w:val="auto"/>
              </w:rPr>
              <w:t>Pratt &amp; Whitney</w:t>
            </w:r>
          </w:p>
        </w:tc>
        <w:tc>
          <w:tcPr>
            <w:tcW w:w="100" w:type="dxa"/>
            <w:vAlign w:val="bottom"/>
          </w:tcPr>
          <w:p>
            <w:pPr>
              <w:spacing w:after="0"/>
              <w:rPr>
                <w:sz w:val="18"/>
                <w:szCs w:val="18"/>
                <w:color w:val="auto"/>
              </w:rPr>
            </w:pPr>
          </w:p>
        </w:tc>
        <w:tc>
          <w:tcPr>
            <w:tcW w:w="260" w:type="dxa"/>
            <w:vAlign w:val="bottom"/>
          </w:tcPr>
          <w:p>
            <w:pPr>
              <w:jc w:val="right"/>
              <w:spacing w:after="0"/>
              <w:rPr>
                <w:sz w:val="20"/>
                <w:szCs w:val="20"/>
                <w:color w:val="auto"/>
              </w:rPr>
            </w:pPr>
            <w:r>
              <w:rPr>
                <w:rFonts w:ascii="Arial" w:cs="Arial" w:eastAsia="Arial" w:hAnsi="Arial"/>
                <w:sz w:val="18"/>
                <w:szCs w:val="18"/>
                <w:color w:val="auto"/>
              </w:rPr>
              <w:t>31</w:t>
            </w:r>
          </w:p>
        </w:tc>
      </w:tr>
      <w:tr>
        <w:trPr>
          <w:trHeight w:val="216"/>
        </w:trPr>
        <w:tc>
          <w:tcPr>
            <w:tcW w:w="20" w:type="dxa"/>
            <w:vAlign w:val="bottom"/>
          </w:tcPr>
          <w:p>
            <w:pPr>
              <w:spacing w:after="0"/>
              <w:rPr>
                <w:sz w:val="18"/>
                <w:szCs w:val="18"/>
                <w:color w:val="auto"/>
              </w:rPr>
            </w:pPr>
          </w:p>
        </w:tc>
        <w:tc>
          <w:tcPr>
            <w:tcW w:w="101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Hamilton Sundstrand</w:t>
            </w:r>
          </w:p>
        </w:tc>
        <w:tc>
          <w:tcPr>
            <w:tcW w:w="100" w:type="dxa"/>
            <w:vAlign w:val="bottom"/>
            <w:tcBorders>
              <w:bottom w:val="single" w:sz="8" w:color="auto"/>
            </w:tcBorders>
            <w:shd w:val="clear" w:color="auto" w:fill="CCEEFF"/>
          </w:tcPr>
          <w:p>
            <w:pPr>
              <w:spacing w:after="0"/>
              <w:rPr>
                <w:sz w:val="18"/>
                <w:szCs w:val="18"/>
                <w:color w:val="auto"/>
              </w:rPr>
            </w:pPr>
          </w:p>
        </w:tc>
        <w:tc>
          <w:tcPr>
            <w:tcW w:w="2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w:t>
            </w:r>
          </w:p>
        </w:tc>
      </w:tr>
      <w:tr>
        <w:trPr>
          <w:trHeight w:val="222"/>
        </w:trPr>
        <w:tc>
          <w:tcPr>
            <w:tcW w:w="10140" w:type="dxa"/>
            <w:vAlign w:val="bottom"/>
            <w:gridSpan w:val="3"/>
          </w:tcPr>
          <w:p>
            <w:pPr>
              <w:spacing w:after="0"/>
              <w:rPr>
                <w:sz w:val="20"/>
                <w:szCs w:val="20"/>
                <w:color w:val="auto"/>
              </w:rPr>
            </w:pPr>
            <w:r>
              <w:rPr>
                <w:rFonts w:ascii="Arial" w:cs="Arial" w:eastAsia="Arial" w:hAnsi="Arial"/>
                <w:sz w:val="18"/>
                <w:szCs w:val="18"/>
                <w:color w:val="auto"/>
              </w:rPr>
              <w:t>Totals</w:t>
            </w:r>
          </w:p>
        </w:tc>
        <w:tc>
          <w:tcPr>
            <w:tcW w:w="100" w:type="dxa"/>
            <w:vAlign w:val="bottom"/>
            <w:tcBorders>
              <w:bottom w:val="single" w:sz="8" w:color="auto"/>
            </w:tcBorders>
          </w:tcPr>
          <w:p>
            <w:pPr>
              <w:jc w:val="right"/>
              <w:spacing w:after="0"/>
              <w:rPr>
                <w:sz w:val="20"/>
                <w:szCs w:val="20"/>
                <w:color w:val="auto"/>
              </w:rPr>
            </w:pPr>
            <w:r>
              <w:rPr>
                <w:rFonts w:ascii="Arial" w:cs="Arial" w:eastAsia="Arial" w:hAnsi="Arial"/>
                <w:sz w:val="15"/>
                <w:szCs w:val="15"/>
                <w:u w:val="single" w:color="auto"/>
                <w:color w:val="auto"/>
                <w:w w:val="71"/>
              </w:rPr>
              <w:t>$</w:t>
            </w:r>
          </w:p>
        </w:tc>
        <w:tc>
          <w:tcPr>
            <w:tcW w:w="2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128</w:t>
            </w:r>
          </w:p>
        </w:tc>
      </w:tr>
      <w:tr>
        <w:trPr>
          <w:trHeight w:val="20"/>
        </w:trPr>
        <w:tc>
          <w:tcPr>
            <w:tcW w:w="20" w:type="dxa"/>
            <w:vAlign w:val="bottom"/>
          </w:tcPr>
          <w:p>
            <w:pPr>
              <w:spacing w:after="0" w:line="20" w:lineRule="exact"/>
              <w:rPr>
                <w:sz w:val="1"/>
                <w:szCs w:val="1"/>
                <w:color w:val="auto"/>
              </w:rPr>
            </w:pPr>
          </w:p>
        </w:tc>
        <w:tc>
          <w:tcPr>
            <w:tcW w:w="1340" w:type="dxa"/>
            <w:vAlign w:val="bottom"/>
          </w:tcPr>
          <w:p>
            <w:pPr>
              <w:spacing w:after="0" w:line="20" w:lineRule="exact"/>
              <w:rPr>
                <w:sz w:val="1"/>
                <w:szCs w:val="1"/>
                <w:color w:val="auto"/>
              </w:rPr>
            </w:pPr>
          </w:p>
        </w:tc>
        <w:tc>
          <w:tcPr>
            <w:tcW w:w="878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r>
    </w:tbl>
    <w:p>
      <w:pPr>
        <w:spacing w:after="0" w:line="167" w:lineRule="exact"/>
        <w:rPr>
          <w:sz w:val="20"/>
          <w:szCs w:val="20"/>
          <w:color w:val="auto"/>
        </w:rPr>
      </w:pPr>
    </w:p>
    <w:p>
      <w:pPr>
        <w:ind w:right="280" w:firstLine="456"/>
        <w:spacing w:after="0" w:line="268" w:lineRule="auto"/>
        <w:rPr>
          <w:sz w:val="20"/>
          <w:szCs w:val="20"/>
          <w:color w:val="auto"/>
        </w:rPr>
      </w:pPr>
      <w:r>
        <w:rPr>
          <w:rFonts w:ascii="Arial" w:cs="Arial" w:eastAsia="Arial" w:hAnsi="Arial"/>
          <w:sz w:val="18"/>
          <w:szCs w:val="18"/>
          <w:color w:val="auto"/>
        </w:rPr>
        <w:t>The net charges included $38 million in cost of sales, $86 million in selling, general and administrative expenses and $4 million in other income and, as described below, relate to actions initiated during 2008 and 2007 and trailing costs related to certain 2006 actions.</w:t>
      </w:r>
    </w:p>
    <w:p>
      <w:pPr>
        <w:spacing w:after="0" w:line="126" w:lineRule="exact"/>
        <w:rPr>
          <w:sz w:val="20"/>
          <w:szCs w:val="20"/>
          <w:color w:val="auto"/>
        </w:rPr>
      </w:pPr>
    </w:p>
    <w:p>
      <w:pPr>
        <w:ind w:right="160" w:firstLine="456"/>
        <w:spacing w:after="0" w:line="258" w:lineRule="auto"/>
        <w:rPr>
          <w:sz w:val="20"/>
          <w:szCs w:val="20"/>
          <w:color w:val="auto"/>
        </w:rPr>
      </w:pPr>
      <w:r>
        <w:rPr>
          <w:rFonts w:ascii="Arial" w:cs="Arial" w:eastAsia="Arial" w:hAnsi="Arial"/>
          <w:sz w:val="18"/>
          <w:szCs w:val="18"/>
          <w:b w:val="1"/>
          <w:bCs w:val="1"/>
          <w:color w:val="auto"/>
        </w:rPr>
        <w:t xml:space="preserve">2008 Actions. </w:t>
      </w:r>
      <w:r>
        <w:rPr>
          <w:rFonts w:ascii="Arial" w:cs="Arial" w:eastAsia="Arial" w:hAnsi="Arial"/>
          <w:sz w:val="18"/>
          <w:szCs w:val="18"/>
          <w:color w:val="auto"/>
        </w:rPr>
        <w:t>During the first six months of 2008, we initiated restructuring actions relating to ongoing cost reduction efforts, including selling, general</w:t>
      </w:r>
      <w:r>
        <w:rPr>
          <w:rFonts w:ascii="Arial" w:cs="Arial" w:eastAsia="Arial" w:hAnsi="Arial"/>
          <w:sz w:val="18"/>
          <w:szCs w:val="18"/>
          <w:b w:val="1"/>
          <w:bCs w:val="1"/>
          <w:color w:val="auto"/>
        </w:rPr>
        <w:t xml:space="preserve"> </w:t>
      </w:r>
      <w:r>
        <w:rPr>
          <w:rFonts w:ascii="Arial" w:cs="Arial" w:eastAsia="Arial" w:hAnsi="Arial"/>
          <w:sz w:val="18"/>
          <w:szCs w:val="18"/>
          <w:color w:val="auto"/>
        </w:rPr>
        <w:t>and administrative reductions, principally at Carrier and UTC Fire &amp; Security, and the consolidation of manufacturing facilities. We recorded net pre-tax restructuring and related charges totaling $105 million, including $16 million in cost of sales, $85 million in selling, general and administrative expenses and $4 million in other income.</w:t>
      </w:r>
    </w:p>
    <w:p>
      <w:pPr>
        <w:spacing w:after="0" w:line="12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10</w:t>
      </w:r>
    </w:p>
    <w:p>
      <w:pPr>
        <w:sectPr>
          <w:pgSz w:w="11900" w:h="16838" w:orient="portrait"/>
          <w:cols w:equalWidth="0" w:num="1">
            <w:col w:w="11420"/>
          </w:cols>
          <w:pgMar w:left="240" w:top="459" w:right="239" w:bottom="1440" w:gutter="0" w:footer="0" w:header="0"/>
        </w:sectPr>
      </w:pPr>
    </w:p>
    <w:bookmarkStart w:id="10" w:name="page11"/>
    <w:bookmarkEnd w:id="1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jc w:val="both"/>
        <w:ind w:right="80" w:firstLine="456"/>
        <w:spacing w:after="0" w:line="259" w:lineRule="auto"/>
        <w:rPr>
          <w:sz w:val="20"/>
          <w:szCs w:val="20"/>
          <w:color w:val="auto"/>
        </w:rPr>
      </w:pPr>
      <w:r>
        <w:rPr>
          <w:rFonts w:ascii="Arial" w:cs="Arial" w:eastAsia="Arial" w:hAnsi="Arial"/>
          <w:sz w:val="18"/>
          <w:szCs w:val="18"/>
          <w:color w:val="auto"/>
        </w:rPr>
        <w:t>As of June 30, 2008, net workforce reductions of approximately 800 employees of an expected 2,700 employees have been completed. The majority of the remaining workforce reductions and all facility-related cost reduction actions, expected to total 1,000,000 net square feet of facilities, are targeted for completion during 2008 and 2009.</w:t>
      </w:r>
    </w:p>
    <w:p>
      <w:pPr>
        <w:spacing w:after="0" w:line="140"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following table summarizes the accrual balances and utilization by cost type for the 2008 restructuring actions:</w:t>
      </w:r>
    </w:p>
    <w:p>
      <w:pPr>
        <w:spacing w:after="0" w:line="195"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60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1200" w:type="dxa"/>
            <w:vAlign w:val="bottom"/>
            <w:gridSpan w:val="3"/>
          </w:tcPr>
          <w:p>
            <w:pPr>
              <w:spacing w:after="0"/>
              <w:rPr>
                <w:sz w:val="20"/>
                <w:szCs w:val="20"/>
                <w:color w:val="auto"/>
              </w:rPr>
            </w:pPr>
            <w:r>
              <w:rPr>
                <w:rFonts w:ascii="Arial" w:cs="Arial" w:eastAsia="Arial" w:hAnsi="Arial"/>
                <w:sz w:val="14"/>
                <w:szCs w:val="14"/>
                <w:b w:val="1"/>
                <w:bCs w:val="1"/>
                <w:color w:val="auto"/>
              </w:rPr>
              <w:t>Facility Exit</w:t>
            </w:r>
          </w:p>
        </w:tc>
        <w:tc>
          <w:tcPr>
            <w:tcW w:w="3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340" w:type="dxa"/>
            <w:vAlign w:val="bottom"/>
          </w:tcPr>
          <w:p>
            <w:pPr>
              <w:spacing w:after="0"/>
              <w:rPr>
                <w:sz w:val="12"/>
                <w:szCs w:val="12"/>
                <w:color w:val="auto"/>
              </w:rPr>
            </w:pPr>
          </w:p>
        </w:tc>
        <w:tc>
          <w:tcPr>
            <w:tcW w:w="60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1200" w:type="dxa"/>
            <w:vAlign w:val="bottom"/>
            <w:gridSpan w:val="3"/>
          </w:tcPr>
          <w:p>
            <w:pPr>
              <w:ind w:left="80"/>
              <w:spacing w:after="0" w:line="149" w:lineRule="exact"/>
              <w:rPr>
                <w:sz w:val="20"/>
                <w:szCs w:val="20"/>
                <w:color w:val="auto"/>
              </w:rPr>
            </w:pPr>
            <w:r>
              <w:rPr>
                <w:rFonts w:ascii="Arial" w:cs="Arial" w:eastAsia="Arial" w:hAnsi="Arial"/>
                <w:sz w:val="14"/>
                <w:szCs w:val="14"/>
                <w:b w:val="1"/>
                <w:bCs w:val="1"/>
                <w:color w:val="auto"/>
              </w:rPr>
              <w:t>and Lease</w:t>
            </w:r>
          </w:p>
        </w:tc>
        <w:tc>
          <w:tcPr>
            <w:tcW w:w="3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340" w:type="dxa"/>
            <w:vAlign w:val="bottom"/>
          </w:tcPr>
          <w:p>
            <w:pPr>
              <w:spacing w:after="0"/>
              <w:rPr>
                <w:sz w:val="12"/>
                <w:szCs w:val="12"/>
                <w:color w:val="auto"/>
              </w:rPr>
            </w:pPr>
          </w:p>
        </w:tc>
        <w:tc>
          <w:tcPr>
            <w:tcW w:w="60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160" w:type="dxa"/>
            <w:vAlign w:val="bottom"/>
            <w:gridSpan w:val="2"/>
          </w:tcPr>
          <w:p>
            <w:pPr>
              <w:jc w:val="right"/>
              <w:ind w:right="780"/>
              <w:spacing w:after="0" w:line="149" w:lineRule="exact"/>
              <w:rPr>
                <w:sz w:val="20"/>
                <w:szCs w:val="20"/>
                <w:color w:val="auto"/>
              </w:rPr>
            </w:pPr>
            <w:r>
              <w:rPr>
                <w:rFonts w:ascii="Arial" w:cs="Arial" w:eastAsia="Arial" w:hAnsi="Arial"/>
                <w:sz w:val="14"/>
                <w:szCs w:val="14"/>
                <w:b w:val="1"/>
                <w:bCs w:val="1"/>
                <w:color w:val="auto"/>
                <w:w w:val="94"/>
              </w:rPr>
              <w:t>Asset</w:t>
            </w:r>
          </w:p>
        </w:tc>
        <w:tc>
          <w:tcPr>
            <w:tcW w:w="1200" w:type="dxa"/>
            <w:vAlign w:val="bottom"/>
            <w:gridSpan w:val="3"/>
          </w:tcPr>
          <w:p>
            <w:pPr>
              <w:spacing w:after="0" w:line="149" w:lineRule="exact"/>
              <w:rPr>
                <w:sz w:val="20"/>
                <w:szCs w:val="20"/>
                <w:color w:val="auto"/>
              </w:rPr>
            </w:pPr>
            <w:r>
              <w:rPr>
                <w:rFonts w:ascii="Arial" w:cs="Arial" w:eastAsia="Arial" w:hAnsi="Arial"/>
                <w:sz w:val="14"/>
                <w:szCs w:val="14"/>
                <w:b w:val="1"/>
                <w:bCs w:val="1"/>
                <w:color w:val="auto"/>
              </w:rPr>
              <w:t>Termination</w:t>
            </w:r>
          </w:p>
        </w:tc>
        <w:tc>
          <w:tcPr>
            <w:tcW w:w="3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1"/>
        </w:trPr>
        <w:tc>
          <w:tcPr>
            <w:tcW w:w="7360" w:type="dxa"/>
            <w:vAlign w:val="bottom"/>
            <w:gridSpan w:val="3"/>
          </w:tcPr>
          <w:p>
            <w:pPr>
              <w:spacing w:after="0"/>
              <w:rPr>
                <w:sz w:val="20"/>
                <w:szCs w:val="20"/>
                <w:color w:val="auto"/>
              </w:rPr>
            </w:pPr>
            <w:r>
              <w:rPr>
                <w:rFonts w:ascii="Arial" w:cs="Arial" w:eastAsia="Arial" w:hAnsi="Arial"/>
                <w:sz w:val="14"/>
                <w:szCs w:val="14"/>
                <w:b w:val="1"/>
                <w:bCs w:val="1"/>
                <w:color w:val="auto"/>
              </w:rPr>
              <w:t>(in millions of dollars)</w:t>
            </w:r>
          </w:p>
        </w:tc>
        <w:tc>
          <w:tcPr>
            <w:tcW w:w="900" w:type="dxa"/>
            <w:vAlign w:val="bottom"/>
            <w:gridSpan w:val="3"/>
          </w:tcPr>
          <w:p>
            <w:pPr>
              <w:ind w:left="20"/>
              <w:spacing w:after="0"/>
              <w:rPr>
                <w:sz w:val="20"/>
                <w:szCs w:val="20"/>
                <w:color w:val="auto"/>
              </w:rPr>
            </w:pPr>
            <w:r>
              <w:rPr>
                <w:rFonts w:ascii="Arial" w:cs="Arial" w:eastAsia="Arial" w:hAnsi="Arial"/>
                <w:sz w:val="14"/>
                <w:szCs w:val="14"/>
                <w:b w:val="1"/>
                <w:bCs w:val="1"/>
                <w:color w:val="auto"/>
              </w:rPr>
              <w:t>Severance</w:t>
            </w:r>
          </w:p>
        </w:tc>
        <w:tc>
          <w:tcPr>
            <w:tcW w:w="240" w:type="dxa"/>
            <w:vAlign w:val="bottom"/>
          </w:tcPr>
          <w:p>
            <w:pPr>
              <w:spacing w:after="0"/>
              <w:rPr>
                <w:sz w:val="14"/>
                <w:szCs w:val="14"/>
                <w:color w:val="auto"/>
              </w:rPr>
            </w:pPr>
          </w:p>
        </w:tc>
        <w:tc>
          <w:tcPr>
            <w:tcW w:w="1320" w:type="dxa"/>
            <w:vAlign w:val="bottom"/>
            <w:gridSpan w:val="3"/>
          </w:tcPr>
          <w:p>
            <w:pPr>
              <w:spacing w:after="0"/>
              <w:rPr>
                <w:sz w:val="20"/>
                <w:szCs w:val="20"/>
                <w:color w:val="auto"/>
              </w:rPr>
            </w:pPr>
            <w:r>
              <w:rPr>
                <w:rFonts w:ascii="Arial" w:cs="Arial" w:eastAsia="Arial" w:hAnsi="Arial"/>
                <w:sz w:val="14"/>
                <w:szCs w:val="14"/>
                <w:b w:val="1"/>
                <w:bCs w:val="1"/>
                <w:color w:val="auto"/>
              </w:rPr>
              <w:t>Write-Downs</w:t>
            </w:r>
          </w:p>
        </w:tc>
        <w:tc>
          <w:tcPr>
            <w:tcW w:w="160" w:type="dxa"/>
            <w:vAlign w:val="bottom"/>
          </w:tcPr>
          <w:p>
            <w:pPr>
              <w:spacing w:after="0"/>
              <w:rPr>
                <w:sz w:val="14"/>
                <w:szCs w:val="14"/>
                <w:color w:val="auto"/>
              </w:rPr>
            </w:pPr>
          </w:p>
        </w:tc>
        <w:tc>
          <w:tcPr>
            <w:tcW w:w="1040" w:type="dxa"/>
            <w:vAlign w:val="bottom"/>
            <w:gridSpan w:val="2"/>
          </w:tcPr>
          <w:p>
            <w:pPr>
              <w:jc w:val="right"/>
              <w:ind w:right="680"/>
              <w:spacing w:after="0"/>
              <w:rPr>
                <w:sz w:val="20"/>
                <w:szCs w:val="20"/>
                <w:color w:val="auto"/>
              </w:rPr>
            </w:pPr>
            <w:r>
              <w:rPr>
                <w:rFonts w:ascii="Arial" w:cs="Arial" w:eastAsia="Arial" w:hAnsi="Arial"/>
                <w:sz w:val="14"/>
                <w:szCs w:val="14"/>
                <w:b w:val="1"/>
                <w:bCs w:val="1"/>
                <w:color w:val="auto"/>
                <w:w w:val="87"/>
              </w:rPr>
              <w:t>Costs</w:t>
            </w:r>
          </w:p>
        </w:tc>
        <w:tc>
          <w:tcPr>
            <w:tcW w:w="400" w:type="dxa"/>
            <w:vAlign w:val="bottom"/>
            <w:gridSpan w:val="2"/>
          </w:tcPr>
          <w:p>
            <w:pPr>
              <w:jc w:val="right"/>
              <w:ind w:right="80"/>
              <w:spacing w:after="0"/>
              <w:rPr>
                <w:sz w:val="20"/>
                <w:szCs w:val="20"/>
                <w:color w:val="auto"/>
              </w:rPr>
            </w:pPr>
            <w:r>
              <w:rPr>
                <w:rFonts w:ascii="Arial" w:cs="Arial" w:eastAsia="Arial" w:hAnsi="Arial"/>
                <w:sz w:val="14"/>
                <w:szCs w:val="14"/>
                <w:b w:val="1"/>
                <w:bCs w:val="1"/>
                <w:color w:val="auto"/>
                <w:w w:val="89"/>
              </w:rPr>
              <w:t>Total</w:t>
            </w:r>
          </w:p>
        </w:tc>
        <w:tc>
          <w:tcPr>
            <w:tcW w:w="0" w:type="dxa"/>
            <w:vAlign w:val="bottom"/>
          </w:tcPr>
          <w:p>
            <w:pPr>
              <w:spacing w:after="0"/>
              <w:rPr>
                <w:sz w:val="1"/>
                <w:szCs w:val="1"/>
                <w:color w:val="auto"/>
              </w:rPr>
            </w:pPr>
          </w:p>
        </w:tc>
      </w:tr>
      <w:tr>
        <w:trPr>
          <w:trHeight w:val="20"/>
        </w:trPr>
        <w:tc>
          <w:tcPr>
            <w:tcW w:w="20" w:type="dxa"/>
            <w:vAlign w:val="bottom"/>
            <w:vMerge w:val="restart"/>
          </w:tcPr>
          <w:p>
            <w:pPr>
              <w:spacing w:after="0" w:line="20" w:lineRule="exact"/>
              <w:rPr>
                <w:sz w:val="1"/>
                <w:szCs w:val="1"/>
                <w:color w:val="auto"/>
              </w:rPr>
            </w:pPr>
          </w:p>
        </w:tc>
        <w:tc>
          <w:tcPr>
            <w:tcW w:w="1340" w:type="dxa"/>
            <w:vAlign w:val="bottom"/>
            <w:shd w:val="clear" w:color="auto" w:fill="000000"/>
          </w:tcPr>
          <w:p>
            <w:pPr>
              <w:spacing w:after="0" w:line="20" w:lineRule="exact"/>
              <w:rPr>
                <w:sz w:val="1"/>
                <w:szCs w:val="1"/>
                <w:color w:val="auto"/>
              </w:rPr>
            </w:pPr>
          </w:p>
        </w:tc>
        <w:tc>
          <w:tcPr>
            <w:tcW w:w="6000" w:type="dxa"/>
            <w:vAlign w:val="bottom"/>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vMerge w:val="continue"/>
          </w:tcPr>
          <w:p>
            <w:pPr>
              <w:spacing w:after="0"/>
              <w:rPr>
                <w:sz w:val="18"/>
                <w:szCs w:val="18"/>
                <w:color w:val="auto"/>
              </w:rPr>
            </w:pPr>
          </w:p>
        </w:tc>
        <w:tc>
          <w:tcPr>
            <w:tcW w:w="73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Restructuring accruals at March 31, 2008</w:t>
            </w:r>
          </w:p>
        </w:tc>
        <w:tc>
          <w:tcPr>
            <w:tcW w:w="24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3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w:t>
            </w:r>
          </w:p>
        </w:tc>
        <w:tc>
          <w:tcPr>
            <w:tcW w:w="300" w:type="dxa"/>
            <w:vAlign w:val="bottom"/>
            <w:shd w:val="clear" w:color="auto" w:fill="CCEEFF"/>
          </w:tcPr>
          <w:p>
            <w:pPr>
              <w:spacing w:after="0"/>
              <w:rPr>
                <w:sz w:val="18"/>
                <w:szCs w:val="18"/>
                <w:color w:val="auto"/>
              </w:rPr>
            </w:pPr>
          </w:p>
        </w:tc>
        <w:tc>
          <w:tcPr>
            <w:tcW w:w="400" w:type="dxa"/>
            <w:vAlign w:val="bottom"/>
            <w:gridSpan w:val="2"/>
            <w:shd w:val="clear" w:color="auto" w:fill="CCEEFF"/>
          </w:tcPr>
          <w:p>
            <w:pPr>
              <w:ind w:left="240"/>
              <w:spacing w:after="0"/>
              <w:rPr>
                <w:sz w:val="20"/>
                <w:szCs w:val="20"/>
                <w:color w:val="auto"/>
              </w:rPr>
            </w:pPr>
            <w:r>
              <w:rPr>
                <w:rFonts w:ascii="Arial" w:cs="Arial" w:eastAsia="Arial" w:hAnsi="Arial"/>
                <w:sz w:val="18"/>
                <w:szCs w:val="18"/>
                <w:color w:val="auto"/>
              </w:rPr>
              <w:t>$</w:t>
            </w:r>
          </w:p>
        </w:tc>
        <w:tc>
          <w:tcPr>
            <w:tcW w:w="1160" w:type="dxa"/>
            <w:vAlign w:val="bottom"/>
            <w:gridSpan w:val="2"/>
            <w:shd w:val="clear" w:color="auto" w:fill="CCEEFF"/>
          </w:tcPr>
          <w:p>
            <w:pPr>
              <w:jc w:val="right"/>
              <w:ind w:right="62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1040" w:type="dxa"/>
            <w:vAlign w:val="bottom"/>
            <w:gridSpan w:val="2"/>
            <w:shd w:val="clear" w:color="auto" w:fill="CCEEFF"/>
          </w:tcPr>
          <w:p>
            <w:pPr>
              <w:jc w:val="right"/>
              <w:ind w:right="560"/>
              <w:spacing w:after="0"/>
              <w:rPr>
                <w:sz w:val="20"/>
                <w:szCs w:val="20"/>
                <w:color w:val="auto"/>
              </w:rPr>
            </w:pPr>
            <w:r>
              <w:rPr>
                <w:rFonts w:ascii="Arial" w:cs="Arial" w:eastAsia="Arial" w:hAnsi="Arial"/>
                <w:sz w:val="18"/>
                <w:szCs w:val="18"/>
                <w:color w:val="auto"/>
              </w:rPr>
              <w:t>—</w:t>
            </w:r>
          </w:p>
        </w:tc>
        <w:tc>
          <w:tcPr>
            <w:tcW w:w="3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1"/>
              </w:rPr>
              <w:t>$ 15</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340" w:type="dxa"/>
            <w:vAlign w:val="bottom"/>
            <w:gridSpan w:val="2"/>
          </w:tcPr>
          <w:p>
            <w:pPr>
              <w:spacing w:after="0"/>
              <w:rPr>
                <w:sz w:val="20"/>
                <w:szCs w:val="20"/>
                <w:color w:val="auto"/>
              </w:rPr>
            </w:pPr>
            <w:r>
              <w:rPr>
                <w:rFonts w:ascii="Arial" w:cs="Arial" w:eastAsia="Arial" w:hAnsi="Arial"/>
                <w:sz w:val="18"/>
                <w:szCs w:val="18"/>
                <w:color w:val="auto"/>
              </w:rPr>
              <w:t>Net pre-tax restructuring charges</w:t>
            </w:r>
          </w:p>
        </w:tc>
        <w:tc>
          <w:tcPr>
            <w:tcW w:w="240" w:type="dxa"/>
            <w:vAlign w:val="bottom"/>
          </w:tcPr>
          <w:p>
            <w:pPr>
              <w:spacing w:after="0"/>
              <w:rPr>
                <w:sz w:val="18"/>
                <w:szCs w:val="18"/>
                <w:color w:val="auto"/>
              </w:rPr>
            </w:pPr>
          </w:p>
        </w:tc>
        <w:tc>
          <w:tcPr>
            <w:tcW w:w="360" w:type="dxa"/>
            <w:vAlign w:val="bottom"/>
          </w:tcPr>
          <w:p>
            <w:pPr>
              <w:jc w:val="right"/>
              <w:spacing w:after="0"/>
              <w:rPr>
                <w:sz w:val="20"/>
                <w:szCs w:val="20"/>
                <w:color w:val="auto"/>
              </w:rPr>
            </w:pPr>
            <w:r>
              <w:rPr>
                <w:rFonts w:ascii="Arial" w:cs="Arial" w:eastAsia="Arial" w:hAnsi="Arial"/>
                <w:sz w:val="18"/>
                <w:szCs w:val="18"/>
                <w:color w:val="auto"/>
              </w:rPr>
              <w:t>77</w:t>
            </w:r>
          </w:p>
        </w:tc>
        <w:tc>
          <w:tcPr>
            <w:tcW w:w="3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60" w:type="dxa"/>
            <w:vAlign w:val="bottom"/>
            <w:gridSpan w:val="2"/>
          </w:tcPr>
          <w:p>
            <w:pPr>
              <w:jc w:val="right"/>
              <w:ind w:right="540"/>
              <w:spacing w:after="0"/>
              <w:rPr>
                <w:sz w:val="20"/>
                <w:szCs w:val="20"/>
                <w:color w:val="auto"/>
              </w:rPr>
            </w:pPr>
            <w:r>
              <w:rPr>
                <w:rFonts w:ascii="Arial" w:cs="Arial" w:eastAsia="Arial" w:hAnsi="Arial"/>
                <w:sz w:val="18"/>
                <w:szCs w:val="18"/>
                <w:color w:val="auto"/>
              </w:rPr>
              <w:t>4</w:t>
            </w:r>
          </w:p>
        </w:tc>
        <w:tc>
          <w:tcPr>
            <w:tcW w:w="160" w:type="dxa"/>
            <w:vAlign w:val="bottom"/>
          </w:tcPr>
          <w:p>
            <w:pPr>
              <w:spacing w:after="0"/>
              <w:rPr>
                <w:sz w:val="18"/>
                <w:szCs w:val="18"/>
                <w:color w:val="auto"/>
              </w:rPr>
            </w:pPr>
          </w:p>
        </w:tc>
        <w:tc>
          <w:tcPr>
            <w:tcW w:w="1040" w:type="dxa"/>
            <w:vAlign w:val="bottom"/>
            <w:gridSpan w:val="2"/>
          </w:tcPr>
          <w:p>
            <w:pPr>
              <w:jc w:val="right"/>
              <w:ind w:right="480"/>
              <w:spacing w:after="0"/>
              <w:rPr>
                <w:sz w:val="20"/>
                <w:szCs w:val="20"/>
                <w:color w:val="auto"/>
              </w:rPr>
            </w:pPr>
            <w:r>
              <w:rPr>
                <w:rFonts w:ascii="Arial" w:cs="Arial" w:eastAsia="Arial" w:hAnsi="Arial"/>
                <w:sz w:val="18"/>
                <w:szCs w:val="18"/>
                <w:color w:val="auto"/>
              </w:rPr>
              <w:t>3</w:t>
            </w:r>
          </w:p>
        </w:tc>
        <w:tc>
          <w:tcPr>
            <w:tcW w:w="340" w:type="dxa"/>
            <w:vAlign w:val="bottom"/>
          </w:tcPr>
          <w:p>
            <w:pPr>
              <w:jc w:val="right"/>
              <w:spacing w:after="0"/>
              <w:rPr>
                <w:sz w:val="20"/>
                <w:szCs w:val="20"/>
                <w:color w:val="auto"/>
              </w:rPr>
            </w:pPr>
            <w:r>
              <w:rPr>
                <w:rFonts w:ascii="Arial" w:cs="Arial" w:eastAsia="Arial" w:hAnsi="Arial"/>
                <w:sz w:val="18"/>
                <w:szCs w:val="18"/>
                <w:color w:val="auto"/>
              </w:rPr>
              <w:t>84</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3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Utilization</w:t>
            </w:r>
          </w:p>
        </w:tc>
        <w:tc>
          <w:tcPr>
            <w:tcW w:w="24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(19)</w:t>
            </w:r>
          </w:p>
        </w:tc>
        <w:tc>
          <w:tcPr>
            <w:tcW w:w="2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480"/>
              <w:spacing w:after="0"/>
              <w:rPr>
                <w:sz w:val="20"/>
                <w:szCs w:val="20"/>
                <w:color w:val="auto"/>
              </w:rPr>
            </w:pPr>
            <w:r>
              <w:rPr>
                <w:rFonts w:ascii="Arial" w:cs="Arial" w:eastAsia="Arial" w:hAnsi="Arial"/>
                <w:sz w:val="18"/>
                <w:szCs w:val="18"/>
                <w:color w:val="auto"/>
              </w:rPr>
              <w:t>(4)</w:t>
            </w:r>
          </w:p>
        </w:tc>
        <w:tc>
          <w:tcPr>
            <w:tcW w:w="16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560"/>
              <w:spacing w:after="0"/>
              <w:rPr>
                <w:sz w:val="20"/>
                <w:szCs w:val="20"/>
                <w:color w:val="auto"/>
              </w:rPr>
            </w:pPr>
            <w:r>
              <w:rPr>
                <w:rFonts w:ascii="Arial" w:cs="Arial" w:eastAsia="Arial" w:hAnsi="Arial"/>
                <w:sz w:val="18"/>
                <w:szCs w:val="18"/>
                <w:color w:val="auto"/>
              </w:rPr>
              <w:t>—</w:t>
            </w:r>
          </w:p>
        </w:tc>
        <w:tc>
          <w:tcPr>
            <w:tcW w:w="4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(23)</w:t>
            </w:r>
          </w:p>
        </w:tc>
        <w:tc>
          <w:tcPr>
            <w:tcW w:w="0" w:type="dxa"/>
            <w:vAlign w:val="bottom"/>
          </w:tcPr>
          <w:p>
            <w:pPr>
              <w:spacing w:after="0"/>
              <w:rPr>
                <w:sz w:val="1"/>
                <w:szCs w:val="1"/>
                <w:color w:val="auto"/>
              </w:rPr>
            </w:pPr>
          </w:p>
        </w:tc>
      </w:tr>
      <w:tr>
        <w:trPr>
          <w:trHeight w:val="20"/>
        </w:trPr>
        <w:tc>
          <w:tcPr>
            <w:tcW w:w="7360" w:type="dxa"/>
            <w:vAlign w:val="bottom"/>
            <w:gridSpan w:val="3"/>
            <w:vMerge w:val="restart"/>
          </w:tcPr>
          <w:p>
            <w:pPr>
              <w:spacing w:after="0"/>
              <w:rPr>
                <w:sz w:val="20"/>
                <w:szCs w:val="20"/>
                <w:color w:val="auto"/>
              </w:rPr>
            </w:pPr>
            <w:r>
              <w:rPr>
                <w:rFonts w:ascii="Arial" w:cs="Arial" w:eastAsia="Arial" w:hAnsi="Arial"/>
                <w:sz w:val="18"/>
                <w:szCs w:val="18"/>
                <w:color w:val="auto"/>
              </w:rPr>
              <w:t>Balance at June 30, 2008</w:t>
            </w:r>
          </w:p>
        </w:tc>
        <w:tc>
          <w:tcPr>
            <w:tcW w:w="240" w:type="dxa"/>
            <w:vAlign w:val="bottom"/>
            <w:shd w:val="clear" w:color="auto" w:fill="000000"/>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2"/>
        </w:trPr>
        <w:tc>
          <w:tcPr>
            <w:tcW w:w="7360" w:type="dxa"/>
            <w:vAlign w:val="bottom"/>
            <w:gridSpan w:val="3"/>
            <w:vMerge w:val="continue"/>
          </w:tcPr>
          <w:p>
            <w:pPr>
              <w:spacing w:after="0"/>
              <w:rPr>
                <w:sz w:val="19"/>
                <w:szCs w:val="19"/>
                <w:color w:val="auto"/>
              </w:rPr>
            </w:pPr>
          </w:p>
        </w:tc>
        <w:tc>
          <w:tcPr>
            <w:tcW w:w="240" w:type="dxa"/>
            <w:vAlign w:val="bottom"/>
          </w:tcPr>
          <w:p>
            <w:pPr>
              <w:spacing w:after="0"/>
              <w:rPr>
                <w:sz w:val="20"/>
                <w:szCs w:val="20"/>
                <w:color w:val="auto"/>
              </w:rPr>
            </w:pPr>
            <w:r>
              <w:rPr>
                <w:rFonts w:ascii="Arial" w:cs="Arial" w:eastAsia="Arial" w:hAnsi="Arial"/>
                <w:sz w:val="18"/>
                <w:szCs w:val="18"/>
                <w:color w:val="auto"/>
              </w:rPr>
              <w:t>$</w:t>
            </w:r>
          </w:p>
        </w:tc>
        <w:tc>
          <w:tcPr>
            <w:tcW w:w="360" w:type="dxa"/>
            <w:vAlign w:val="bottom"/>
          </w:tcPr>
          <w:p>
            <w:pPr>
              <w:jc w:val="right"/>
              <w:spacing w:after="0"/>
              <w:rPr>
                <w:sz w:val="20"/>
                <w:szCs w:val="20"/>
                <w:color w:val="auto"/>
              </w:rPr>
            </w:pPr>
            <w:r>
              <w:rPr>
                <w:rFonts w:ascii="Arial" w:cs="Arial" w:eastAsia="Arial" w:hAnsi="Arial"/>
                <w:sz w:val="18"/>
                <w:szCs w:val="18"/>
                <w:color w:val="auto"/>
              </w:rPr>
              <w:t>73</w:t>
            </w:r>
          </w:p>
        </w:tc>
        <w:tc>
          <w:tcPr>
            <w:tcW w:w="3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60" w:type="dxa"/>
            <w:vAlign w:val="bottom"/>
          </w:tcPr>
          <w:p>
            <w:pPr>
              <w:spacing w:after="0"/>
              <w:rPr>
                <w:sz w:val="20"/>
                <w:szCs w:val="20"/>
                <w:color w:val="auto"/>
              </w:rPr>
            </w:pPr>
            <w:r>
              <w:rPr>
                <w:rFonts w:ascii="Arial" w:cs="Arial" w:eastAsia="Arial" w:hAnsi="Arial"/>
                <w:sz w:val="18"/>
                <w:szCs w:val="18"/>
                <w:color w:val="auto"/>
              </w:rPr>
              <w:t>$</w:t>
            </w:r>
          </w:p>
        </w:tc>
        <w:tc>
          <w:tcPr>
            <w:tcW w:w="620" w:type="dxa"/>
            <w:vAlign w:val="bottom"/>
          </w:tcPr>
          <w:p>
            <w:pPr>
              <w:jc w:val="right"/>
              <w:spacing w:after="0"/>
              <w:rPr>
                <w:sz w:val="20"/>
                <w:szCs w:val="20"/>
                <w:color w:val="auto"/>
              </w:rPr>
            </w:pPr>
            <w:r>
              <w:rPr>
                <w:rFonts w:ascii="Arial" w:cs="Arial" w:eastAsia="Arial" w:hAnsi="Arial"/>
                <w:sz w:val="18"/>
                <w:szCs w:val="18"/>
                <w:color w:val="auto"/>
              </w:rPr>
              <w:t>—</w:t>
            </w:r>
          </w:p>
        </w:tc>
        <w:tc>
          <w:tcPr>
            <w:tcW w:w="540" w:type="dxa"/>
            <w:vAlign w:val="bottom"/>
          </w:tcPr>
          <w:p>
            <w:pPr>
              <w:spacing w:after="0"/>
              <w:rPr>
                <w:sz w:val="19"/>
                <w:szCs w:val="19"/>
                <w:color w:val="auto"/>
              </w:rPr>
            </w:pPr>
          </w:p>
        </w:tc>
        <w:tc>
          <w:tcPr>
            <w:tcW w:w="160" w:type="dxa"/>
            <w:vAlign w:val="bottom"/>
          </w:tcPr>
          <w:p>
            <w:pPr>
              <w:spacing w:after="0"/>
              <w:rPr>
                <w:sz w:val="20"/>
                <w:szCs w:val="20"/>
                <w:color w:val="auto"/>
              </w:rPr>
            </w:pPr>
            <w:r>
              <w:rPr>
                <w:rFonts w:ascii="Arial" w:cs="Arial" w:eastAsia="Arial" w:hAnsi="Arial"/>
                <w:sz w:val="18"/>
                <w:szCs w:val="18"/>
                <w:color w:val="auto"/>
              </w:rPr>
              <w:t>$</w:t>
            </w:r>
          </w:p>
        </w:tc>
        <w:tc>
          <w:tcPr>
            <w:tcW w:w="1040" w:type="dxa"/>
            <w:vAlign w:val="bottom"/>
            <w:gridSpan w:val="2"/>
          </w:tcPr>
          <w:p>
            <w:pPr>
              <w:jc w:val="right"/>
              <w:ind w:right="480"/>
              <w:spacing w:after="0"/>
              <w:rPr>
                <w:sz w:val="20"/>
                <w:szCs w:val="20"/>
                <w:color w:val="auto"/>
              </w:rPr>
            </w:pPr>
            <w:r>
              <w:rPr>
                <w:rFonts w:ascii="Arial" w:cs="Arial" w:eastAsia="Arial" w:hAnsi="Arial"/>
                <w:sz w:val="18"/>
                <w:szCs w:val="18"/>
                <w:color w:val="auto"/>
              </w:rPr>
              <w:t>3</w:t>
            </w:r>
          </w:p>
        </w:tc>
        <w:tc>
          <w:tcPr>
            <w:tcW w:w="340" w:type="dxa"/>
            <w:vAlign w:val="bottom"/>
          </w:tcPr>
          <w:p>
            <w:pPr>
              <w:jc w:val="right"/>
              <w:spacing w:after="0"/>
              <w:rPr>
                <w:sz w:val="20"/>
                <w:szCs w:val="20"/>
                <w:color w:val="auto"/>
              </w:rPr>
            </w:pPr>
            <w:r>
              <w:rPr>
                <w:rFonts w:ascii="Arial" w:cs="Arial" w:eastAsia="Arial" w:hAnsi="Arial"/>
                <w:sz w:val="18"/>
                <w:szCs w:val="18"/>
                <w:color w:val="auto"/>
                <w:w w:val="91"/>
              </w:rPr>
              <w:t>$ 76</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340" w:type="dxa"/>
            <w:vAlign w:val="bottom"/>
          </w:tcPr>
          <w:p>
            <w:pPr>
              <w:spacing w:after="0" w:line="20" w:lineRule="exact"/>
              <w:rPr>
                <w:sz w:val="1"/>
                <w:szCs w:val="1"/>
                <w:color w:val="auto"/>
              </w:rPr>
            </w:pPr>
          </w:p>
        </w:tc>
        <w:tc>
          <w:tcPr>
            <w:tcW w:w="600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67"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following table summarizes expected, incurred and remaining costs for the 2008 restructuring actions by type:</w:t>
      </w:r>
    </w:p>
    <w:p>
      <w:pPr>
        <w:spacing w:after="0" w:line="195"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59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240" w:type="dxa"/>
            <w:vAlign w:val="bottom"/>
            <w:gridSpan w:val="3"/>
          </w:tcPr>
          <w:p>
            <w:pPr>
              <w:spacing w:after="0"/>
              <w:rPr>
                <w:sz w:val="20"/>
                <w:szCs w:val="20"/>
                <w:color w:val="auto"/>
              </w:rPr>
            </w:pPr>
            <w:r>
              <w:rPr>
                <w:rFonts w:ascii="Arial" w:cs="Arial" w:eastAsia="Arial" w:hAnsi="Arial"/>
                <w:sz w:val="14"/>
                <w:szCs w:val="14"/>
                <w:b w:val="1"/>
                <w:bCs w:val="1"/>
                <w:color w:val="auto"/>
              </w:rPr>
              <w:t>Facility Exit</w:t>
            </w:r>
          </w:p>
        </w:tc>
        <w:tc>
          <w:tcPr>
            <w:tcW w:w="1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340" w:type="dxa"/>
            <w:vAlign w:val="bottom"/>
          </w:tcPr>
          <w:p>
            <w:pPr>
              <w:spacing w:after="0"/>
              <w:rPr>
                <w:sz w:val="12"/>
                <w:szCs w:val="12"/>
                <w:color w:val="auto"/>
              </w:rPr>
            </w:pPr>
          </w:p>
        </w:tc>
        <w:tc>
          <w:tcPr>
            <w:tcW w:w="59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240" w:type="dxa"/>
            <w:vAlign w:val="bottom"/>
            <w:gridSpan w:val="3"/>
          </w:tcPr>
          <w:p>
            <w:pPr>
              <w:jc w:val="right"/>
              <w:ind w:right="600"/>
              <w:spacing w:after="0" w:line="149" w:lineRule="exact"/>
              <w:rPr>
                <w:sz w:val="20"/>
                <w:szCs w:val="20"/>
                <w:color w:val="auto"/>
              </w:rPr>
            </w:pPr>
            <w:r>
              <w:rPr>
                <w:rFonts w:ascii="Arial" w:cs="Arial" w:eastAsia="Arial" w:hAnsi="Arial"/>
                <w:sz w:val="14"/>
                <w:szCs w:val="14"/>
                <w:b w:val="1"/>
                <w:bCs w:val="1"/>
                <w:color w:val="auto"/>
                <w:w w:val="90"/>
              </w:rPr>
              <w:t>and Lease</w:t>
            </w:r>
          </w:p>
        </w:tc>
        <w:tc>
          <w:tcPr>
            <w:tcW w:w="10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340" w:type="dxa"/>
            <w:vAlign w:val="bottom"/>
          </w:tcPr>
          <w:p>
            <w:pPr>
              <w:spacing w:after="0"/>
              <w:rPr>
                <w:sz w:val="12"/>
                <w:szCs w:val="12"/>
                <w:color w:val="auto"/>
              </w:rPr>
            </w:pPr>
          </w:p>
        </w:tc>
        <w:tc>
          <w:tcPr>
            <w:tcW w:w="59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920" w:type="dxa"/>
            <w:vAlign w:val="bottom"/>
            <w:gridSpan w:val="2"/>
          </w:tcPr>
          <w:p>
            <w:pPr>
              <w:jc w:val="right"/>
              <w:ind w:right="540"/>
              <w:spacing w:after="0" w:line="149" w:lineRule="exact"/>
              <w:rPr>
                <w:sz w:val="20"/>
                <w:szCs w:val="20"/>
                <w:color w:val="auto"/>
              </w:rPr>
            </w:pPr>
            <w:r>
              <w:rPr>
                <w:rFonts w:ascii="Arial" w:cs="Arial" w:eastAsia="Arial" w:hAnsi="Arial"/>
                <w:sz w:val="14"/>
                <w:szCs w:val="14"/>
                <w:b w:val="1"/>
                <w:bCs w:val="1"/>
                <w:color w:val="auto"/>
                <w:w w:val="94"/>
              </w:rPr>
              <w:t>Asset</w:t>
            </w:r>
          </w:p>
        </w:tc>
        <w:tc>
          <w:tcPr>
            <w:tcW w:w="240" w:type="dxa"/>
            <w:vAlign w:val="bottom"/>
          </w:tcPr>
          <w:p>
            <w:pPr>
              <w:spacing w:after="0"/>
              <w:rPr>
                <w:sz w:val="12"/>
                <w:szCs w:val="12"/>
                <w:color w:val="auto"/>
              </w:rPr>
            </w:pPr>
          </w:p>
        </w:tc>
        <w:tc>
          <w:tcPr>
            <w:tcW w:w="1240" w:type="dxa"/>
            <w:vAlign w:val="bottom"/>
            <w:gridSpan w:val="3"/>
          </w:tcPr>
          <w:p>
            <w:pPr>
              <w:spacing w:after="0" w:line="149" w:lineRule="exact"/>
              <w:rPr>
                <w:sz w:val="20"/>
                <w:szCs w:val="20"/>
                <w:color w:val="auto"/>
              </w:rPr>
            </w:pPr>
            <w:r>
              <w:rPr>
                <w:rFonts w:ascii="Arial" w:cs="Arial" w:eastAsia="Arial" w:hAnsi="Arial"/>
                <w:sz w:val="14"/>
                <w:szCs w:val="14"/>
                <w:b w:val="1"/>
                <w:bCs w:val="1"/>
                <w:color w:val="auto"/>
              </w:rPr>
              <w:t>Termination</w:t>
            </w:r>
          </w:p>
        </w:tc>
        <w:tc>
          <w:tcPr>
            <w:tcW w:w="10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1"/>
        </w:trPr>
        <w:tc>
          <w:tcPr>
            <w:tcW w:w="7280" w:type="dxa"/>
            <w:vAlign w:val="bottom"/>
            <w:gridSpan w:val="3"/>
          </w:tcPr>
          <w:p>
            <w:pPr>
              <w:spacing w:after="0"/>
              <w:rPr>
                <w:sz w:val="20"/>
                <w:szCs w:val="20"/>
                <w:color w:val="auto"/>
              </w:rPr>
            </w:pPr>
            <w:r>
              <w:rPr>
                <w:rFonts w:ascii="Arial" w:cs="Arial" w:eastAsia="Arial" w:hAnsi="Arial"/>
                <w:sz w:val="14"/>
                <w:szCs w:val="14"/>
                <w:b w:val="1"/>
                <w:bCs w:val="1"/>
                <w:color w:val="auto"/>
              </w:rPr>
              <w:t>(in millions of dollars)</w:t>
            </w:r>
          </w:p>
        </w:tc>
        <w:tc>
          <w:tcPr>
            <w:tcW w:w="880" w:type="dxa"/>
            <w:vAlign w:val="bottom"/>
            <w:gridSpan w:val="3"/>
          </w:tcPr>
          <w:p>
            <w:pPr>
              <w:spacing w:after="0"/>
              <w:rPr>
                <w:sz w:val="20"/>
                <w:szCs w:val="20"/>
                <w:color w:val="auto"/>
              </w:rPr>
            </w:pPr>
            <w:r>
              <w:rPr>
                <w:rFonts w:ascii="Arial" w:cs="Arial" w:eastAsia="Arial" w:hAnsi="Arial"/>
                <w:sz w:val="14"/>
                <w:szCs w:val="14"/>
                <w:b w:val="1"/>
                <w:bCs w:val="1"/>
                <w:color w:val="auto"/>
              </w:rPr>
              <w:t>Severance</w:t>
            </w:r>
          </w:p>
        </w:tc>
        <w:tc>
          <w:tcPr>
            <w:tcW w:w="240" w:type="dxa"/>
            <w:vAlign w:val="bottom"/>
          </w:tcPr>
          <w:p>
            <w:pPr>
              <w:spacing w:after="0"/>
              <w:rPr>
                <w:sz w:val="14"/>
                <w:szCs w:val="14"/>
                <w:color w:val="auto"/>
              </w:rPr>
            </w:pPr>
          </w:p>
        </w:tc>
        <w:tc>
          <w:tcPr>
            <w:tcW w:w="1100" w:type="dxa"/>
            <w:vAlign w:val="bottom"/>
            <w:gridSpan w:val="3"/>
          </w:tcPr>
          <w:p>
            <w:pPr>
              <w:ind w:left="20"/>
              <w:spacing w:after="0"/>
              <w:rPr>
                <w:sz w:val="20"/>
                <w:szCs w:val="20"/>
                <w:color w:val="auto"/>
              </w:rPr>
            </w:pPr>
            <w:r>
              <w:rPr>
                <w:rFonts w:ascii="Arial" w:cs="Arial" w:eastAsia="Arial" w:hAnsi="Arial"/>
                <w:sz w:val="14"/>
                <w:szCs w:val="14"/>
                <w:b w:val="1"/>
                <w:bCs w:val="1"/>
                <w:color w:val="auto"/>
              </w:rPr>
              <w:t>Write-Downs</w:t>
            </w:r>
          </w:p>
        </w:tc>
        <w:tc>
          <w:tcPr>
            <w:tcW w:w="2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100" w:type="dxa"/>
            <w:vAlign w:val="bottom"/>
            <w:gridSpan w:val="2"/>
          </w:tcPr>
          <w:p>
            <w:pPr>
              <w:jc w:val="right"/>
              <w:ind w:right="740"/>
              <w:spacing w:after="0"/>
              <w:rPr>
                <w:sz w:val="20"/>
                <w:szCs w:val="20"/>
                <w:color w:val="auto"/>
              </w:rPr>
            </w:pPr>
            <w:r>
              <w:rPr>
                <w:rFonts w:ascii="Arial" w:cs="Arial" w:eastAsia="Arial" w:hAnsi="Arial"/>
                <w:sz w:val="14"/>
                <w:szCs w:val="14"/>
                <w:b w:val="1"/>
                <w:bCs w:val="1"/>
                <w:color w:val="auto"/>
                <w:w w:val="87"/>
              </w:rPr>
              <w:t>Costs</w:t>
            </w:r>
          </w:p>
        </w:tc>
        <w:tc>
          <w:tcPr>
            <w:tcW w:w="440" w:type="dxa"/>
            <w:vAlign w:val="bottom"/>
            <w:gridSpan w:val="3"/>
          </w:tcPr>
          <w:p>
            <w:pPr>
              <w:jc w:val="right"/>
              <w:ind w:right="100"/>
              <w:spacing w:after="0"/>
              <w:rPr>
                <w:sz w:val="20"/>
                <w:szCs w:val="20"/>
                <w:color w:val="auto"/>
              </w:rPr>
            </w:pPr>
            <w:r>
              <w:rPr>
                <w:rFonts w:ascii="Arial" w:cs="Arial" w:eastAsia="Arial" w:hAnsi="Arial"/>
                <w:sz w:val="14"/>
                <w:szCs w:val="14"/>
                <w:b w:val="1"/>
                <w:bCs w:val="1"/>
                <w:color w:val="auto"/>
                <w:w w:val="95"/>
              </w:rPr>
              <w:t>Total</w:t>
            </w:r>
          </w:p>
        </w:tc>
        <w:tc>
          <w:tcPr>
            <w:tcW w:w="0" w:type="dxa"/>
            <w:vAlign w:val="bottom"/>
          </w:tcPr>
          <w:p>
            <w:pPr>
              <w:spacing w:after="0"/>
              <w:rPr>
                <w:sz w:val="1"/>
                <w:szCs w:val="1"/>
                <w:color w:val="auto"/>
              </w:rPr>
            </w:pPr>
          </w:p>
        </w:tc>
      </w:tr>
      <w:tr>
        <w:trPr>
          <w:trHeight w:val="20"/>
        </w:trPr>
        <w:tc>
          <w:tcPr>
            <w:tcW w:w="20" w:type="dxa"/>
            <w:vAlign w:val="bottom"/>
            <w:vMerge w:val="restart"/>
          </w:tcPr>
          <w:p>
            <w:pPr>
              <w:spacing w:after="0" w:line="20" w:lineRule="exact"/>
              <w:rPr>
                <w:sz w:val="1"/>
                <w:szCs w:val="1"/>
                <w:color w:val="auto"/>
              </w:rPr>
            </w:pPr>
          </w:p>
        </w:tc>
        <w:tc>
          <w:tcPr>
            <w:tcW w:w="1340" w:type="dxa"/>
            <w:vAlign w:val="bottom"/>
            <w:shd w:val="clear" w:color="auto" w:fill="000000"/>
          </w:tcPr>
          <w:p>
            <w:pPr>
              <w:spacing w:after="0" w:line="20" w:lineRule="exact"/>
              <w:rPr>
                <w:sz w:val="1"/>
                <w:szCs w:val="1"/>
                <w:color w:val="auto"/>
              </w:rPr>
            </w:pPr>
          </w:p>
        </w:tc>
        <w:tc>
          <w:tcPr>
            <w:tcW w:w="5920" w:type="dxa"/>
            <w:vAlign w:val="bottom"/>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380" w:type="dxa"/>
            <w:vAlign w:val="bottom"/>
            <w:shd w:val="clear" w:color="auto" w:fill="000000"/>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vMerge w:val="continue"/>
          </w:tcPr>
          <w:p>
            <w:pPr>
              <w:spacing w:after="0"/>
              <w:rPr>
                <w:sz w:val="18"/>
                <w:szCs w:val="18"/>
                <w:color w:val="auto"/>
              </w:rPr>
            </w:pPr>
          </w:p>
        </w:tc>
        <w:tc>
          <w:tcPr>
            <w:tcW w:w="1340" w:type="dxa"/>
            <w:vAlign w:val="bottom"/>
            <w:shd w:val="clear" w:color="auto" w:fill="CCEEFF"/>
          </w:tcPr>
          <w:p>
            <w:pPr>
              <w:spacing w:after="0"/>
              <w:rPr>
                <w:sz w:val="20"/>
                <w:szCs w:val="20"/>
                <w:color w:val="auto"/>
              </w:rPr>
            </w:pPr>
            <w:r>
              <w:rPr>
                <w:rFonts w:ascii="Arial" w:cs="Arial" w:eastAsia="Arial" w:hAnsi="Arial"/>
                <w:sz w:val="18"/>
                <w:szCs w:val="18"/>
                <w:color w:val="auto"/>
              </w:rPr>
              <w:t>Expected costs</w:t>
            </w:r>
          </w:p>
        </w:tc>
        <w:tc>
          <w:tcPr>
            <w:tcW w:w="59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3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151</w:t>
            </w:r>
          </w:p>
        </w:tc>
        <w:tc>
          <w:tcPr>
            <w:tcW w:w="3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w:t>
            </w:r>
          </w:p>
        </w:tc>
        <w:tc>
          <w:tcPr>
            <w:tcW w:w="300" w:type="dxa"/>
            <w:vAlign w:val="bottom"/>
            <w:shd w:val="clear" w:color="auto" w:fill="CCEEFF"/>
          </w:tcPr>
          <w:p>
            <w:pPr>
              <w:spacing w:after="0"/>
              <w:rPr>
                <w:sz w:val="18"/>
                <w:szCs w:val="18"/>
                <w:color w:val="auto"/>
              </w:rPr>
            </w:pPr>
          </w:p>
        </w:tc>
        <w:tc>
          <w:tcPr>
            <w:tcW w:w="380" w:type="dxa"/>
            <w:vAlign w:val="bottom"/>
            <w:gridSpan w:val="2"/>
            <w:shd w:val="clear" w:color="auto" w:fill="CCEEFF"/>
          </w:tcPr>
          <w:p>
            <w:pPr>
              <w:ind w:left="240"/>
              <w:spacing w:after="0"/>
              <w:rPr>
                <w:sz w:val="20"/>
                <w:szCs w:val="20"/>
                <w:color w:val="auto"/>
              </w:rPr>
            </w:pPr>
            <w:r>
              <w:rPr>
                <w:rFonts w:ascii="Arial" w:cs="Arial" w:eastAsia="Arial" w:hAnsi="Arial"/>
                <w:sz w:val="18"/>
                <w:szCs w:val="18"/>
                <w:color w:val="auto"/>
              </w:rPr>
              <w:t>$</w:t>
            </w:r>
          </w:p>
        </w:tc>
        <w:tc>
          <w:tcPr>
            <w:tcW w:w="1100" w:type="dxa"/>
            <w:vAlign w:val="bottom"/>
            <w:gridSpan w:val="2"/>
            <w:shd w:val="clear" w:color="auto" w:fill="CCEEFF"/>
          </w:tcPr>
          <w:p>
            <w:pPr>
              <w:jc w:val="right"/>
              <w:ind w:right="540"/>
              <w:spacing w:after="0"/>
              <w:rPr>
                <w:sz w:val="20"/>
                <w:szCs w:val="20"/>
                <w:color w:val="auto"/>
              </w:rPr>
            </w:pPr>
            <w:r>
              <w:rPr>
                <w:rFonts w:ascii="Arial" w:cs="Arial" w:eastAsia="Arial" w:hAnsi="Arial"/>
                <w:sz w:val="18"/>
                <w:szCs w:val="18"/>
                <w:color w:val="auto"/>
              </w:rPr>
              <w:t>22</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2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6"/>
              </w:rPr>
              <w:t>186</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260" w:type="dxa"/>
            <w:vAlign w:val="bottom"/>
            <w:gridSpan w:val="2"/>
          </w:tcPr>
          <w:p>
            <w:pPr>
              <w:spacing w:after="0"/>
              <w:rPr>
                <w:sz w:val="20"/>
                <w:szCs w:val="20"/>
                <w:color w:val="auto"/>
              </w:rPr>
            </w:pPr>
            <w:r>
              <w:rPr>
                <w:rFonts w:ascii="Arial" w:cs="Arial" w:eastAsia="Arial" w:hAnsi="Arial"/>
                <w:sz w:val="18"/>
                <w:szCs w:val="18"/>
                <w:color w:val="auto"/>
              </w:rPr>
              <w:t>Costs incurred – quarter ended March 31, 2008</w:t>
            </w:r>
          </w:p>
        </w:tc>
        <w:tc>
          <w:tcPr>
            <w:tcW w:w="200" w:type="dxa"/>
            <w:vAlign w:val="bottom"/>
          </w:tcPr>
          <w:p>
            <w:pPr>
              <w:spacing w:after="0"/>
              <w:rPr>
                <w:sz w:val="18"/>
                <w:szCs w:val="18"/>
                <w:color w:val="auto"/>
              </w:rPr>
            </w:pPr>
          </w:p>
        </w:tc>
        <w:tc>
          <w:tcPr>
            <w:tcW w:w="680" w:type="dxa"/>
            <w:vAlign w:val="bottom"/>
            <w:gridSpan w:val="2"/>
          </w:tcPr>
          <w:p>
            <w:pPr>
              <w:jc w:val="right"/>
              <w:ind w:right="240"/>
              <w:spacing w:after="0"/>
              <w:rPr>
                <w:sz w:val="20"/>
                <w:szCs w:val="20"/>
                <w:color w:val="auto"/>
              </w:rPr>
            </w:pPr>
            <w:r>
              <w:rPr>
                <w:rFonts w:ascii="Arial" w:cs="Arial" w:eastAsia="Arial" w:hAnsi="Arial"/>
                <w:sz w:val="18"/>
                <w:szCs w:val="18"/>
                <w:color w:val="auto"/>
              </w:rPr>
              <w:t>(19)</w:t>
            </w:r>
          </w:p>
        </w:tc>
        <w:tc>
          <w:tcPr>
            <w:tcW w:w="2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20" w:type="dxa"/>
            <w:vAlign w:val="bottom"/>
            <w:gridSpan w:val="2"/>
          </w:tcPr>
          <w:p>
            <w:pPr>
              <w:jc w:val="right"/>
              <w:ind w:right="240"/>
              <w:spacing w:after="0"/>
              <w:rPr>
                <w:sz w:val="20"/>
                <w:szCs w:val="20"/>
                <w:color w:val="auto"/>
              </w:rPr>
            </w:pPr>
            <w:r>
              <w:rPr>
                <w:rFonts w:ascii="Arial" w:cs="Arial" w:eastAsia="Arial" w:hAnsi="Arial"/>
                <w:sz w:val="18"/>
                <w:szCs w:val="18"/>
                <w:color w:val="auto"/>
              </w:rPr>
              <w:t>(2)</w:t>
            </w:r>
          </w:p>
        </w:tc>
        <w:tc>
          <w:tcPr>
            <w:tcW w:w="2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00" w:type="dxa"/>
            <w:vAlign w:val="bottom"/>
            <w:gridSpan w:val="2"/>
          </w:tcPr>
          <w:p>
            <w:pPr>
              <w:jc w:val="right"/>
              <w:ind w:right="62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340" w:type="dxa"/>
            <w:vAlign w:val="bottom"/>
            <w:gridSpan w:val="2"/>
          </w:tcPr>
          <w:p>
            <w:pPr>
              <w:jc w:val="right"/>
              <w:spacing w:after="0"/>
              <w:rPr>
                <w:sz w:val="20"/>
                <w:szCs w:val="20"/>
                <w:color w:val="auto"/>
              </w:rPr>
            </w:pPr>
            <w:r>
              <w:rPr>
                <w:rFonts w:ascii="Arial" w:cs="Arial" w:eastAsia="Arial" w:hAnsi="Arial"/>
                <w:sz w:val="18"/>
                <w:szCs w:val="18"/>
                <w:color w:val="auto"/>
                <w:w w:val="99"/>
              </w:rPr>
              <w:t>(21)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2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Costs incurred – quarter ended June 30, 2008</w:t>
            </w:r>
          </w:p>
        </w:tc>
        <w:tc>
          <w:tcPr>
            <w:tcW w:w="20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(77)</w:t>
            </w:r>
          </w:p>
        </w:tc>
        <w:tc>
          <w:tcPr>
            <w:tcW w:w="2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(4)</w:t>
            </w:r>
          </w:p>
        </w:tc>
        <w:tc>
          <w:tcPr>
            <w:tcW w:w="2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480"/>
              <w:spacing w:after="0"/>
              <w:rPr>
                <w:sz w:val="20"/>
                <w:szCs w:val="20"/>
                <w:color w:val="auto"/>
              </w:rPr>
            </w:pPr>
            <w:r>
              <w:rPr>
                <w:rFonts w:ascii="Arial" w:cs="Arial" w:eastAsia="Arial" w:hAnsi="Arial"/>
                <w:sz w:val="18"/>
                <w:szCs w:val="18"/>
                <w:color w:val="auto"/>
              </w:rPr>
              <w:t>(3)</w:t>
            </w:r>
          </w:p>
        </w:tc>
        <w:tc>
          <w:tcPr>
            <w:tcW w:w="100" w:type="dxa"/>
            <w:vAlign w:val="bottom"/>
            <w:shd w:val="clear" w:color="auto" w:fill="CCEEFF"/>
          </w:tcPr>
          <w:p>
            <w:pPr>
              <w:spacing w:after="0"/>
              <w:rPr>
                <w:sz w:val="18"/>
                <w:szCs w:val="18"/>
                <w:color w:val="auto"/>
              </w:rPr>
            </w:pPr>
          </w:p>
        </w:tc>
        <w:tc>
          <w:tcPr>
            <w:tcW w:w="3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w w:val="99"/>
              </w:rPr>
              <w:t>(84)</w:t>
            </w:r>
          </w:p>
        </w:tc>
        <w:tc>
          <w:tcPr>
            <w:tcW w:w="0" w:type="dxa"/>
            <w:vAlign w:val="bottom"/>
          </w:tcPr>
          <w:p>
            <w:pPr>
              <w:spacing w:after="0"/>
              <w:rPr>
                <w:sz w:val="1"/>
                <w:szCs w:val="1"/>
                <w:color w:val="auto"/>
              </w:rPr>
            </w:pPr>
          </w:p>
        </w:tc>
      </w:tr>
      <w:tr>
        <w:trPr>
          <w:trHeight w:val="20"/>
        </w:trPr>
        <w:tc>
          <w:tcPr>
            <w:tcW w:w="7280" w:type="dxa"/>
            <w:vAlign w:val="bottom"/>
            <w:gridSpan w:val="3"/>
            <w:vMerge w:val="restart"/>
          </w:tcPr>
          <w:p>
            <w:pPr>
              <w:spacing w:after="0"/>
              <w:rPr>
                <w:sz w:val="20"/>
                <w:szCs w:val="20"/>
                <w:color w:val="auto"/>
              </w:rPr>
            </w:pPr>
            <w:r>
              <w:rPr>
                <w:rFonts w:ascii="Arial" w:cs="Arial" w:eastAsia="Arial" w:hAnsi="Arial"/>
                <w:sz w:val="18"/>
                <w:szCs w:val="18"/>
                <w:color w:val="auto"/>
              </w:rPr>
              <w:t>Remaining costs at June 30, 2008</w:t>
            </w:r>
          </w:p>
        </w:tc>
        <w:tc>
          <w:tcPr>
            <w:tcW w:w="200" w:type="dxa"/>
            <w:vAlign w:val="bottom"/>
            <w:shd w:val="clear" w:color="auto" w:fill="000000"/>
          </w:tcPr>
          <w:p>
            <w:pPr>
              <w:spacing w:after="0" w:line="20" w:lineRule="exact"/>
              <w:rPr>
                <w:sz w:val="1"/>
                <w:szCs w:val="1"/>
                <w:color w:val="auto"/>
              </w:rPr>
            </w:pPr>
          </w:p>
        </w:tc>
        <w:tc>
          <w:tcPr>
            <w:tcW w:w="380" w:type="dxa"/>
            <w:vAlign w:val="bottom"/>
            <w:shd w:val="clear" w:color="auto" w:fill="000000"/>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2"/>
        </w:trPr>
        <w:tc>
          <w:tcPr>
            <w:tcW w:w="7280" w:type="dxa"/>
            <w:vAlign w:val="bottom"/>
            <w:gridSpan w:val="3"/>
            <w:vMerge w:val="continue"/>
          </w:tcPr>
          <w:p>
            <w:pPr>
              <w:spacing w:after="0"/>
              <w:rPr>
                <w:sz w:val="19"/>
                <w:szCs w:val="19"/>
                <w:color w:val="auto"/>
              </w:rPr>
            </w:pPr>
          </w:p>
        </w:tc>
        <w:tc>
          <w:tcPr>
            <w:tcW w:w="200" w:type="dxa"/>
            <w:vAlign w:val="bottom"/>
          </w:tcPr>
          <w:p>
            <w:pPr>
              <w:spacing w:after="0"/>
              <w:rPr>
                <w:sz w:val="20"/>
                <w:szCs w:val="20"/>
                <w:color w:val="auto"/>
              </w:rPr>
            </w:pPr>
            <w:r>
              <w:rPr>
                <w:rFonts w:ascii="Arial" w:cs="Arial" w:eastAsia="Arial" w:hAnsi="Arial"/>
                <w:sz w:val="18"/>
                <w:szCs w:val="18"/>
                <w:color w:val="auto"/>
              </w:rPr>
              <w:t>$</w:t>
            </w:r>
          </w:p>
        </w:tc>
        <w:tc>
          <w:tcPr>
            <w:tcW w:w="380" w:type="dxa"/>
            <w:vAlign w:val="bottom"/>
          </w:tcPr>
          <w:p>
            <w:pPr>
              <w:jc w:val="right"/>
              <w:spacing w:after="0"/>
              <w:rPr>
                <w:sz w:val="20"/>
                <w:szCs w:val="20"/>
                <w:color w:val="auto"/>
              </w:rPr>
            </w:pPr>
            <w:r>
              <w:rPr>
                <w:rFonts w:ascii="Arial" w:cs="Arial" w:eastAsia="Arial" w:hAnsi="Arial"/>
                <w:sz w:val="18"/>
                <w:szCs w:val="18"/>
                <w:color w:val="auto"/>
              </w:rPr>
              <w:t>55</w:t>
            </w:r>
          </w:p>
        </w:tc>
        <w:tc>
          <w:tcPr>
            <w:tcW w:w="3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80" w:type="dxa"/>
            <w:vAlign w:val="bottom"/>
          </w:tcPr>
          <w:p>
            <w:pPr>
              <w:spacing w:after="0"/>
              <w:rPr>
                <w:sz w:val="20"/>
                <w:szCs w:val="20"/>
                <w:color w:val="auto"/>
              </w:rPr>
            </w:pPr>
            <w:r>
              <w:rPr>
                <w:rFonts w:ascii="Arial" w:cs="Arial" w:eastAsia="Arial" w:hAnsi="Arial"/>
                <w:sz w:val="18"/>
                <w:szCs w:val="18"/>
                <w:color w:val="auto"/>
              </w:rPr>
              <w:t>$</w:t>
            </w:r>
          </w:p>
        </w:tc>
        <w:tc>
          <w:tcPr>
            <w:tcW w:w="620" w:type="dxa"/>
            <w:vAlign w:val="bottom"/>
          </w:tcPr>
          <w:p>
            <w:pPr>
              <w:jc w:val="right"/>
              <w:spacing w:after="0"/>
              <w:rPr>
                <w:sz w:val="20"/>
                <w:szCs w:val="20"/>
                <w:color w:val="auto"/>
              </w:rPr>
            </w:pPr>
            <w:r>
              <w:rPr>
                <w:rFonts w:ascii="Arial" w:cs="Arial" w:eastAsia="Arial" w:hAnsi="Arial"/>
                <w:sz w:val="18"/>
                <w:szCs w:val="18"/>
                <w:color w:val="auto"/>
              </w:rPr>
              <w:t>7</w:t>
            </w:r>
          </w:p>
        </w:tc>
        <w:tc>
          <w:tcPr>
            <w:tcW w:w="300" w:type="dxa"/>
            <w:vAlign w:val="bottom"/>
          </w:tcPr>
          <w:p>
            <w:pPr>
              <w:spacing w:after="0"/>
              <w:rPr>
                <w:sz w:val="19"/>
                <w:szCs w:val="19"/>
                <w:color w:val="auto"/>
              </w:rPr>
            </w:pPr>
          </w:p>
        </w:tc>
        <w:tc>
          <w:tcPr>
            <w:tcW w:w="380" w:type="dxa"/>
            <w:vAlign w:val="bottom"/>
            <w:gridSpan w:val="2"/>
          </w:tcPr>
          <w:p>
            <w:pPr>
              <w:ind w:left="240"/>
              <w:spacing w:after="0"/>
              <w:rPr>
                <w:sz w:val="20"/>
                <w:szCs w:val="20"/>
                <w:color w:val="auto"/>
              </w:rPr>
            </w:pPr>
            <w:r>
              <w:rPr>
                <w:rFonts w:ascii="Arial" w:cs="Arial" w:eastAsia="Arial" w:hAnsi="Arial"/>
                <w:sz w:val="18"/>
                <w:szCs w:val="18"/>
                <w:color w:val="auto"/>
              </w:rPr>
              <w:t>$</w:t>
            </w:r>
          </w:p>
        </w:tc>
        <w:tc>
          <w:tcPr>
            <w:tcW w:w="1100" w:type="dxa"/>
            <w:vAlign w:val="bottom"/>
            <w:gridSpan w:val="2"/>
          </w:tcPr>
          <w:p>
            <w:pPr>
              <w:jc w:val="right"/>
              <w:ind w:right="540"/>
              <w:spacing w:after="0"/>
              <w:rPr>
                <w:sz w:val="20"/>
                <w:szCs w:val="20"/>
                <w:color w:val="auto"/>
              </w:rPr>
            </w:pPr>
            <w:r>
              <w:rPr>
                <w:rFonts w:ascii="Arial" w:cs="Arial" w:eastAsia="Arial" w:hAnsi="Arial"/>
                <w:sz w:val="18"/>
                <w:szCs w:val="18"/>
                <w:color w:val="auto"/>
              </w:rPr>
              <w:t>19</w:t>
            </w: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280" w:type="dxa"/>
            <w:vAlign w:val="bottom"/>
          </w:tcPr>
          <w:p>
            <w:pPr>
              <w:jc w:val="right"/>
              <w:spacing w:after="0"/>
              <w:rPr>
                <w:sz w:val="20"/>
                <w:szCs w:val="20"/>
                <w:color w:val="auto"/>
              </w:rPr>
            </w:pPr>
            <w:r>
              <w:rPr>
                <w:rFonts w:ascii="Arial" w:cs="Arial" w:eastAsia="Arial" w:hAnsi="Arial"/>
                <w:sz w:val="18"/>
                <w:szCs w:val="18"/>
                <w:color w:val="auto"/>
              </w:rPr>
              <w:t>81</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340" w:type="dxa"/>
            <w:vAlign w:val="bottom"/>
          </w:tcPr>
          <w:p>
            <w:pPr>
              <w:spacing w:after="0" w:line="20" w:lineRule="exact"/>
              <w:rPr>
                <w:sz w:val="1"/>
                <w:szCs w:val="1"/>
                <w:color w:val="auto"/>
              </w:rPr>
            </w:pPr>
          </w:p>
        </w:tc>
        <w:tc>
          <w:tcPr>
            <w:tcW w:w="592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67"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following table summarizes expected, incurred and remaining costs for the 2008 restructuring actions by segment:</w:t>
      </w:r>
    </w:p>
    <w:p>
      <w:pPr>
        <w:spacing w:after="0" w:line="195"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3"/>
                <w:szCs w:val="13"/>
                <w:color w:val="auto"/>
              </w:rPr>
            </w:pPr>
          </w:p>
        </w:tc>
        <w:tc>
          <w:tcPr>
            <w:tcW w:w="1340" w:type="dxa"/>
            <w:vAlign w:val="bottom"/>
          </w:tcPr>
          <w:p>
            <w:pPr>
              <w:spacing w:after="0"/>
              <w:rPr>
                <w:sz w:val="13"/>
                <w:szCs w:val="13"/>
                <w:color w:val="auto"/>
              </w:rPr>
            </w:pPr>
          </w:p>
        </w:tc>
        <w:tc>
          <w:tcPr>
            <w:tcW w:w="51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1260" w:type="dxa"/>
            <w:vAlign w:val="bottom"/>
            <w:gridSpan w:val="3"/>
          </w:tcPr>
          <w:p>
            <w:pPr>
              <w:spacing w:after="0"/>
              <w:rPr>
                <w:sz w:val="20"/>
                <w:szCs w:val="20"/>
                <w:color w:val="auto"/>
              </w:rPr>
            </w:pPr>
            <w:r>
              <w:rPr>
                <w:rFonts w:ascii="Arial" w:cs="Arial" w:eastAsia="Arial" w:hAnsi="Arial"/>
                <w:sz w:val="14"/>
                <w:szCs w:val="14"/>
                <w:b w:val="1"/>
                <w:bCs w:val="1"/>
                <w:color w:val="auto"/>
              </w:rPr>
              <w:t>Costs Incurred</w:t>
            </w:r>
          </w:p>
        </w:tc>
        <w:tc>
          <w:tcPr>
            <w:tcW w:w="300" w:type="dxa"/>
            <w:vAlign w:val="bottom"/>
          </w:tcPr>
          <w:p>
            <w:pPr>
              <w:spacing w:after="0"/>
              <w:rPr>
                <w:sz w:val="13"/>
                <w:szCs w:val="13"/>
                <w:color w:val="auto"/>
              </w:rPr>
            </w:pPr>
          </w:p>
        </w:tc>
        <w:tc>
          <w:tcPr>
            <w:tcW w:w="1260" w:type="dxa"/>
            <w:vAlign w:val="bottom"/>
            <w:gridSpan w:val="3"/>
          </w:tcPr>
          <w:p>
            <w:pPr>
              <w:ind w:left="20"/>
              <w:spacing w:after="0"/>
              <w:rPr>
                <w:sz w:val="20"/>
                <w:szCs w:val="20"/>
                <w:color w:val="auto"/>
              </w:rPr>
            </w:pPr>
            <w:r>
              <w:rPr>
                <w:rFonts w:ascii="Arial" w:cs="Arial" w:eastAsia="Arial" w:hAnsi="Arial"/>
                <w:sz w:val="14"/>
                <w:szCs w:val="14"/>
                <w:b w:val="1"/>
                <w:bCs w:val="1"/>
                <w:color w:val="auto"/>
              </w:rPr>
              <w:t>Costs Incurred</w:t>
            </w:r>
          </w:p>
        </w:tc>
        <w:tc>
          <w:tcPr>
            <w:tcW w:w="300" w:type="dxa"/>
            <w:vAlign w:val="bottom"/>
          </w:tcPr>
          <w:p>
            <w:pPr>
              <w:spacing w:after="0"/>
              <w:rPr>
                <w:sz w:val="13"/>
                <w:szCs w:val="13"/>
                <w:color w:val="auto"/>
              </w:rPr>
            </w:pPr>
          </w:p>
        </w:tc>
        <w:tc>
          <w:tcPr>
            <w:tcW w:w="660" w:type="dxa"/>
            <w:vAlign w:val="bottom"/>
            <w:gridSpan w:val="3"/>
          </w:tcPr>
          <w:p>
            <w:pPr>
              <w:jc w:val="center"/>
              <w:ind w:right="20"/>
              <w:spacing w:after="0"/>
              <w:rPr>
                <w:sz w:val="20"/>
                <w:szCs w:val="20"/>
                <w:color w:val="auto"/>
              </w:rPr>
            </w:pPr>
            <w:r>
              <w:rPr>
                <w:rFonts w:ascii="Arial" w:cs="Arial" w:eastAsia="Arial" w:hAnsi="Arial"/>
                <w:sz w:val="14"/>
                <w:szCs w:val="14"/>
                <w:b w:val="1"/>
                <w:bCs w:val="1"/>
                <w:color w:val="auto"/>
                <w:w w:val="89"/>
              </w:rPr>
              <w:t>Remaining</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340" w:type="dxa"/>
            <w:vAlign w:val="bottom"/>
          </w:tcPr>
          <w:p>
            <w:pPr>
              <w:spacing w:after="0"/>
              <w:rPr>
                <w:sz w:val="12"/>
                <w:szCs w:val="12"/>
                <w:color w:val="auto"/>
              </w:rPr>
            </w:pPr>
          </w:p>
        </w:tc>
        <w:tc>
          <w:tcPr>
            <w:tcW w:w="51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1260" w:type="dxa"/>
            <w:vAlign w:val="bottom"/>
            <w:gridSpan w:val="3"/>
          </w:tcPr>
          <w:p>
            <w:pPr>
              <w:spacing w:after="0" w:line="149" w:lineRule="exact"/>
              <w:rPr>
                <w:sz w:val="20"/>
                <w:szCs w:val="20"/>
                <w:color w:val="auto"/>
              </w:rPr>
            </w:pPr>
            <w:r>
              <w:rPr>
                <w:rFonts w:ascii="Arial" w:cs="Arial" w:eastAsia="Arial" w:hAnsi="Arial"/>
                <w:sz w:val="14"/>
                <w:szCs w:val="14"/>
                <w:b w:val="1"/>
                <w:bCs w:val="1"/>
                <w:color w:val="auto"/>
              </w:rPr>
              <w:t>Quarter Ended</w:t>
            </w:r>
          </w:p>
        </w:tc>
        <w:tc>
          <w:tcPr>
            <w:tcW w:w="300" w:type="dxa"/>
            <w:vAlign w:val="bottom"/>
          </w:tcPr>
          <w:p>
            <w:pPr>
              <w:spacing w:after="0"/>
              <w:rPr>
                <w:sz w:val="12"/>
                <w:szCs w:val="12"/>
                <w:color w:val="auto"/>
              </w:rPr>
            </w:pPr>
          </w:p>
        </w:tc>
        <w:tc>
          <w:tcPr>
            <w:tcW w:w="1260" w:type="dxa"/>
            <w:vAlign w:val="bottom"/>
            <w:gridSpan w:val="3"/>
          </w:tcPr>
          <w:p>
            <w:pPr>
              <w:spacing w:after="0" w:line="149" w:lineRule="exact"/>
              <w:rPr>
                <w:sz w:val="20"/>
                <w:szCs w:val="20"/>
                <w:color w:val="auto"/>
              </w:rPr>
            </w:pPr>
            <w:r>
              <w:rPr>
                <w:rFonts w:ascii="Arial" w:cs="Arial" w:eastAsia="Arial" w:hAnsi="Arial"/>
                <w:sz w:val="14"/>
                <w:szCs w:val="14"/>
                <w:b w:val="1"/>
                <w:bCs w:val="1"/>
                <w:color w:val="auto"/>
              </w:rPr>
              <w:t>Quarter Ended</w:t>
            </w:r>
          </w:p>
        </w:tc>
        <w:tc>
          <w:tcPr>
            <w:tcW w:w="3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60" w:type="dxa"/>
            <w:vAlign w:val="bottom"/>
            <w:gridSpan w:val="2"/>
          </w:tcPr>
          <w:p>
            <w:pPr>
              <w:jc w:val="center"/>
              <w:ind w:right="100"/>
              <w:spacing w:after="0" w:line="149" w:lineRule="exact"/>
              <w:rPr>
                <w:sz w:val="20"/>
                <w:szCs w:val="20"/>
                <w:color w:val="auto"/>
              </w:rPr>
            </w:pPr>
            <w:r>
              <w:rPr>
                <w:rFonts w:ascii="Arial" w:cs="Arial" w:eastAsia="Arial" w:hAnsi="Arial"/>
                <w:sz w:val="14"/>
                <w:szCs w:val="14"/>
                <w:b w:val="1"/>
                <w:bCs w:val="1"/>
                <w:color w:val="auto"/>
                <w:w w:val="83"/>
              </w:rPr>
              <w:t>Costs at</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340" w:type="dxa"/>
            <w:vAlign w:val="bottom"/>
          </w:tcPr>
          <w:p>
            <w:pPr>
              <w:spacing w:after="0"/>
              <w:rPr>
                <w:sz w:val="12"/>
                <w:szCs w:val="12"/>
                <w:color w:val="auto"/>
              </w:rPr>
            </w:pPr>
          </w:p>
        </w:tc>
        <w:tc>
          <w:tcPr>
            <w:tcW w:w="5140" w:type="dxa"/>
            <w:vAlign w:val="bottom"/>
          </w:tcPr>
          <w:p>
            <w:pPr>
              <w:spacing w:after="0"/>
              <w:rPr>
                <w:sz w:val="12"/>
                <w:szCs w:val="12"/>
                <w:color w:val="auto"/>
              </w:rPr>
            </w:pPr>
          </w:p>
        </w:tc>
        <w:tc>
          <w:tcPr>
            <w:tcW w:w="1160" w:type="dxa"/>
            <w:vAlign w:val="bottom"/>
            <w:gridSpan w:val="3"/>
          </w:tcPr>
          <w:p>
            <w:pPr>
              <w:spacing w:after="0" w:line="149" w:lineRule="exact"/>
              <w:rPr>
                <w:sz w:val="20"/>
                <w:szCs w:val="20"/>
                <w:color w:val="auto"/>
              </w:rPr>
            </w:pPr>
            <w:r>
              <w:rPr>
                <w:rFonts w:ascii="Arial" w:cs="Arial" w:eastAsia="Arial" w:hAnsi="Arial"/>
                <w:sz w:val="14"/>
                <w:szCs w:val="14"/>
                <w:b w:val="1"/>
                <w:bCs w:val="1"/>
                <w:color w:val="auto"/>
              </w:rPr>
              <w:t>Expected</w:t>
            </w:r>
          </w:p>
        </w:tc>
        <w:tc>
          <w:tcPr>
            <w:tcW w:w="120" w:type="dxa"/>
            <w:vAlign w:val="bottom"/>
          </w:tcPr>
          <w:p>
            <w:pPr>
              <w:spacing w:after="0"/>
              <w:rPr>
                <w:sz w:val="12"/>
                <w:szCs w:val="12"/>
                <w:color w:val="auto"/>
              </w:rPr>
            </w:pPr>
          </w:p>
        </w:tc>
        <w:tc>
          <w:tcPr>
            <w:tcW w:w="1140" w:type="dxa"/>
            <w:vAlign w:val="bottom"/>
            <w:gridSpan w:val="2"/>
          </w:tcPr>
          <w:p>
            <w:pPr>
              <w:jc w:val="center"/>
              <w:ind w:right="500"/>
              <w:spacing w:after="0" w:line="149" w:lineRule="exact"/>
              <w:rPr>
                <w:sz w:val="20"/>
                <w:szCs w:val="20"/>
                <w:color w:val="auto"/>
              </w:rPr>
            </w:pPr>
            <w:r>
              <w:rPr>
                <w:rFonts w:ascii="Arial" w:cs="Arial" w:eastAsia="Arial" w:hAnsi="Arial"/>
                <w:sz w:val="14"/>
                <w:szCs w:val="14"/>
                <w:b w:val="1"/>
                <w:bCs w:val="1"/>
                <w:color w:val="auto"/>
                <w:w w:val="92"/>
              </w:rPr>
              <w:t>March 31,</w:t>
            </w:r>
          </w:p>
        </w:tc>
        <w:tc>
          <w:tcPr>
            <w:tcW w:w="3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120" w:type="dxa"/>
            <w:vAlign w:val="bottom"/>
            <w:gridSpan w:val="2"/>
          </w:tcPr>
          <w:p>
            <w:pPr>
              <w:jc w:val="center"/>
              <w:ind w:right="520"/>
              <w:spacing w:after="0" w:line="149" w:lineRule="exact"/>
              <w:rPr>
                <w:sz w:val="20"/>
                <w:szCs w:val="20"/>
                <w:color w:val="auto"/>
              </w:rPr>
            </w:pPr>
            <w:r>
              <w:rPr>
                <w:rFonts w:ascii="Arial" w:cs="Arial" w:eastAsia="Arial" w:hAnsi="Arial"/>
                <w:sz w:val="14"/>
                <w:szCs w:val="14"/>
                <w:b w:val="1"/>
                <w:bCs w:val="1"/>
                <w:color w:val="auto"/>
                <w:w w:val="85"/>
              </w:rPr>
              <w:t>June 30,</w:t>
            </w:r>
          </w:p>
        </w:tc>
        <w:tc>
          <w:tcPr>
            <w:tcW w:w="300" w:type="dxa"/>
            <w:vAlign w:val="bottom"/>
          </w:tcPr>
          <w:p>
            <w:pPr>
              <w:spacing w:after="0"/>
              <w:rPr>
                <w:sz w:val="12"/>
                <w:szCs w:val="12"/>
                <w:color w:val="auto"/>
              </w:rPr>
            </w:pPr>
          </w:p>
        </w:tc>
        <w:tc>
          <w:tcPr>
            <w:tcW w:w="660" w:type="dxa"/>
            <w:vAlign w:val="bottom"/>
            <w:gridSpan w:val="3"/>
          </w:tcPr>
          <w:p>
            <w:pPr>
              <w:jc w:val="center"/>
              <w:ind w:right="20"/>
              <w:spacing w:after="0" w:line="149" w:lineRule="exact"/>
              <w:rPr>
                <w:sz w:val="20"/>
                <w:szCs w:val="20"/>
                <w:color w:val="auto"/>
              </w:rPr>
            </w:pPr>
            <w:r>
              <w:rPr>
                <w:rFonts w:ascii="Arial" w:cs="Arial" w:eastAsia="Arial" w:hAnsi="Arial"/>
                <w:sz w:val="14"/>
                <w:szCs w:val="14"/>
                <w:b w:val="1"/>
                <w:bCs w:val="1"/>
                <w:color w:val="auto"/>
                <w:w w:val="85"/>
              </w:rPr>
              <w:t>June 30,</w:t>
            </w:r>
          </w:p>
        </w:tc>
        <w:tc>
          <w:tcPr>
            <w:tcW w:w="0" w:type="dxa"/>
            <w:vAlign w:val="bottom"/>
          </w:tcPr>
          <w:p>
            <w:pPr>
              <w:spacing w:after="0"/>
              <w:rPr>
                <w:sz w:val="1"/>
                <w:szCs w:val="1"/>
                <w:color w:val="auto"/>
              </w:rPr>
            </w:pPr>
          </w:p>
        </w:tc>
      </w:tr>
      <w:tr>
        <w:trPr>
          <w:trHeight w:val="161"/>
        </w:trPr>
        <w:tc>
          <w:tcPr>
            <w:tcW w:w="6500" w:type="dxa"/>
            <w:vAlign w:val="bottom"/>
            <w:gridSpan w:val="3"/>
          </w:tcPr>
          <w:p>
            <w:pPr>
              <w:spacing w:after="0"/>
              <w:rPr>
                <w:sz w:val="20"/>
                <w:szCs w:val="20"/>
                <w:color w:val="auto"/>
              </w:rPr>
            </w:pPr>
            <w:r>
              <w:rPr>
                <w:rFonts w:ascii="Arial" w:cs="Arial" w:eastAsia="Arial" w:hAnsi="Arial"/>
                <w:sz w:val="14"/>
                <w:szCs w:val="14"/>
                <w:b w:val="1"/>
                <w:bCs w:val="1"/>
                <w:color w:val="auto"/>
              </w:rPr>
              <w:t>(in millions of dollars)</w:t>
            </w:r>
          </w:p>
        </w:tc>
        <w:tc>
          <w:tcPr>
            <w:tcW w:w="100" w:type="dxa"/>
            <w:vAlign w:val="bottom"/>
          </w:tcPr>
          <w:p>
            <w:pPr>
              <w:spacing w:after="0"/>
              <w:rPr>
                <w:sz w:val="14"/>
                <w:szCs w:val="14"/>
                <w:color w:val="auto"/>
              </w:rPr>
            </w:pPr>
          </w:p>
        </w:tc>
        <w:tc>
          <w:tcPr>
            <w:tcW w:w="1060" w:type="dxa"/>
            <w:vAlign w:val="bottom"/>
            <w:gridSpan w:val="2"/>
          </w:tcPr>
          <w:p>
            <w:pPr>
              <w:spacing w:after="0"/>
              <w:rPr>
                <w:sz w:val="20"/>
                <w:szCs w:val="20"/>
                <w:color w:val="auto"/>
              </w:rPr>
            </w:pPr>
            <w:r>
              <w:rPr>
                <w:rFonts w:ascii="Arial" w:cs="Arial" w:eastAsia="Arial" w:hAnsi="Arial"/>
                <w:sz w:val="14"/>
                <w:szCs w:val="14"/>
                <w:b w:val="1"/>
                <w:bCs w:val="1"/>
                <w:color w:val="auto"/>
              </w:rPr>
              <w:t>Costs</w:t>
            </w:r>
          </w:p>
        </w:tc>
        <w:tc>
          <w:tcPr>
            <w:tcW w:w="120" w:type="dxa"/>
            <w:vAlign w:val="bottom"/>
          </w:tcPr>
          <w:p>
            <w:pPr>
              <w:spacing w:after="0"/>
              <w:rPr>
                <w:sz w:val="14"/>
                <w:szCs w:val="14"/>
                <w:color w:val="auto"/>
              </w:rPr>
            </w:pPr>
          </w:p>
        </w:tc>
        <w:tc>
          <w:tcPr>
            <w:tcW w:w="760" w:type="dxa"/>
            <w:vAlign w:val="bottom"/>
          </w:tcPr>
          <w:p>
            <w:pPr>
              <w:jc w:val="right"/>
              <w:ind w:right="218"/>
              <w:spacing w:after="0"/>
              <w:rPr>
                <w:sz w:val="20"/>
                <w:szCs w:val="20"/>
                <w:color w:val="auto"/>
              </w:rPr>
            </w:pPr>
            <w:r>
              <w:rPr>
                <w:rFonts w:ascii="Arial" w:cs="Arial" w:eastAsia="Arial" w:hAnsi="Arial"/>
                <w:sz w:val="14"/>
                <w:szCs w:val="14"/>
                <w:b w:val="1"/>
                <w:bCs w:val="1"/>
                <w:color w:val="auto"/>
              </w:rPr>
              <w:t>2008</w:t>
            </w:r>
          </w:p>
        </w:tc>
        <w:tc>
          <w:tcPr>
            <w:tcW w:w="38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740" w:type="dxa"/>
            <w:vAlign w:val="bottom"/>
          </w:tcPr>
          <w:p>
            <w:pPr>
              <w:jc w:val="right"/>
              <w:ind w:right="218"/>
              <w:spacing w:after="0"/>
              <w:rPr>
                <w:sz w:val="20"/>
                <w:szCs w:val="20"/>
                <w:color w:val="auto"/>
              </w:rPr>
            </w:pPr>
            <w:r>
              <w:rPr>
                <w:rFonts w:ascii="Arial" w:cs="Arial" w:eastAsia="Arial" w:hAnsi="Arial"/>
                <w:sz w:val="14"/>
                <w:szCs w:val="14"/>
                <w:b w:val="1"/>
                <w:bCs w:val="1"/>
                <w:color w:val="auto"/>
              </w:rPr>
              <w:t>2008</w:t>
            </w:r>
          </w:p>
        </w:tc>
        <w:tc>
          <w:tcPr>
            <w:tcW w:w="38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40" w:type="dxa"/>
            <w:vAlign w:val="bottom"/>
          </w:tcPr>
          <w:p>
            <w:pPr>
              <w:jc w:val="center"/>
              <w:ind w:right="18"/>
              <w:spacing w:after="0"/>
              <w:rPr>
                <w:sz w:val="20"/>
                <w:szCs w:val="20"/>
                <w:color w:val="auto"/>
              </w:rPr>
            </w:pPr>
            <w:r>
              <w:rPr>
                <w:rFonts w:ascii="Arial" w:cs="Arial" w:eastAsia="Arial" w:hAnsi="Arial"/>
                <w:sz w:val="14"/>
                <w:szCs w:val="14"/>
                <w:b w:val="1"/>
                <w:bCs w:val="1"/>
                <w:color w:val="auto"/>
                <w:w w:val="89"/>
              </w:rPr>
              <w:t>2008</w:t>
            </w: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20" w:type="dxa"/>
            <w:vAlign w:val="bottom"/>
            <w:vMerge w:val="restart"/>
          </w:tcPr>
          <w:p>
            <w:pPr>
              <w:spacing w:after="0" w:line="20" w:lineRule="exact"/>
              <w:rPr>
                <w:sz w:val="1"/>
                <w:szCs w:val="1"/>
                <w:color w:val="auto"/>
              </w:rPr>
            </w:pPr>
          </w:p>
        </w:tc>
        <w:tc>
          <w:tcPr>
            <w:tcW w:w="1340" w:type="dxa"/>
            <w:vAlign w:val="bottom"/>
            <w:shd w:val="clear" w:color="auto" w:fill="000000"/>
          </w:tcPr>
          <w:p>
            <w:pPr>
              <w:spacing w:after="0" w:line="20" w:lineRule="exact"/>
              <w:rPr>
                <w:sz w:val="1"/>
                <w:szCs w:val="1"/>
                <w:color w:val="auto"/>
              </w:rPr>
            </w:pPr>
          </w:p>
        </w:tc>
        <w:tc>
          <w:tcPr>
            <w:tcW w:w="514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440" w:type="dxa"/>
            <w:vAlign w:val="bottom"/>
            <w:shd w:val="clear" w:color="auto" w:fill="000000"/>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vMerge w:val="continue"/>
          </w:tcPr>
          <w:p>
            <w:pPr>
              <w:spacing w:after="0"/>
              <w:rPr>
                <w:sz w:val="18"/>
                <w:szCs w:val="18"/>
                <w:color w:val="auto"/>
              </w:rPr>
            </w:pPr>
          </w:p>
        </w:tc>
        <w:tc>
          <w:tcPr>
            <w:tcW w:w="1340" w:type="dxa"/>
            <w:vAlign w:val="bottom"/>
            <w:shd w:val="clear" w:color="auto" w:fill="CCEEFF"/>
          </w:tcPr>
          <w:p>
            <w:pPr>
              <w:spacing w:after="0"/>
              <w:rPr>
                <w:sz w:val="20"/>
                <w:szCs w:val="20"/>
                <w:color w:val="auto"/>
              </w:rPr>
            </w:pPr>
            <w:r>
              <w:rPr>
                <w:rFonts w:ascii="Arial" w:cs="Arial" w:eastAsia="Arial" w:hAnsi="Arial"/>
                <w:sz w:val="18"/>
                <w:szCs w:val="18"/>
                <w:color w:val="auto"/>
              </w:rPr>
              <w:t>Otis</w:t>
            </w:r>
          </w:p>
        </w:tc>
        <w:tc>
          <w:tcPr>
            <w:tcW w:w="5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20"/>
                <w:szCs w:val="20"/>
                <w:color w:val="auto"/>
              </w:rPr>
            </w:pPr>
            <w:r>
              <w:rPr>
                <w:rFonts w:ascii="Arial" w:cs="Arial" w:eastAsia="Arial" w:hAnsi="Arial"/>
                <w:sz w:val="18"/>
                <w:szCs w:val="18"/>
                <w:color w:val="auto"/>
                <w:w w:val="79"/>
              </w:rPr>
              <w:t>$</w:t>
            </w:r>
          </w:p>
        </w:tc>
        <w:tc>
          <w:tcPr>
            <w:tcW w:w="4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w:t>
            </w:r>
          </w:p>
        </w:tc>
        <w:tc>
          <w:tcPr>
            <w:tcW w:w="6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20"/>
                <w:szCs w:val="20"/>
                <w:color w:val="auto"/>
              </w:rPr>
            </w:pPr>
            <w:r>
              <w:rPr>
                <w:rFonts w:ascii="Arial" w:cs="Arial" w:eastAsia="Arial" w:hAnsi="Arial"/>
                <w:sz w:val="18"/>
                <w:szCs w:val="18"/>
                <w:color w:val="auto"/>
                <w:w w:val="99"/>
              </w:rPr>
              <w:t>$</w:t>
            </w:r>
          </w:p>
        </w:tc>
        <w:tc>
          <w:tcPr>
            <w:tcW w:w="114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(2)</w:t>
            </w:r>
          </w:p>
        </w:tc>
        <w:tc>
          <w:tcPr>
            <w:tcW w:w="440" w:type="dxa"/>
            <w:vAlign w:val="bottom"/>
            <w:gridSpan w:val="2"/>
            <w:shd w:val="clear" w:color="auto" w:fill="CCEEFF"/>
          </w:tcPr>
          <w:p>
            <w:pPr>
              <w:ind w:left="300"/>
              <w:spacing w:after="0"/>
              <w:rPr>
                <w:sz w:val="20"/>
                <w:szCs w:val="20"/>
                <w:color w:val="auto"/>
              </w:rPr>
            </w:pPr>
            <w:r>
              <w:rPr>
                <w:rFonts w:ascii="Arial" w:cs="Arial" w:eastAsia="Arial" w:hAnsi="Arial"/>
                <w:sz w:val="18"/>
                <w:szCs w:val="18"/>
                <w:color w:val="auto"/>
              </w:rPr>
              <w:t>$</w:t>
            </w:r>
          </w:p>
        </w:tc>
        <w:tc>
          <w:tcPr>
            <w:tcW w:w="112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(4)</w:t>
            </w:r>
          </w:p>
        </w:tc>
        <w:tc>
          <w:tcPr>
            <w:tcW w:w="4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480" w:type="dxa"/>
            <w:vAlign w:val="bottom"/>
            <w:gridSpan w:val="2"/>
          </w:tcPr>
          <w:p>
            <w:pPr>
              <w:spacing w:after="0"/>
              <w:rPr>
                <w:sz w:val="20"/>
                <w:szCs w:val="20"/>
                <w:color w:val="auto"/>
              </w:rPr>
            </w:pPr>
            <w:r>
              <w:rPr>
                <w:rFonts w:ascii="Arial" w:cs="Arial" w:eastAsia="Arial" w:hAnsi="Arial"/>
                <w:sz w:val="18"/>
                <w:szCs w:val="18"/>
                <w:color w:val="auto"/>
              </w:rPr>
              <w:t>Carrier</w:t>
            </w:r>
          </w:p>
        </w:tc>
        <w:tc>
          <w:tcPr>
            <w:tcW w:w="100" w:type="dxa"/>
            <w:vAlign w:val="bottom"/>
          </w:tcPr>
          <w:p>
            <w:pPr>
              <w:spacing w:after="0"/>
              <w:rPr>
                <w:sz w:val="18"/>
                <w:szCs w:val="18"/>
                <w:color w:val="auto"/>
              </w:rPr>
            </w:pPr>
          </w:p>
        </w:tc>
        <w:tc>
          <w:tcPr>
            <w:tcW w:w="1060" w:type="dxa"/>
            <w:vAlign w:val="bottom"/>
            <w:gridSpan w:val="2"/>
          </w:tcPr>
          <w:p>
            <w:pPr>
              <w:jc w:val="right"/>
              <w:ind w:right="620"/>
              <w:spacing w:after="0"/>
              <w:rPr>
                <w:sz w:val="20"/>
                <w:szCs w:val="20"/>
                <w:color w:val="auto"/>
              </w:rPr>
            </w:pPr>
            <w:r>
              <w:rPr>
                <w:rFonts w:ascii="Arial" w:cs="Arial" w:eastAsia="Arial" w:hAnsi="Arial"/>
                <w:sz w:val="18"/>
                <w:szCs w:val="18"/>
                <w:color w:val="auto"/>
              </w:rPr>
              <w:t>82</w:t>
            </w:r>
          </w:p>
        </w:tc>
        <w:tc>
          <w:tcPr>
            <w:tcW w:w="120" w:type="dxa"/>
            <w:vAlign w:val="bottom"/>
          </w:tcPr>
          <w:p>
            <w:pPr>
              <w:spacing w:after="0"/>
              <w:rPr>
                <w:sz w:val="18"/>
                <w:szCs w:val="18"/>
                <w:color w:val="auto"/>
              </w:rPr>
            </w:pPr>
          </w:p>
        </w:tc>
        <w:tc>
          <w:tcPr>
            <w:tcW w:w="1140" w:type="dxa"/>
            <w:vAlign w:val="bottom"/>
            <w:gridSpan w:val="2"/>
          </w:tcPr>
          <w:p>
            <w:pPr>
              <w:jc w:val="right"/>
              <w:ind w:right="320"/>
              <w:spacing w:after="0"/>
              <w:rPr>
                <w:sz w:val="20"/>
                <w:szCs w:val="20"/>
                <w:color w:val="auto"/>
              </w:rPr>
            </w:pPr>
            <w:r>
              <w:rPr>
                <w:rFonts w:ascii="Arial" w:cs="Arial" w:eastAsia="Arial" w:hAnsi="Arial"/>
                <w:sz w:val="18"/>
                <w:szCs w:val="18"/>
                <w:color w:val="auto"/>
              </w:rPr>
              <w:t>(11)</w:t>
            </w:r>
          </w:p>
        </w:tc>
        <w:tc>
          <w:tcPr>
            <w:tcW w:w="3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20" w:type="dxa"/>
            <w:vAlign w:val="bottom"/>
            <w:gridSpan w:val="2"/>
          </w:tcPr>
          <w:p>
            <w:pPr>
              <w:jc w:val="right"/>
              <w:ind w:right="320"/>
              <w:spacing w:after="0"/>
              <w:rPr>
                <w:sz w:val="20"/>
                <w:szCs w:val="20"/>
                <w:color w:val="auto"/>
              </w:rPr>
            </w:pPr>
            <w:r>
              <w:rPr>
                <w:rFonts w:ascii="Arial" w:cs="Arial" w:eastAsia="Arial" w:hAnsi="Arial"/>
                <w:sz w:val="18"/>
                <w:szCs w:val="18"/>
                <w:color w:val="auto"/>
              </w:rPr>
              <w:t>(46)</w:t>
            </w:r>
          </w:p>
        </w:tc>
        <w:tc>
          <w:tcPr>
            <w:tcW w:w="3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40" w:type="dxa"/>
            <w:vAlign w:val="bottom"/>
          </w:tcPr>
          <w:p>
            <w:pPr>
              <w:jc w:val="right"/>
              <w:spacing w:after="0"/>
              <w:rPr>
                <w:sz w:val="20"/>
                <w:szCs w:val="20"/>
                <w:color w:val="auto"/>
              </w:rPr>
            </w:pPr>
            <w:r>
              <w:rPr>
                <w:rFonts w:ascii="Arial" w:cs="Arial" w:eastAsia="Arial" w:hAnsi="Arial"/>
                <w:sz w:val="18"/>
                <w:szCs w:val="18"/>
                <w:color w:val="auto"/>
              </w:rPr>
              <w:t>25</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4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UTC Fire &amp; Security</w:t>
            </w:r>
          </w:p>
        </w:tc>
        <w:tc>
          <w:tcPr>
            <w:tcW w:w="10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620"/>
              <w:spacing w:after="0"/>
              <w:rPr>
                <w:sz w:val="20"/>
                <w:szCs w:val="20"/>
                <w:color w:val="auto"/>
              </w:rPr>
            </w:pPr>
            <w:r>
              <w:rPr>
                <w:rFonts w:ascii="Arial" w:cs="Arial" w:eastAsia="Arial" w:hAnsi="Arial"/>
                <w:sz w:val="18"/>
                <w:szCs w:val="18"/>
                <w:color w:val="auto"/>
              </w:rPr>
              <w:t>36</w:t>
            </w:r>
          </w:p>
        </w:tc>
        <w:tc>
          <w:tcPr>
            <w:tcW w:w="12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(4)</w:t>
            </w:r>
          </w:p>
        </w:tc>
        <w:tc>
          <w:tcPr>
            <w:tcW w:w="3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(26)</w:t>
            </w:r>
          </w:p>
        </w:tc>
        <w:tc>
          <w:tcPr>
            <w:tcW w:w="3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480" w:type="dxa"/>
            <w:vAlign w:val="bottom"/>
            <w:gridSpan w:val="2"/>
          </w:tcPr>
          <w:p>
            <w:pPr>
              <w:spacing w:after="0"/>
              <w:rPr>
                <w:sz w:val="20"/>
                <w:szCs w:val="20"/>
                <w:color w:val="auto"/>
              </w:rPr>
            </w:pPr>
            <w:r>
              <w:rPr>
                <w:rFonts w:ascii="Arial" w:cs="Arial" w:eastAsia="Arial" w:hAnsi="Arial"/>
                <w:sz w:val="18"/>
                <w:szCs w:val="18"/>
                <w:color w:val="auto"/>
              </w:rPr>
              <w:t>Pratt &amp; Whitney</w:t>
            </w:r>
          </w:p>
        </w:tc>
        <w:tc>
          <w:tcPr>
            <w:tcW w:w="100" w:type="dxa"/>
            <w:vAlign w:val="bottom"/>
          </w:tcPr>
          <w:p>
            <w:pPr>
              <w:spacing w:after="0"/>
              <w:rPr>
                <w:sz w:val="18"/>
                <w:szCs w:val="18"/>
                <w:color w:val="auto"/>
              </w:rPr>
            </w:pPr>
          </w:p>
        </w:tc>
        <w:tc>
          <w:tcPr>
            <w:tcW w:w="440" w:type="dxa"/>
            <w:vAlign w:val="bottom"/>
          </w:tcPr>
          <w:p>
            <w:pPr>
              <w:jc w:val="right"/>
              <w:spacing w:after="0"/>
              <w:rPr>
                <w:sz w:val="20"/>
                <w:szCs w:val="20"/>
                <w:color w:val="auto"/>
              </w:rPr>
            </w:pPr>
            <w:r>
              <w:rPr>
                <w:rFonts w:ascii="Arial" w:cs="Arial" w:eastAsia="Arial" w:hAnsi="Arial"/>
                <w:sz w:val="18"/>
                <w:szCs w:val="18"/>
                <w:color w:val="auto"/>
              </w:rPr>
              <w:t>61</w:t>
            </w:r>
          </w:p>
        </w:tc>
        <w:tc>
          <w:tcPr>
            <w:tcW w:w="6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40" w:type="dxa"/>
            <w:vAlign w:val="bottom"/>
            <w:gridSpan w:val="2"/>
          </w:tcPr>
          <w:p>
            <w:pPr>
              <w:jc w:val="right"/>
              <w:ind w:right="320"/>
              <w:spacing w:after="0"/>
              <w:rPr>
                <w:sz w:val="20"/>
                <w:szCs w:val="20"/>
                <w:color w:val="auto"/>
              </w:rPr>
            </w:pPr>
            <w:r>
              <w:rPr>
                <w:rFonts w:ascii="Arial" w:cs="Arial" w:eastAsia="Arial" w:hAnsi="Arial"/>
                <w:sz w:val="18"/>
                <w:szCs w:val="18"/>
                <w:color w:val="auto"/>
              </w:rPr>
              <w:t>(4)</w:t>
            </w:r>
          </w:p>
        </w:tc>
        <w:tc>
          <w:tcPr>
            <w:tcW w:w="3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20" w:type="dxa"/>
            <w:vAlign w:val="bottom"/>
            <w:gridSpan w:val="2"/>
          </w:tcPr>
          <w:p>
            <w:pPr>
              <w:jc w:val="right"/>
              <w:ind w:right="320"/>
              <w:spacing w:after="0"/>
              <w:rPr>
                <w:sz w:val="20"/>
                <w:szCs w:val="20"/>
                <w:color w:val="auto"/>
              </w:rPr>
            </w:pPr>
            <w:r>
              <w:rPr>
                <w:rFonts w:ascii="Arial" w:cs="Arial" w:eastAsia="Arial" w:hAnsi="Arial"/>
                <w:sz w:val="18"/>
                <w:szCs w:val="18"/>
                <w:color w:val="auto"/>
              </w:rPr>
              <w:t>(8)</w:t>
            </w:r>
          </w:p>
        </w:tc>
        <w:tc>
          <w:tcPr>
            <w:tcW w:w="3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40" w:type="dxa"/>
            <w:vAlign w:val="bottom"/>
          </w:tcPr>
          <w:p>
            <w:pPr>
              <w:jc w:val="right"/>
              <w:spacing w:after="0"/>
              <w:rPr>
                <w:sz w:val="20"/>
                <w:szCs w:val="20"/>
                <w:color w:val="auto"/>
              </w:rPr>
            </w:pPr>
            <w:r>
              <w:rPr>
                <w:rFonts w:ascii="Arial" w:cs="Arial" w:eastAsia="Arial" w:hAnsi="Arial"/>
                <w:sz w:val="18"/>
                <w:szCs w:val="18"/>
                <w:color w:val="auto"/>
              </w:rPr>
              <w:t>49</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1340" w:type="dxa"/>
            <w:vAlign w:val="bottom"/>
          </w:tcPr>
          <w:p>
            <w:pPr>
              <w:spacing w:after="0"/>
              <w:rPr>
                <w:sz w:val="2"/>
                <w:szCs w:val="2"/>
                <w:color w:val="auto"/>
              </w:rPr>
            </w:pPr>
          </w:p>
        </w:tc>
        <w:tc>
          <w:tcPr>
            <w:tcW w:w="514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440" w:type="dxa"/>
            <w:vAlign w:val="bottom"/>
            <w:shd w:val="clear" w:color="auto" w:fill="000000"/>
          </w:tcPr>
          <w:p>
            <w:pPr>
              <w:spacing w:after="0"/>
              <w:rPr>
                <w:sz w:val="2"/>
                <w:szCs w:val="2"/>
                <w:color w:val="auto"/>
              </w:rPr>
            </w:pPr>
          </w:p>
        </w:tc>
        <w:tc>
          <w:tcPr>
            <w:tcW w:w="62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760" w:type="dxa"/>
            <w:vAlign w:val="bottom"/>
            <w:shd w:val="clear" w:color="auto" w:fill="000000"/>
          </w:tcPr>
          <w:p>
            <w:pPr>
              <w:spacing w:after="0"/>
              <w:rPr>
                <w:sz w:val="2"/>
                <w:szCs w:val="2"/>
                <w:color w:val="auto"/>
              </w:rPr>
            </w:pPr>
          </w:p>
        </w:tc>
        <w:tc>
          <w:tcPr>
            <w:tcW w:w="380" w:type="dxa"/>
            <w:vAlign w:val="bottom"/>
          </w:tcPr>
          <w:p>
            <w:pPr>
              <w:spacing w:after="0"/>
              <w:rPr>
                <w:sz w:val="2"/>
                <w:szCs w:val="2"/>
                <w:color w:val="auto"/>
              </w:rPr>
            </w:pPr>
          </w:p>
        </w:tc>
        <w:tc>
          <w:tcPr>
            <w:tcW w:w="30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740" w:type="dxa"/>
            <w:vAlign w:val="bottom"/>
            <w:shd w:val="clear" w:color="auto" w:fill="000000"/>
          </w:tcPr>
          <w:p>
            <w:pPr>
              <w:spacing w:after="0"/>
              <w:rPr>
                <w:sz w:val="2"/>
                <w:szCs w:val="2"/>
                <w:color w:val="auto"/>
              </w:rPr>
            </w:pPr>
          </w:p>
        </w:tc>
        <w:tc>
          <w:tcPr>
            <w:tcW w:w="38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40" w:type="dxa"/>
            <w:vAlign w:val="bottom"/>
            <w:shd w:val="clear" w:color="auto" w:fill="000000"/>
          </w:tcPr>
          <w:p>
            <w:pPr>
              <w:spacing w:after="0"/>
              <w:rPr>
                <w:sz w:val="2"/>
                <w:szCs w:val="2"/>
                <w:color w:val="auto"/>
              </w:rPr>
            </w:pPr>
          </w:p>
        </w:tc>
        <w:tc>
          <w:tcPr>
            <w:tcW w:w="20" w:type="dxa"/>
            <w:vAlign w:val="bottom"/>
            <w:vMerge w:val="restart"/>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64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Total</w:t>
            </w:r>
          </w:p>
        </w:tc>
        <w:tc>
          <w:tcPr>
            <w:tcW w:w="100" w:type="dxa"/>
            <w:vAlign w:val="bottom"/>
            <w:shd w:val="clear" w:color="auto" w:fill="CCEEFF"/>
          </w:tcPr>
          <w:p>
            <w:pPr>
              <w:spacing w:after="0"/>
              <w:rPr>
                <w:sz w:val="20"/>
                <w:szCs w:val="20"/>
                <w:color w:val="auto"/>
              </w:rPr>
            </w:pPr>
            <w:r>
              <w:rPr>
                <w:rFonts w:ascii="Arial" w:cs="Arial" w:eastAsia="Arial" w:hAnsi="Arial"/>
                <w:sz w:val="18"/>
                <w:szCs w:val="18"/>
                <w:color w:val="auto"/>
                <w:w w:val="79"/>
              </w:rPr>
              <w:t>$</w:t>
            </w:r>
          </w:p>
        </w:tc>
        <w:tc>
          <w:tcPr>
            <w:tcW w:w="4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186</w:t>
            </w:r>
          </w:p>
        </w:tc>
        <w:tc>
          <w:tcPr>
            <w:tcW w:w="6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20"/>
                <w:szCs w:val="20"/>
                <w:color w:val="auto"/>
              </w:rPr>
            </w:pPr>
            <w:r>
              <w:rPr>
                <w:rFonts w:ascii="Arial" w:cs="Arial" w:eastAsia="Arial" w:hAnsi="Arial"/>
                <w:sz w:val="18"/>
                <w:szCs w:val="18"/>
                <w:color w:val="auto"/>
                <w:w w:val="99"/>
              </w:rPr>
              <w:t>$</w:t>
            </w:r>
          </w:p>
        </w:tc>
        <w:tc>
          <w:tcPr>
            <w:tcW w:w="114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(21)</w:t>
            </w:r>
          </w:p>
        </w:tc>
        <w:tc>
          <w:tcPr>
            <w:tcW w:w="440" w:type="dxa"/>
            <w:vAlign w:val="bottom"/>
            <w:gridSpan w:val="2"/>
            <w:shd w:val="clear" w:color="auto" w:fill="CCEEFF"/>
          </w:tcPr>
          <w:p>
            <w:pPr>
              <w:ind w:left="300"/>
              <w:spacing w:after="0"/>
              <w:rPr>
                <w:sz w:val="20"/>
                <w:szCs w:val="20"/>
                <w:color w:val="auto"/>
              </w:rPr>
            </w:pPr>
            <w:r>
              <w:rPr>
                <w:rFonts w:ascii="Arial" w:cs="Arial" w:eastAsia="Arial" w:hAnsi="Arial"/>
                <w:sz w:val="18"/>
                <w:szCs w:val="18"/>
                <w:color w:val="auto"/>
              </w:rPr>
              <w:t>$</w:t>
            </w:r>
          </w:p>
        </w:tc>
        <w:tc>
          <w:tcPr>
            <w:tcW w:w="112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(84)</w:t>
            </w:r>
          </w:p>
        </w:tc>
        <w:tc>
          <w:tcPr>
            <w:tcW w:w="4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81</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340" w:type="dxa"/>
            <w:vAlign w:val="bottom"/>
          </w:tcPr>
          <w:p>
            <w:pPr>
              <w:spacing w:after="0" w:line="20" w:lineRule="exact"/>
              <w:rPr>
                <w:sz w:val="1"/>
                <w:szCs w:val="1"/>
                <w:color w:val="auto"/>
              </w:rPr>
            </w:pPr>
          </w:p>
        </w:tc>
        <w:tc>
          <w:tcPr>
            <w:tcW w:w="51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61" w:lineRule="exact"/>
        <w:rPr>
          <w:sz w:val="20"/>
          <w:szCs w:val="20"/>
          <w:color w:val="auto"/>
        </w:rPr>
      </w:pPr>
    </w:p>
    <w:p>
      <w:pPr>
        <w:jc w:val="both"/>
        <w:ind w:right="220" w:firstLine="456"/>
        <w:spacing w:after="0" w:line="310" w:lineRule="auto"/>
        <w:rPr>
          <w:sz w:val="20"/>
          <w:szCs w:val="20"/>
          <w:color w:val="auto"/>
        </w:rPr>
      </w:pPr>
      <w:r>
        <w:rPr>
          <w:rFonts w:ascii="Arial" w:cs="Arial" w:eastAsia="Arial" w:hAnsi="Arial"/>
          <w:sz w:val="16"/>
          <w:szCs w:val="16"/>
          <w:b w:val="1"/>
          <w:bCs w:val="1"/>
          <w:color w:val="auto"/>
        </w:rPr>
        <w:t xml:space="preserve">2007 Actions. </w:t>
      </w:r>
      <w:r>
        <w:rPr>
          <w:rFonts w:ascii="Arial" w:cs="Arial" w:eastAsia="Arial" w:hAnsi="Arial"/>
          <w:sz w:val="16"/>
          <w:szCs w:val="16"/>
          <w:color w:val="auto"/>
        </w:rPr>
        <w:t>During the first six months of 2008, we recorded net pre-tax restructuring and related charges in the business segments totaling $6 million</w:t>
      </w:r>
      <w:r>
        <w:rPr>
          <w:rFonts w:ascii="Arial" w:cs="Arial" w:eastAsia="Arial" w:hAnsi="Arial"/>
          <w:sz w:val="16"/>
          <w:szCs w:val="16"/>
          <w:b w:val="1"/>
          <w:bCs w:val="1"/>
          <w:color w:val="auto"/>
        </w:rPr>
        <w:t xml:space="preserve"> </w:t>
      </w:r>
      <w:r>
        <w:rPr>
          <w:rFonts w:ascii="Arial" w:cs="Arial" w:eastAsia="Arial" w:hAnsi="Arial"/>
          <w:sz w:val="16"/>
          <w:szCs w:val="16"/>
          <w:color w:val="auto"/>
        </w:rPr>
        <w:t>for restructuring actions initiated in 2007, including $5 million in cost of sales and $1 million in selling, general and administrative expenses. The 2007 actions relate to ongoing cost reduction efforts, including workforce reductions and the consolidation of manufacturing facilities.</w:t>
      </w:r>
    </w:p>
    <w:p>
      <w:pPr>
        <w:spacing w:after="0" w:line="103" w:lineRule="exact"/>
        <w:rPr>
          <w:sz w:val="20"/>
          <w:szCs w:val="20"/>
          <w:color w:val="auto"/>
        </w:rPr>
      </w:pPr>
    </w:p>
    <w:p>
      <w:pPr>
        <w:ind w:right="180" w:firstLine="456"/>
        <w:spacing w:after="0" w:line="259" w:lineRule="auto"/>
        <w:rPr>
          <w:sz w:val="20"/>
          <w:szCs w:val="20"/>
          <w:color w:val="auto"/>
        </w:rPr>
      </w:pPr>
      <w:r>
        <w:rPr>
          <w:rFonts w:ascii="Arial" w:cs="Arial" w:eastAsia="Arial" w:hAnsi="Arial"/>
          <w:sz w:val="18"/>
          <w:szCs w:val="18"/>
          <w:color w:val="auto"/>
        </w:rPr>
        <w:t>As of June 30, 2008, net workforce reductions of approximately 1,500 employees of an expected 1,900 employees have been completed, and 200,000 net square feet of facilities of an expected 900,000 net square feet have been exited. The majority of the remaining workforce and facility related cost reduction actions are targeted for completion during 2008.</w:t>
      </w:r>
    </w:p>
    <w:p>
      <w:pPr>
        <w:spacing w:after="0" w:line="12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11</w:t>
      </w:r>
    </w:p>
    <w:p>
      <w:pPr>
        <w:sectPr>
          <w:pgSz w:w="11900" w:h="16838" w:orient="portrait"/>
          <w:cols w:equalWidth="0" w:num="1">
            <w:col w:w="11420"/>
          </w:cols>
          <w:pgMar w:left="240" w:top="459" w:right="239" w:bottom="1440" w:gutter="0" w:footer="0" w:header="0"/>
        </w:sectPr>
      </w:pPr>
    </w:p>
    <w:bookmarkStart w:id="11" w:name="page12"/>
    <w:bookmarkEnd w:id="1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following table summarizes the accrual balances and utilization by cost type for the 2007 restructuring actions:</w:t>
      </w:r>
    </w:p>
    <w:p>
      <w:pPr>
        <w:spacing w:after="0" w:line="195"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60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1260" w:type="dxa"/>
            <w:vAlign w:val="bottom"/>
            <w:gridSpan w:val="3"/>
          </w:tcPr>
          <w:p>
            <w:pPr>
              <w:spacing w:after="0"/>
              <w:rPr>
                <w:sz w:val="20"/>
                <w:szCs w:val="20"/>
                <w:color w:val="auto"/>
              </w:rPr>
            </w:pPr>
            <w:r>
              <w:rPr>
                <w:rFonts w:ascii="Arial" w:cs="Arial" w:eastAsia="Arial" w:hAnsi="Arial"/>
                <w:sz w:val="14"/>
                <w:szCs w:val="14"/>
                <w:b w:val="1"/>
                <w:bCs w:val="1"/>
                <w:color w:val="auto"/>
              </w:rPr>
              <w:t>Facility Exit</w:t>
            </w:r>
          </w:p>
        </w:tc>
        <w:tc>
          <w:tcPr>
            <w:tcW w:w="30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340" w:type="dxa"/>
            <w:vAlign w:val="bottom"/>
          </w:tcPr>
          <w:p>
            <w:pPr>
              <w:spacing w:after="0"/>
              <w:rPr>
                <w:sz w:val="12"/>
                <w:szCs w:val="12"/>
                <w:color w:val="auto"/>
              </w:rPr>
            </w:pPr>
          </w:p>
        </w:tc>
        <w:tc>
          <w:tcPr>
            <w:tcW w:w="60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1260" w:type="dxa"/>
            <w:vAlign w:val="bottom"/>
            <w:gridSpan w:val="3"/>
          </w:tcPr>
          <w:p>
            <w:pPr>
              <w:ind w:left="60"/>
              <w:spacing w:after="0" w:line="149" w:lineRule="exact"/>
              <w:rPr>
                <w:sz w:val="20"/>
                <w:szCs w:val="20"/>
                <w:color w:val="auto"/>
              </w:rPr>
            </w:pPr>
            <w:r>
              <w:rPr>
                <w:rFonts w:ascii="Arial" w:cs="Arial" w:eastAsia="Arial" w:hAnsi="Arial"/>
                <w:sz w:val="14"/>
                <w:szCs w:val="14"/>
                <w:b w:val="1"/>
                <w:bCs w:val="1"/>
                <w:color w:val="auto"/>
              </w:rPr>
              <w:t>and Lease</w:t>
            </w:r>
          </w:p>
        </w:tc>
        <w:tc>
          <w:tcPr>
            <w:tcW w:w="3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340" w:type="dxa"/>
            <w:vAlign w:val="bottom"/>
          </w:tcPr>
          <w:p>
            <w:pPr>
              <w:spacing w:after="0"/>
              <w:rPr>
                <w:sz w:val="12"/>
                <w:szCs w:val="12"/>
                <w:color w:val="auto"/>
              </w:rPr>
            </w:pPr>
          </w:p>
        </w:tc>
        <w:tc>
          <w:tcPr>
            <w:tcW w:w="60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620" w:type="dxa"/>
            <w:vAlign w:val="bottom"/>
          </w:tcPr>
          <w:p>
            <w:pPr>
              <w:ind w:left="60"/>
              <w:spacing w:after="0" w:line="149" w:lineRule="exact"/>
              <w:rPr>
                <w:sz w:val="20"/>
                <w:szCs w:val="20"/>
                <w:color w:val="auto"/>
              </w:rPr>
            </w:pPr>
            <w:r>
              <w:rPr>
                <w:rFonts w:ascii="Arial" w:cs="Arial" w:eastAsia="Arial" w:hAnsi="Arial"/>
                <w:sz w:val="14"/>
                <w:szCs w:val="14"/>
                <w:b w:val="1"/>
                <w:bCs w:val="1"/>
                <w:color w:val="auto"/>
              </w:rPr>
              <w:t>Asset</w:t>
            </w:r>
          </w:p>
        </w:tc>
        <w:tc>
          <w:tcPr>
            <w:tcW w:w="480" w:type="dxa"/>
            <w:vAlign w:val="bottom"/>
          </w:tcPr>
          <w:p>
            <w:pPr>
              <w:spacing w:after="0"/>
              <w:rPr>
                <w:sz w:val="12"/>
                <w:szCs w:val="12"/>
                <w:color w:val="auto"/>
              </w:rPr>
            </w:pPr>
          </w:p>
        </w:tc>
        <w:tc>
          <w:tcPr>
            <w:tcW w:w="1260" w:type="dxa"/>
            <w:vAlign w:val="bottom"/>
            <w:gridSpan w:val="3"/>
          </w:tcPr>
          <w:p>
            <w:pPr>
              <w:spacing w:after="0" w:line="149" w:lineRule="exact"/>
              <w:rPr>
                <w:sz w:val="20"/>
                <w:szCs w:val="20"/>
                <w:color w:val="auto"/>
              </w:rPr>
            </w:pPr>
            <w:r>
              <w:rPr>
                <w:rFonts w:ascii="Arial" w:cs="Arial" w:eastAsia="Arial" w:hAnsi="Arial"/>
                <w:sz w:val="14"/>
                <w:szCs w:val="14"/>
                <w:b w:val="1"/>
                <w:bCs w:val="1"/>
                <w:color w:val="auto"/>
              </w:rPr>
              <w:t>Termination</w:t>
            </w:r>
          </w:p>
        </w:tc>
        <w:tc>
          <w:tcPr>
            <w:tcW w:w="3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1"/>
        </w:trPr>
        <w:tc>
          <w:tcPr>
            <w:tcW w:w="7400" w:type="dxa"/>
            <w:vAlign w:val="bottom"/>
            <w:gridSpan w:val="3"/>
          </w:tcPr>
          <w:p>
            <w:pPr>
              <w:spacing w:after="0"/>
              <w:rPr>
                <w:sz w:val="20"/>
                <w:szCs w:val="20"/>
                <w:color w:val="auto"/>
              </w:rPr>
            </w:pPr>
            <w:r>
              <w:rPr>
                <w:rFonts w:ascii="Arial" w:cs="Arial" w:eastAsia="Arial" w:hAnsi="Arial"/>
                <w:sz w:val="14"/>
                <w:szCs w:val="14"/>
                <w:b w:val="1"/>
                <w:bCs w:val="1"/>
                <w:color w:val="auto"/>
              </w:rPr>
              <w:t>(in millions of dollars)</w:t>
            </w:r>
          </w:p>
        </w:tc>
        <w:tc>
          <w:tcPr>
            <w:tcW w:w="880" w:type="dxa"/>
            <w:vAlign w:val="bottom"/>
            <w:gridSpan w:val="3"/>
          </w:tcPr>
          <w:p>
            <w:pPr>
              <w:spacing w:after="0"/>
              <w:rPr>
                <w:sz w:val="20"/>
                <w:szCs w:val="20"/>
                <w:color w:val="auto"/>
              </w:rPr>
            </w:pPr>
            <w:r>
              <w:rPr>
                <w:rFonts w:ascii="Arial" w:cs="Arial" w:eastAsia="Arial" w:hAnsi="Arial"/>
                <w:sz w:val="14"/>
                <w:szCs w:val="14"/>
                <w:b w:val="1"/>
                <w:bCs w:val="1"/>
                <w:color w:val="auto"/>
              </w:rPr>
              <w:t>Severance</w:t>
            </w:r>
          </w:p>
        </w:tc>
        <w:tc>
          <w:tcPr>
            <w:tcW w:w="240" w:type="dxa"/>
            <w:vAlign w:val="bottom"/>
          </w:tcPr>
          <w:p>
            <w:pPr>
              <w:spacing w:after="0"/>
              <w:rPr>
                <w:sz w:val="14"/>
                <w:szCs w:val="14"/>
                <w:color w:val="auto"/>
              </w:rPr>
            </w:pPr>
          </w:p>
        </w:tc>
        <w:tc>
          <w:tcPr>
            <w:tcW w:w="800" w:type="dxa"/>
            <w:vAlign w:val="bottom"/>
            <w:gridSpan w:val="2"/>
          </w:tcPr>
          <w:p>
            <w:pPr>
              <w:ind w:left="20"/>
              <w:spacing w:after="0"/>
              <w:rPr>
                <w:sz w:val="20"/>
                <w:szCs w:val="20"/>
                <w:color w:val="auto"/>
              </w:rPr>
            </w:pPr>
            <w:r>
              <w:rPr>
                <w:rFonts w:ascii="Arial" w:cs="Arial" w:eastAsia="Arial" w:hAnsi="Arial"/>
                <w:sz w:val="14"/>
                <w:szCs w:val="14"/>
                <w:b w:val="1"/>
                <w:bCs w:val="1"/>
                <w:color w:val="auto"/>
                <w:w w:val="88"/>
              </w:rPr>
              <w:t>Write-Downs</w:t>
            </w:r>
          </w:p>
        </w:tc>
        <w:tc>
          <w:tcPr>
            <w:tcW w:w="4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120" w:type="dxa"/>
            <w:vAlign w:val="bottom"/>
            <w:gridSpan w:val="2"/>
          </w:tcPr>
          <w:p>
            <w:pPr>
              <w:jc w:val="right"/>
              <w:ind w:right="740"/>
              <w:spacing w:after="0"/>
              <w:rPr>
                <w:sz w:val="20"/>
                <w:szCs w:val="20"/>
                <w:color w:val="auto"/>
              </w:rPr>
            </w:pPr>
            <w:r>
              <w:rPr>
                <w:rFonts w:ascii="Arial" w:cs="Arial" w:eastAsia="Arial" w:hAnsi="Arial"/>
                <w:sz w:val="14"/>
                <w:szCs w:val="14"/>
                <w:b w:val="1"/>
                <w:bCs w:val="1"/>
                <w:color w:val="auto"/>
                <w:w w:val="92"/>
              </w:rPr>
              <w:t>Costs</w:t>
            </w:r>
          </w:p>
        </w:tc>
        <w:tc>
          <w:tcPr>
            <w:tcW w:w="360" w:type="dxa"/>
            <w:vAlign w:val="bottom"/>
            <w:gridSpan w:val="2"/>
          </w:tcPr>
          <w:p>
            <w:pPr>
              <w:jc w:val="right"/>
              <w:ind w:right="60"/>
              <w:spacing w:after="0"/>
              <w:rPr>
                <w:sz w:val="20"/>
                <w:szCs w:val="20"/>
                <w:color w:val="auto"/>
              </w:rPr>
            </w:pPr>
            <w:r>
              <w:rPr>
                <w:rFonts w:ascii="Arial" w:cs="Arial" w:eastAsia="Arial" w:hAnsi="Arial"/>
                <w:sz w:val="14"/>
                <w:szCs w:val="14"/>
                <w:b w:val="1"/>
                <w:bCs w:val="1"/>
                <w:color w:val="auto"/>
                <w:w w:val="83"/>
              </w:rPr>
              <w:t>Total</w:t>
            </w:r>
          </w:p>
        </w:tc>
        <w:tc>
          <w:tcPr>
            <w:tcW w:w="0" w:type="dxa"/>
            <w:vAlign w:val="bottom"/>
          </w:tcPr>
          <w:p>
            <w:pPr>
              <w:spacing w:after="0"/>
              <w:rPr>
                <w:sz w:val="1"/>
                <w:szCs w:val="1"/>
                <w:color w:val="auto"/>
              </w:rPr>
            </w:pPr>
          </w:p>
        </w:tc>
      </w:tr>
      <w:tr>
        <w:trPr>
          <w:trHeight w:val="20"/>
        </w:trPr>
        <w:tc>
          <w:tcPr>
            <w:tcW w:w="20" w:type="dxa"/>
            <w:vAlign w:val="bottom"/>
            <w:vMerge w:val="restart"/>
          </w:tcPr>
          <w:p>
            <w:pPr>
              <w:spacing w:after="0" w:line="20" w:lineRule="exact"/>
              <w:rPr>
                <w:sz w:val="1"/>
                <w:szCs w:val="1"/>
                <w:color w:val="auto"/>
              </w:rPr>
            </w:pPr>
          </w:p>
        </w:tc>
        <w:tc>
          <w:tcPr>
            <w:tcW w:w="1340" w:type="dxa"/>
            <w:vAlign w:val="bottom"/>
            <w:shd w:val="clear" w:color="auto" w:fill="000000"/>
          </w:tcPr>
          <w:p>
            <w:pPr>
              <w:spacing w:after="0" w:line="20" w:lineRule="exact"/>
              <w:rPr>
                <w:sz w:val="1"/>
                <w:szCs w:val="1"/>
                <w:color w:val="auto"/>
              </w:rPr>
            </w:pPr>
          </w:p>
        </w:tc>
        <w:tc>
          <w:tcPr>
            <w:tcW w:w="6040" w:type="dxa"/>
            <w:vAlign w:val="bottom"/>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380" w:type="dxa"/>
            <w:vAlign w:val="bottom"/>
            <w:shd w:val="clear" w:color="auto" w:fill="000000"/>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vMerge w:val="continue"/>
          </w:tcPr>
          <w:p>
            <w:pPr>
              <w:spacing w:after="0"/>
              <w:rPr>
                <w:sz w:val="18"/>
                <w:szCs w:val="18"/>
                <w:color w:val="auto"/>
              </w:rPr>
            </w:pPr>
          </w:p>
        </w:tc>
        <w:tc>
          <w:tcPr>
            <w:tcW w:w="73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Restructuring accruals at March 31, 2008</w:t>
            </w:r>
          </w:p>
        </w:tc>
        <w:tc>
          <w:tcPr>
            <w:tcW w:w="20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3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w:t>
            </w:r>
          </w:p>
        </w:tc>
        <w:tc>
          <w:tcPr>
            <w:tcW w:w="300" w:type="dxa"/>
            <w:vAlign w:val="bottom"/>
            <w:shd w:val="clear" w:color="auto" w:fill="CCEEFF"/>
          </w:tcPr>
          <w:p>
            <w:pPr>
              <w:spacing w:after="0"/>
              <w:rPr>
                <w:sz w:val="18"/>
                <w:szCs w:val="18"/>
                <w:color w:val="auto"/>
              </w:rPr>
            </w:pPr>
          </w:p>
        </w:tc>
        <w:tc>
          <w:tcPr>
            <w:tcW w:w="420" w:type="dxa"/>
            <w:vAlign w:val="bottom"/>
            <w:gridSpan w:val="2"/>
            <w:shd w:val="clear" w:color="auto" w:fill="CCEEFF"/>
          </w:tcPr>
          <w:p>
            <w:pPr>
              <w:ind w:left="240"/>
              <w:spacing w:after="0"/>
              <w:rPr>
                <w:sz w:val="20"/>
                <w:szCs w:val="20"/>
                <w:color w:val="auto"/>
              </w:rPr>
            </w:pPr>
            <w:r>
              <w:rPr>
                <w:rFonts w:ascii="Arial" w:cs="Arial" w:eastAsia="Arial" w:hAnsi="Arial"/>
                <w:sz w:val="18"/>
                <w:szCs w:val="18"/>
                <w:color w:val="auto"/>
              </w:rPr>
              <w:t>$</w:t>
            </w:r>
          </w:p>
        </w:tc>
        <w:tc>
          <w:tcPr>
            <w:tcW w:w="620" w:type="dxa"/>
            <w:vAlign w:val="bottom"/>
            <w:shd w:val="clear" w:color="auto" w:fill="CCEEFF"/>
          </w:tcPr>
          <w:p>
            <w:pPr>
              <w:ind w:left="340"/>
              <w:spacing w:after="0"/>
              <w:rPr>
                <w:sz w:val="20"/>
                <w:szCs w:val="20"/>
                <w:color w:val="auto"/>
              </w:rPr>
            </w:pPr>
            <w:r>
              <w:rPr>
                <w:rFonts w:ascii="Arial" w:cs="Arial" w:eastAsia="Arial" w:hAnsi="Arial"/>
                <w:sz w:val="18"/>
                <w:szCs w:val="18"/>
                <w:color w:val="auto"/>
              </w:rPr>
              <w:t>—</w:t>
            </w:r>
          </w:p>
        </w:tc>
        <w:tc>
          <w:tcPr>
            <w:tcW w:w="620" w:type="dxa"/>
            <w:vAlign w:val="bottom"/>
            <w:gridSpan w:val="2"/>
            <w:shd w:val="clear" w:color="auto" w:fill="CCEEFF"/>
          </w:tcPr>
          <w:p>
            <w:pPr>
              <w:ind w:left="480"/>
              <w:spacing w:after="0"/>
              <w:rPr>
                <w:sz w:val="20"/>
                <w:szCs w:val="20"/>
                <w:color w:val="auto"/>
              </w:rPr>
            </w:pPr>
            <w:r>
              <w:rPr>
                <w:rFonts w:ascii="Arial" w:cs="Arial" w:eastAsia="Arial" w:hAnsi="Arial"/>
                <w:sz w:val="18"/>
                <w:szCs w:val="18"/>
                <w:color w:val="auto"/>
              </w:rPr>
              <w:t>$</w:t>
            </w:r>
          </w:p>
        </w:tc>
        <w:tc>
          <w:tcPr>
            <w:tcW w:w="1120" w:type="dxa"/>
            <w:vAlign w:val="bottom"/>
            <w:gridSpan w:val="2"/>
            <w:shd w:val="clear" w:color="auto" w:fill="CCEEFF"/>
          </w:tcPr>
          <w:p>
            <w:pPr>
              <w:jc w:val="right"/>
              <w:ind w:right="540"/>
              <w:spacing w:after="0"/>
              <w:rPr>
                <w:sz w:val="20"/>
                <w:szCs w:val="20"/>
                <w:color w:val="auto"/>
              </w:rPr>
            </w:pPr>
            <w:r>
              <w:rPr>
                <w:rFonts w:ascii="Arial" w:cs="Arial" w:eastAsia="Arial" w:hAnsi="Arial"/>
                <w:sz w:val="18"/>
                <w:szCs w:val="18"/>
                <w:color w:val="auto"/>
              </w:rPr>
              <w:t>5</w:t>
            </w:r>
          </w:p>
        </w:tc>
        <w:tc>
          <w:tcPr>
            <w:tcW w:w="3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$ 18</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380" w:type="dxa"/>
            <w:vAlign w:val="bottom"/>
            <w:gridSpan w:val="2"/>
          </w:tcPr>
          <w:p>
            <w:pPr>
              <w:spacing w:after="0"/>
              <w:rPr>
                <w:sz w:val="20"/>
                <w:szCs w:val="20"/>
                <w:color w:val="auto"/>
              </w:rPr>
            </w:pPr>
            <w:r>
              <w:rPr>
                <w:rFonts w:ascii="Arial" w:cs="Arial" w:eastAsia="Arial" w:hAnsi="Arial"/>
                <w:sz w:val="18"/>
                <w:szCs w:val="18"/>
                <w:color w:val="auto"/>
              </w:rPr>
              <w:t>Net pre-tax restructuring charges</w:t>
            </w:r>
          </w:p>
        </w:tc>
        <w:tc>
          <w:tcPr>
            <w:tcW w:w="200" w:type="dxa"/>
            <w:vAlign w:val="bottom"/>
          </w:tcPr>
          <w:p>
            <w:pPr>
              <w:spacing w:after="0"/>
              <w:rPr>
                <w:sz w:val="18"/>
                <w:szCs w:val="18"/>
                <w:color w:val="auto"/>
              </w:rPr>
            </w:pPr>
          </w:p>
        </w:tc>
        <w:tc>
          <w:tcPr>
            <w:tcW w:w="680" w:type="dxa"/>
            <w:vAlign w:val="bottom"/>
            <w:gridSpan w:val="2"/>
          </w:tcPr>
          <w:p>
            <w:pPr>
              <w:jc w:val="right"/>
              <w:ind w:right="380"/>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20" w:type="dxa"/>
            <w:vAlign w:val="bottom"/>
          </w:tcPr>
          <w:p>
            <w:pPr>
              <w:ind w:left="340"/>
              <w:spacing w:after="0"/>
              <w:rPr>
                <w:sz w:val="20"/>
                <w:szCs w:val="20"/>
                <w:color w:val="auto"/>
              </w:rPr>
            </w:pPr>
            <w:r>
              <w:rPr>
                <w:rFonts w:ascii="Arial" w:cs="Arial" w:eastAsia="Arial" w:hAnsi="Arial"/>
                <w:sz w:val="18"/>
                <w:szCs w:val="18"/>
                <w:color w:val="auto"/>
              </w:rPr>
              <w:t>—</w:t>
            </w:r>
          </w:p>
        </w:tc>
        <w:tc>
          <w:tcPr>
            <w:tcW w:w="4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20" w:type="dxa"/>
            <w:vAlign w:val="bottom"/>
            <w:gridSpan w:val="2"/>
          </w:tcPr>
          <w:p>
            <w:pPr>
              <w:jc w:val="right"/>
              <w:ind w:right="540"/>
              <w:spacing w:after="0"/>
              <w:rPr>
                <w:sz w:val="20"/>
                <w:szCs w:val="20"/>
                <w:color w:val="auto"/>
              </w:rPr>
            </w:pPr>
            <w:r>
              <w:rPr>
                <w:rFonts w:ascii="Arial" w:cs="Arial" w:eastAsia="Arial" w:hAnsi="Arial"/>
                <w:sz w:val="18"/>
                <w:szCs w:val="18"/>
                <w:color w:val="auto"/>
              </w:rPr>
              <w:t>1</w:t>
            </w:r>
          </w:p>
        </w:tc>
        <w:tc>
          <w:tcPr>
            <w:tcW w:w="300" w:type="dxa"/>
            <w:vAlign w:val="bottom"/>
          </w:tcPr>
          <w:p>
            <w:pPr>
              <w:jc w:val="right"/>
              <w:spacing w:after="0"/>
              <w:rPr>
                <w:sz w:val="20"/>
                <w:szCs w:val="20"/>
                <w:color w:val="auto"/>
              </w:rPr>
            </w:pPr>
            <w:r>
              <w:rPr>
                <w:rFonts w:ascii="Arial" w:cs="Arial" w:eastAsia="Arial" w:hAnsi="Arial"/>
                <w:sz w:val="18"/>
                <w:szCs w:val="18"/>
                <w:color w:val="auto"/>
              </w:rPr>
              <w:t>1</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3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Utilization</w:t>
            </w:r>
          </w:p>
        </w:tc>
        <w:tc>
          <w:tcPr>
            <w:tcW w:w="20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(4)</w:t>
            </w:r>
          </w:p>
        </w:tc>
        <w:tc>
          <w:tcPr>
            <w:tcW w:w="2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20" w:type="dxa"/>
            <w:vAlign w:val="bottom"/>
            <w:shd w:val="clear" w:color="auto" w:fill="CCEEFF"/>
          </w:tcPr>
          <w:p>
            <w:pPr>
              <w:ind w:left="340"/>
              <w:spacing w:after="0"/>
              <w:rPr>
                <w:sz w:val="20"/>
                <w:szCs w:val="20"/>
                <w:color w:val="auto"/>
              </w:rPr>
            </w:pPr>
            <w:r>
              <w:rPr>
                <w:rFonts w:ascii="Arial" w:cs="Arial" w:eastAsia="Arial" w:hAnsi="Arial"/>
                <w:sz w:val="18"/>
                <w:szCs w:val="18"/>
                <w:color w:val="auto"/>
              </w:rPr>
              <w:t>—</w:t>
            </w:r>
          </w:p>
        </w:tc>
        <w:tc>
          <w:tcPr>
            <w:tcW w:w="4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480"/>
              <w:spacing w:after="0"/>
              <w:rPr>
                <w:sz w:val="20"/>
                <w:szCs w:val="20"/>
                <w:color w:val="auto"/>
              </w:rPr>
            </w:pPr>
            <w:r>
              <w:rPr>
                <w:rFonts w:ascii="Arial" w:cs="Arial" w:eastAsia="Arial" w:hAnsi="Arial"/>
                <w:sz w:val="18"/>
                <w:szCs w:val="18"/>
                <w:color w:val="auto"/>
              </w:rPr>
              <w:t>(1)</w:t>
            </w:r>
          </w:p>
        </w:tc>
        <w:tc>
          <w:tcPr>
            <w:tcW w:w="3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(5)</w:t>
            </w:r>
          </w:p>
        </w:tc>
        <w:tc>
          <w:tcPr>
            <w:tcW w:w="0" w:type="dxa"/>
            <w:vAlign w:val="bottom"/>
          </w:tcPr>
          <w:p>
            <w:pPr>
              <w:spacing w:after="0"/>
              <w:rPr>
                <w:sz w:val="1"/>
                <w:szCs w:val="1"/>
                <w:color w:val="auto"/>
              </w:rPr>
            </w:pPr>
          </w:p>
        </w:tc>
      </w:tr>
      <w:tr>
        <w:trPr>
          <w:trHeight w:val="20"/>
        </w:trPr>
        <w:tc>
          <w:tcPr>
            <w:tcW w:w="7400" w:type="dxa"/>
            <w:vAlign w:val="bottom"/>
            <w:gridSpan w:val="3"/>
            <w:vMerge w:val="restart"/>
          </w:tcPr>
          <w:p>
            <w:pPr>
              <w:spacing w:after="0"/>
              <w:rPr>
                <w:sz w:val="20"/>
                <w:szCs w:val="20"/>
                <w:color w:val="auto"/>
              </w:rPr>
            </w:pPr>
            <w:r>
              <w:rPr>
                <w:rFonts w:ascii="Arial" w:cs="Arial" w:eastAsia="Arial" w:hAnsi="Arial"/>
                <w:sz w:val="18"/>
                <w:szCs w:val="18"/>
                <w:color w:val="auto"/>
              </w:rPr>
              <w:t>Balance at June 30, 2008</w:t>
            </w:r>
          </w:p>
        </w:tc>
        <w:tc>
          <w:tcPr>
            <w:tcW w:w="200" w:type="dxa"/>
            <w:vAlign w:val="bottom"/>
            <w:shd w:val="clear" w:color="auto" w:fill="000000"/>
          </w:tcPr>
          <w:p>
            <w:pPr>
              <w:spacing w:after="0" w:line="20" w:lineRule="exact"/>
              <w:rPr>
                <w:sz w:val="1"/>
                <w:szCs w:val="1"/>
                <w:color w:val="auto"/>
              </w:rPr>
            </w:pPr>
          </w:p>
        </w:tc>
        <w:tc>
          <w:tcPr>
            <w:tcW w:w="380" w:type="dxa"/>
            <w:vAlign w:val="bottom"/>
            <w:shd w:val="clear" w:color="auto" w:fill="000000"/>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2"/>
        </w:trPr>
        <w:tc>
          <w:tcPr>
            <w:tcW w:w="7400" w:type="dxa"/>
            <w:vAlign w:val="bottom"/>
            <w:gridSpan w:val="3"/>
            <w:vMerge w:val="continue"/>
          </w:tcPr>
          <w:p>
            <w:pPr>
              <w:spacing w:after="0"/>
              <w:rPr>
                <w:sz w:val="19"/>
                <w:szCs w:val="19"/>
                <w:color w:val="auto"/>
              </w:rPr>
            </w:pPr>
          </w:p>
        </w:tc>
        <w:tc>
          <w:tcPr>
            <w:tcW w:w="200" w:type="dxa"/>
            <w:vAlign w:val="bottom"/>
          </w:tcPr>
          <w:p>
            <w:pPr>
              <w:spacing w:after="0"/>
              <w:rPr>
                <w:sz w:val="20"/>
                <w:szCs w:val="20"/>
                <w:color w:val="auto"/>
              </w:rPr>
            </w:pPr>
            <w:r>
              <w:rPr>
                <w:rFonts w:ascii="Arial" w:cs="Arial" w:eastAsia="Arial" w:hAnsi="Arial"/>
                <w:sz w:val="18"/>
                <w:szCs w:val="18"/>
                <w:color w:val="auto"/>
              </w:rPr>
              <w:t>$</w:t>
            </w:r>
          </w:p>
        </w:tc>
        <w:tc>
          <w:tcPr>
            <w:tcW w:w="380" w:type="dxa"/>
            <w:vAlign w:val="bottom"/>
          </w:tcPr>
          <w:p>
            <w:pPr>
              <w:jc w:val="right"/>
              <w:spacing w:after="0"/>
              <w:rPr>
                <w:sz w:val="20"/>
                <w:szCs w:val="20"/>
                <w:color w:val="auto"/>
              </w:rPr>
            </w:pPr>
            <w:r>
              <w:rPr>
                <w:rFonts w:ascii="Arial" w:cs="Arial" w:eastAsia="Arial" w:hAnsi="Arial"/>
                <w:sz w:val="18"/>
                <w:szCs w:val="18"/>
                <w:color w:val="auto"/>
              </w:rPr>
              <w:t>9</w:t>
            </w:r>
          </w:p>
        </w:tc>
        <w:tc>
          <w:tcPr>
            <w:tcW w:w="3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80" w:type="dxa"/>
            <w:vAlign w:val="bottom"/>
          </w:tcPr>
          <w:p>
            <w:pPr>
              <w:spacing w:after="0"/>
              <w:rPr>
                <w:sz w:val="20"/>
                <w:szCs w:val="20"/>
                <w:color w:val="auto"/>
              </w:rPr>
            </w:pPr>
            <w:r>
              <w:rPr>
                <w:rFonts w:ascii="Arial" w:cs="Arial" w:eastAsia="Arial" w:hAnsi="Arial"/>
                <w:sz w:val="18"/>
                <w:szCs w:val="18"/>
                <w:color w:val="auto"/>
              </w:rPr>
              <w:t>$</w:t>
            </w:r>
          </w:p>
        </w:tc>
        <w:tc>
          <w:tcPr>
            <w:tcW w:w="620" w:type="dxa"/>
            <w:vAlign w:val="bottom"/>
          </w:tcPr>
          <w:p>
            <w:pPr>
              <w:ind w:left="340"/>
              <w:spacing w:after="0"/>
              <w:rPr>
                <w:sz w:val="20"/>
                <w:szCs w:val="20"/>
                <w:color w:val="auto"/>
              </w:rPr>
            </w:pPr>
            <w:r>
              <w:rPr>
                <w:rFonts w:ascii="Arial" w:cs="Arial" w:eastAsia="Arial" w:hAnsi="Arial"/>
                <w:sz w:val="18"/>
                <w:szCs w:val="18"/>
                <w:color w:val="auto"/>
              </w:rPr>
              <w:t>—</w:t>
            </w:r>
          </w:p>
        </w:tc>
        <w:tc>
          <w:tcPr>
            <w:tcW w:w="620" w:type="dxa"/>
            <w:vAlign w:val="bottom"/>
            <w:gridSpan w:val="2"/>
          </w:tcPr>
          <w:p>
            <w:pPr>
              <w:ind w:left="480"/>
              <w:spacing w:after="0"/>
              <w:rPr>
                <w:sz w:val="20"/>
                <w:szCs w:val="20"/>
                <w:color w:val="auto"/>
              </w:rPr>
            </w:pPr>
            <w:r>
              <w:rPr>
                <w:rFonts w:ascii="Arial" w:cs="Arial" w:eastAsia="Arial" w:hAnsi="Arial"/>
                <w:sz w:val="18"/>
                <w:szCs w:val="18"/>
                <w:color w:val="auto"/>
              </w:rPr>
              <w:t>$</w:t>
            </w:r>
          </w:p>
        </w:tc>
        <w:tc>
          <w:tcPr>
            <w:tcW w:w="1120" w:type="dxa"/>
            <w:vAlign w:val="bottom"/>
            <w:gridSpan w:val="2"/>
          </w:tcPr>
          <w:p>
            <w:pPr>
              <w:jc w:val="right"/>
              <w:ind w:right="540"/>
              <w:spacing w:after="0"/>
              <w:rPr>
                <w:sz w:val="20"/>
                <w:szCs w:val="20"/>
                <w:color w:val="auto"/>
              </w:rPr>
            </w:pPr>
            <w:r>
              <w:rPr>
                <w:rFonts w:ascii="Arial" w:cs="Arial" w:eastAsia="Arial" w:hAnsi="Arial"/>
                <w:sz w:val="18"/>
                <w:szCs w:val="18"/>
                <w:color w:val="auto"/>
              </w:rPr>
              <w:t>5</w:t>
            </w:r>
          </w:p>
        </w:tc>
        <w:tc>
          <w:tcPr>
            <w:tcW w:w="300" w:type="dxa"/>
            <w:vAlign w:val="bottom"/>
          </w:tcPr>
          <w:p>
            <w:pPr>
              <w:jc w:val="right"/>
              <w:spacing w:after="0"/>
              <w:rPr>
                <w:sz w:val="20"/>
                <w:szCs w:val="20"/>
                <w:color w:val="auto"/>
              </w:rPr>
            </w:pPr>
            <w:r>
              <w:rPr>
                <w:rFonts w:ascii="Arial" w:cs="Arial" w:eastAsia="Arial" w:hAnsi="Arial"/>
                <w:sz w:val="18"/>
                <w:szCs w:val="18"/>
                <w:color w:val="auto"/>
                <w:w w:val="79"/>
              </w:rPr>
              <w:t>$ 14</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340" w:type="dxa"/>
            <w:vAlign w:val="bottom"/>
          </w:tcPr>
          <w:p>
            <w:pPr>
              <w:spacing w:after="0" w:line="20" w:lineRule="exact"/>
              <w:rPr>
                <w:sz w:val="1"/>
                <w:szCs w:val="1"/>
                <w:color w:val="auto"/>
              </w:rPr>
            </w:pPr>
          </w:p>
        </w:tc>
        <w:tc>
          <w:tcPr>
            <w:tcW w:w="604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67"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following table summarizes expected, incurred and remaining costs for the 2007 restructuring actions by type:</w:t>
      </w:r>
    </w:p>
    <w:p>
      <w:pPr>
        <w:spacing w:after="0" w:line="195"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59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240" w:type="dxa"/>
            <w:vAlign w:val="bottom"/>
            <w:gridSpan w:val="3"/>
          </w:tcPr>
          <w:p>
            <w:pPr>
              <w:jc w:val="right"/>
              <w:ind w:right="540"/>
              <w:spacing w:after="0"/>
              <w:rPr>
                <w:sz w:val="20"/>
                <w:szCs w:val="20"/>
                <w:color w:val="auto"/>
              </w:rPr>
            </w:pPr>
            <w:r>
              <w:rPr>
                <w:rFonts w:ascii="Arial" w:cs="Arial" w:eastAsia="Arial" w:hAnsi="Arial"/>
                <w:sz w:val="14"/>
                <w:szCs w:val="14"/>
                <w:b w:val="1"/>
                <w:bCs w:val="1"/>
                <w:color w:val="auto"/>
                <w:w w:val="87"/>
              </w:rPr>
              <w:t>Facility Exit</w:t>
            </w:r>
          </w:p>
        </w:tc>
        <w:tc>
          <w:tcPr>
            <w:tcW w:w="8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340" w:type="dxa"/>
            <w:vAlign w:val="bottom"/>
          </w:tcPr>
          <w:p>
            <w:pPr>
              <w:spacing w:after="0"/>
              <w:rPr>
                <w:sz w:val="12"/>
                <w:szCs w:val="12"/>
                <w:color w:val="auto"/>
              </w:rPr>
            </w:pPr>
          </w:p>
        </w:tc>
        <w:tc>
          <w:tcPr>
            <w:tcW w:w="59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240" w:type="dxa"/>
            <w:vAlign w:val="bottom"/>
            <w:gridSpan w:val="3"/>
          </w:tcPr>
          <w:p>
            <w:pPr>
              <w:jc w:val="right"/>
              <w:ind w:right="600"/>
              <w:spacing w:after="0" w:line="149" w:lineRule="exact"/>
              <w:rPr>
                <w:sz w:val="20"/>
                <w:szCs w:val="20"/>
                <w:color w:val="auto"/>
              </w:rPr>
            </w:pPr>
            <w:r>
              <w:rPr>
                <w:rFonts w:ascii="Arial" w:cs="Arial" w:eastAsia="Arial" w:hAnsi="Arial"/>
                <w:sz w:val="14"/>
                <w:szCs w:val="14"/>
                <w:b w:val="1"/>
                <w:bCs w:val="1"/>
                <w:color w:val="auto"/>
                <w:w w:val="90"/>
              </w:rPr>
              <w:t>and Lease</w:t>
            </w:r>
          </w:p>
        </w:tc>
        <w:tc>
          <w:tcPr>
            <w:tcW w:w="8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340" w:type="dxa"/>
            <w:vAlign w:val="bottom"/>
          </w:tcPr>
          <w:p>
            <w:pPr>
              <w:spacing w:after="0"/>
              <w:rPr>
                <w:sz w:val="12"/>
                <w:szCs w:val="12"/>
                <w:color w:val="auto"/>
              </w:rPr>
            </w:pPr>
          </w:p>
        </w:tc>
        <w:tc>
          <w:tcPr>
            <w:tcW w:w="59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920" w:type="dxa"/>
            <w:vAlign w:val="bottom"/>
            <w:gridSpan w:val="2"/>
          </w:tcPr>
          <w:p>
            <w:pPr>
              <w:jc w:val="right"/>
              <w:ind w:right="540"/>
              <w:spacing w:after="0" w:line="149" w:lineRule="exact"/>
              <w:rPr>
                <w:sz w:val="20"/>
                <w:szCs w:val="20"/>
                <w:color w:val="auto"/>
              </w:rPr>
            </w:pPr>
            <w:r>
              <w:rPr>
                <w:rFonts w:ascii="Arial" w:cs="Arial" w:eastAsia="Arial" w:hAnsi="Arial"/>
                <w:sz w:val="14"/>
                <w:szCs w:val="14"/>
                <w:b w:val="1"/>
                <w:bCs w:val="1"/>
                <w:color w:val="auto"/>
                <w:w w:val="94"/>
              </w:rPr>
              <w:t>Asset</w:t>
            </w:r>
          </w:p>
        </w:tc>
        <w:tc>
          <w:tcPr>
            <w:tcW w:w="240" w:type="dxa"/>
            <w:vAlign w:val="bottom"/>
          </w:tcPr>
          <w:p>
            <w:pPr>
              <w:spacing w:after="0"/>
              <w:rPr>
                <w:sz w:val="12"/>
                <w:szCs w:val="12"/>
                <w:color w:val="auto"/>
              </w:rPr>
            </w:pPr>
          </w:p>
        </w:tc>
        <w:tc>
          <w:tcPr>
            <w:tcW w:w="1240" w:type="dxa"/>
            <w:vAlign w:val="bottom"/>
            <w:gridSpan w:val="3"/>
          </w:tcPr>
          <w:p>
            <w:pPr>
              <w:jc w:val="right"/>
              <w:ind w:right="540"/>
              <w:spacing w:after="0" w:line="149" w:lineRule="exact"/>
              <w:rPr>
                <w:sz w:val="20"/>
                <w:szCs w:val="20"/>
                <w:color w:val="auto"/>
              </w:rPr>
            </w:pPr>
            <w:r>
              <w:rPr>
                <w:rFonts w:ascii="Arial" w:cs="Arial" w:eastAsia="Arial" w:hAnsi="Arial"/>
                <w:sz w:val="14"/>
                <w:szCs w:val="14"/>
                <w:b w:val="1"/>
                <w:bCs w:val="1"/>
                <w:color w:val="auto"/>
                <w:w w:val="84"/>
              </w:rPr>
              <w:t>Termination</w:t>
            </w:r>
          </w:p>
        </w:tc>
        <w:tc>
          <w:tcPr>
            <w:tcW w:w="8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1"/>
        </w:trPr>
        <w:tc>
          <w:tcPr>
            <w:tcW w:w="7260" w:type="dxa"/>
            <w:vAlign w:val="bottom"/>
            <w:gridSpan w:val="3"/>
          </w:tcPr>
          <w:p>
            <w:pPr>
              <w:spacing w:after="0"/>
              <w:rPr>
                <w:sz w:val="20"/>
                <w:szCs w:val="20"/>
                <w:color w:val="auto"/>
              </w:rPr>
            </w:pPr>
            <w:r>
              <w:rPr>
                <w:rFonts w:ascii="Arial" w:cs="Arial" w:eastAsia="Arial" w:hAnsi="Arial"/>
                <w:sz w:val="14"/>
                <w:szCs w:val="14"/>
                <w:b w:val="1"/>
                <w:bCs w:val="1"/>
                <w:color w:val="auto"/>
              </w:rPr>
              <w:t>(in millions of dollars)</w:t>
            </w:r>
          </w:p>
        </w:tc>
        <w:tc>
          <w:tcPr>
            <w:tcW w:w="880" w:type="dxa"/>
            <w:vAlign w:val="bottom"/>
            <w:gridSpan w:val="3"/>
          </w:tcPr>
          <w:p>
            <w:pPr>
              <w:spacing w:after="0"/>
              <w:rPr>
                <w:sz w:val="20"/>
                <w:szCs w:val="20"/>
                <w:color w:val="auto"/>
              </w:rPr>
            </w:pPr>
            <w:r>
              <w:rPr>
                <w:rFonts w:ascii="Arial" w:cs="Arial" w:eastAsia="Arial" w:hAnsi="Arial"/>
                <w:sz w:val="14"/>
                <w:szCs w:val="14"/>
                <w:b w:val="1"/>
                <w:bCs w:val="1"/>
                <w:color w:val="auto"/>
              </w:rPr>
              <w:t>Severance</w:t>
            </w:r>
          </w:p>
        </w:tc>
        <w:tc>
          <w:tcPr>
            <w:tcW w:w="240" w:type="dxa"/>
            <w:vAlign w:val="bottom"/>
          </w:tcPr>
          <w:p>
            <w:pPr>
              <w:spacing w:after="0"/>
              <w:rPr>
                <w:sz w:val="14"/>
                <w:szCs w:val="14"/>
                <w:color w:val="auto"/>
              </w:rPr>
            </w:pPr>
          </w:p>
        </w:tc>
        <w:tc>
          <w:tcPr>
            <w:tcW w:w="1080" w:type="dxa"/>
            <w:vAlign w:val="bottom"/>
            <w:gridSpan w:val="3"/>
          </w:tcPr>
          <w:p>
            <w:pPr>
              <w:spacing w:after="0"/>
              <w:rPr>
                <w:sz w:val="20"/>
                <w:szCs w:val="20"/>
                <w:color w:val="auto"/>
              </w:rPr>
            </w:pPr>
            <w:r>
              <w:rPr>
                <w:rFonts w:ascii="Arial" w:cs="Arial" w:eastAsia="Arial" w:hAnsi="Arial"/>
                <w:sz w:val="14"/>
                <w:szCs w:val="14"/>
                <w:b w:val="1"/>
                <w:bCs w:val="1"/>
                <w:color w:val="auto"/>
              </w:rPr>
              <w:t>Write-Downs</w:t>
            </w:r>
          </w:p>
        </w:tc>
        <w:tc>
          <w:tcPr>
            <w:tcW w:w="2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100" w:type="dxa"/>
            <w:vAlign w:val="bottom"/>
            <w:gridSpan w:val="2"/>
          </w:tcPr>
          <w:p>
            <w:pPr>
              <w:jc w:val="right"/>
              <w:ind w:right="740"/>
              <w:spacing w:after="0"/>
              <w:rPr>
                <w:sz w:val="20"/>
                <w:szCs w:val="20"/>
                <w:color w:val="auto"/>
              </w:rPr>
            </w:pPr>
            <w:r>
              <w:rPr>
                <w:rFonts w:ascii="Arial" w:cs="Arial" w:eastAsia="Arial" w:hAnsi="Arial"/>
                <w:sz w:val="14"/>
                <w:szCs w:val="14"/>
                <w:b w:val="1"/>
                <w:bCs w:val="1"/>
                <w:color w:val="auto"/>
                <w:w w:val="87"/>
              </w:rPr>
              <w:t>Costs</w:t>
            </w:r>
          </w:p>
        </w:tc>
        <w:tc>
          <w:tcPr>
            <w:tcW w:w="480" w:type="dxa"/>
            <w:vAlign w:val="bottom"/>
            <w:gridSpan w:val="3"/>
          </w:tcPr>
          <w:p>
            <w:pPr>
              <w:jc w:val="right"/>
              <w:ind w:right="120"/>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20"/>
        </w:trPr>
        <w:tc>
          <w:tcPr>
            <w:tcW w:w="20" w:type="dxa"/>
            <w:vAlign w:val="bottom"/>
            <w:vMerge w:val="restart"/>
          </w:tcPr>
          <w:p>
            <w:pPr>
              <w:spacing w:after="0" w:line="20" w:lineRule="exact"/>
              <w:rPr>
                <w:sz w:val="1"/>
                <w:szCs w:val="1"/>
                <w:color w:val="auto"/>
              </w:rPr>
            </w:pPr>
          </w:p>
        </w:tc>
        <w:tc>
          <w:tcPr>
            <w:tcW w:w="1340" w:type="dxa"/>
            <w:vAlign w:val="bottom"/>
            <w:shd w:val="clear" w:color="auto" w:fill="000000"/>
          </w:tcPr>
          <w:p>
            <w:pPr>
              <w:spacing w:after="0" w:line="20" w:lineRule="exact"/>
              <w:rPr>
                <w:sz w:val="1"/>
                <w:szCs w:val="1"/>
                <w:color w:val="auto"/>
              </w:rPr>
            </w:pPr>
          </w:p>
        </w:tc>
        <w:tc>
          <w:tcPr>
            <w:tcW w:w="5900" w:type="dxa"/>
            <w:vAlign w:val="bottom"/>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vMerge w:val="continue"/>
          </w:tcPr>
          <w:p>
            <w:pPr>
              <w:spacing w:after="0"/>
              <w:rPr>
                <w:sz w:val="18"/>
                <w:szCs w:val="18"/>
                <w:color w:val="auto"/>
              </w:rPr>
            </w:pPr>
          </w:p>
        </w:tc>
        <w:tc>
          <w:tcPr>
            <w:tcW w:w="1340" w:type="dxa"/>
            <w:vAlign w:val="bottom"/>
            <w:shd w:val="clear" w:color="auto" w:fill="CCEEFF"/>
          </w:tcPr>
          <w:p>
            <w:pPr>
              <w:spacing w:after="0"/>
              <w:rPr>
                <w:sz w:val="20"/>
                <w:szCs w:val="20"/>
                <w:color w:val="auto"/>
              </w:rPr>
            </w:pPr>
            <w:r>
              <w:rPr>
                <w:rFonts w:ascii="Arial" w:cs="Arial" w:eastAsia="Arial" w:hAnsi="Arial"/>
                <w:sz w:val="18"/>
                <w:szCs w:val="18"/>
                <w:color w:val="auto"/>
              </w:rPr>
              <w:t>Expected costs</w:t>
            </w:r>
          </w:p>
        </w:tc>
        <w:tc>
          <w:tcPr>
            <w:tcW w:w="59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71</w:t>
            </w:r>
          </w:p>
        </w:tc>
        <w:tc>
          <w:tcPr>
            <w:tcW w:w="2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92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21</w:t>
            </w:r>
          </w:p>
        </w:tc>
        <w:tc>
          <w:tcPr>
            <w:tcW w:w="3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51</w:t>
            </w:r>
          </w:p>
        </w:tc>
        <w:tc>
          <w:tcPr>
            <w:tcW w:w="540" w:type="dxa"/>
            <w:vAlign w:val="bottom"/>
            <w:shd w:val="clear" w:color="auto" w:fill="CCEEFF"/>
          </w:tcPr>
          <w:p>
            <w:pPr>
              <w:spacing w:after="0"/>
              <w:rPr>
                <w:sz w:val="18"/>
                <w:szCs w:val="18"/>
                <w:color w:val="auto"/>
              </w:rPr>
            </w:pP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3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143</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240" w:type="dxa"/>
            <w:vAlign w:val="bottom"/>
            <w:gridSpan w:val="2"/>
          </w:tcPr>
          <w:p>
            <w:pPr>
              <w:spacing w:after="0"/>
              <w:rPr>
                <w:sz w:val="20"/>
                <w:szCs w:val="20"/>
                <w:color w:val="auto"/>
              </w:rPr>
            </w:pPr>
            <w:r>
              <w:rPr>
                <w:rFonts w:ascii="Arial" w:cs="Arial" w:eastAsia="Arial" w:hAnsi="Arial"/>
                <w:sz w:val="18"/>
                <w:szCs w:val="18"/>
                <w:color w:val="auto"/>
              </w:rPr>
              <w:t>Costs incurred through December 31, 2007</w:t>
            </w:r>
          </w:p>
        </w:tc>
        <w:tc>
          <w:tcPr>
            <w:tcW w:w="200" w:type="dxa"/>
            <w:vAlign w:val="bottom"/>
          </w:tcPr>
          <w:p>
            <w:pPr>
              <w:spacing w:after="0"/>
              <w:rPr>
                <w:sz w:val="18"/>
                <w:szCs w:val="18"/>
                <w:color w:val="auto"/>
              </w:rPr>
            </w:pPr>
          </w:p>
        </w:tc>
        <w:tc>
          <w:tcPr>
            <w:tcW w:w="680" w:type="dxa"/>
            <w:vAlign w:val="bottom"/>
            <w:gridSpan w:val="2"/>
          </w:tcPr>
          <w:p>
            <w:pPr>
              <w:jc w:val="right"/>
              <w:ind w:right="220"/>
              <w:spacing w:after="0"/>
              <w:rPr>
                <w:sz w:val="20"/>
                <w:szCs w:val="20"/>
                <w:color w:val="auto"/>
              </w:rPr>
            </w:pPr>
            <w:r>
              <w:rPr>
                <w:rFonts w:ascii="Arial" w:cs="Arial" w:eastAsia="Arial" w:hAnsi="Arial"/>
                <w:sz w:val="18"/>
                <w:szCs w:val="18"/>
                <w:color w:val="auto"/>
              </w:rPr>
              <w:t>(67)</w:t>
            </w:r>
          </w:p>
        </w:tc>
        <w:tc>
          <w:tcPr>
            <w:tcW w:w="2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20" w:type="dxa"/>
            <w:vAlign w:val="bottom"/>
            <w:gridSpan w:val="2"/>
          </w:tcPr>
          <w:p>
            <w:pPr>
              <w:jc w:val="right"/>
              <w:ind w:right="240"/>
              <w:spacing w:after="0"/>
              <w:rPr>
                <w:sz w:val="20"/>
                <w:szCs w:val="20"/>
                <w:color w:val="auto"/>
              </w:rPr>
            </w:pPr>
            <w:r>
              <w:rPr>
                <w:rFonts w:ascii="Arial" w:cs="Arial" w:eastAsia="Arial" w:hAnsi="Arial"/>
                <w:sz w:val="18"/>
                <w:szCs w:val="18"/>
                <w:color w:val="auto"/>
              </w:rPr>
              <w:t>(21)</w:t>
            </w:r>
          </w:p>
        </w:tc>
        <w:tc>
          <w:tcPr>
            <w:tcW w:w="2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00" w:type="dxa"/>
            <w:vAlign w:val="bottom"/>
            <w:gridSpan w:val="2"/>
          </w:tcPr>
          <w:p>
            <w:pPr>
              <w:jc w:val="right"/>
              <w:ind w:right="480"/>
              <w:spacing w:after="0"/>
              <w:rPr>
                <w:sz w:val="20"/>
                <w:szCs w:val="20"/>
                <w:color w:val="auto"/>
              </w:rPr>
            </w:pPr>
            <w:r>
              <w:rPr>
                <w:rFonts w:ascii="Arial" w:cs="Arial" w:eastAsia="Arial" w:hAnsi="Arial"/>
                <w:sz w:val="18"/>
                <w:szCs w:val="18"/>
                <w:color w:val="auto"/>
              </w:rPr>
              <w:t>(21)</w:t>
            </w:r>
          </w:p>
        </w:tc>
        <w:tc>
          <w:tcPr>
            <w:tcW w:w="80" w:type="dxa"/>
            <w:vAlign w:val="bottom"/>
          </w:tcPr>
          <w:p>
            <w:pPr>
              <w:spacing w:after="0"/>
              <w:rPr>
                <w:sz w:val="18"/>
                <w:szCs w:val="18"/>
                <w:color w:val="auto"/>
              </w:rPr>
            </w:pPr>
          </w:p>
        </w:tc>
        <w:tc>
          <w:tcPr>
            <w:tcW w:w="400" w:type="dxa"/>
            <w:vAlign w:val="bottom"/>
            <w:gridSpan w:val="2"/>
          </w:tcPr>
          <w:p>
            <w:pPr>
              <w:jc w:val="right"/>
              <w:spacing w:after="0"/>
              <w:rPr>
                <w:sz w:val="20"/>
                <w:szCs w:val="20"/>
                <w:color w:val="auto"/>
              </w:rPr>
            </w:pPr>
            <w:r>
              <w:rPr>
                <w:rFonts w:ascii="Arial" w:cs="Arial" w:eastAsia="Arial" w:hAnsi="Arial"/>
                <w:sz w:val="18"/>
                <w:szCs w:val="18"/>
                <w:color w:val="auto"/>
                <w:w w:val="90"/>
              </w:rPr>
              <w:t>(109)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2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Costs incurred – quarter ended March 31, 2008</w:t>
            </w:r>
          </w:p>
        </w:tc>
        <w:tc>
          <w:tcPr>
            <w:tcW w:w="20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w:t>
            </w:r>
          </w:p>
        </w:tc>
        <w:tc>
          <w:tcPr>
            <w:tcW w:w="2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w:t>
            </w:r>
          </w:p>
        </w:tc>
        <w:tc>
          <w:tcPr>
            <w:tcW w:w="2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480"/>
              <w:spacing w:after="0"/>
              <w:rPr>
                <w:sz w:val="20"/>
                <w:szCs w:val="20"/>
                <w:color w:val="auto"/>
              </w:rPr>
            </w:pPr>
            <w:r>
              <w:rPr>
                <w:rFonts w:ascii="Arial" w:cs="Arial" w:eastAsia="Arial" w:hAnsi="Arial"/>
                <w:sz w:val="18"/>
                <w:szCs w:val="18"/>
                <w:color w:val="auto"/>
              </w:rPr>
              <w:t>(4)</w:t>
            </w:r>
          </w:p>
        </w:tc>
        <w:tc>
          <w:tcPr>
            <w:tcW w:w="80" w:type="dxa"/>
            <w:vAlign w:val="bottom"/>
            <w:shd w:val="clear" w:color="auto" w:fill="CCEEFF"/>
          </w:tcPr>
          <w:p>
            <w:pPr>
              <w:spacing w:after="0"/>
              <w:rPr>
                <w:sz w:val="18"/>
                <w:szCs w:val="18"/>
                <w:color w:val="auto"/>
              </w:rPr>
            </w:pPr>
          </w:p>
        </w:tc>
        <w:tc>
          <w:tcPr>
            <w:tcW w:w="4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240" w:type="dxa"/>
            <w:vAlign w:val="bottom"/>
            <w:gridSpan w:val="2"/>
          </w:tcPr>
          <w:p>
            <w:pPr>
              <w:spacing w:after="0"/>
              <w:rPr>
                <w:sz w:val="20"/>
                <w:szCs w:val="20"/>
                <w:color w:val="auto"/>
              </w:rPr>
            </w:pPr>
            <w:r>
              <w:rPr>
                <w:rFonts w:ascii="Arial" w:cs="Arial" w:eastAsia="Arial" w:hAnsi="Arial"/>
                <w:sz w:val="18"/>
                <w:szCs w:val="18"/>
                <w:color w:val="auto"/>
              </w:rPr>
              <w:t>Costs incurred – quarter ended June 30, 2008</w:t>
            </w:r>
          </w:p>
        </w:tc>
        <w:tc>
          <w:tcPr>
            <w:tcW w:w="200" w:type="dxa"/>
            <w:vAlign w:val="bottom"/>
          </w:tcPr>
          <w:p>
            <w:pPr>
              <w:spacing w:after="0"/>
              <w:rPr>
                <w:sz w:val="18"/>
                <w:szCs w:val="18"/>
                <w:color w:val="auto"/>
              </w:rPr>
            </w:pPr>
          </w:p>
        </w:tc>
        <w:tc>
          <w:tcPr>
            <w:tcW w:w="400" w:type="dxa"/>
            <w:vAlign w:val="bottom"/>
          </w:tcPr>
          <w:p>
            <w:pPr>
              <w:jc w:val="right"/>
              <w:ind w:right="12"/>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w:t>
            </w:r>
          </w:p>
        </w:tc>
        <w:tc>
          <w:tcPr>
            <w:tcW w:w="3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00" w:type="dxa"/>
            <w:vAlign w:val="bottom"/>
            <w:gridSpan w:val="2"/>
          </w:tcPr>
          <w:p>
            <w:pPr>
              <w:jc w:val="right"/>
              <w:ind w:right="480"/>
              <w:spacing w:after="0"/>
              <w:rPr>
                <w:sz w:val="20"/>
                <w:szCs w:val="20"/>
                <w:color w:val="auto"/>
              </w:rPr>
            </w:pPr>
            <w:r>
              <w:rPr>
                <w:rFonts w:ascii="Arial" w:cs="Arial" w:eastAsia="Arial" w:hAnsi="Arial"/>
                <w:sz w:val="18"/>
                <w:szCs w:val="18"/>
                <w:color w:val="auto"/>
              </w:rPr>
              <w:t>(1)</w:t>
            </w:r>
          </w:p>
        </w:tc>
        <w:tc>
          <w:tcPr>
            <w:tcW w:w="80" w:type="dxa"/>
            <w:vAlign w:val="bottom"/>
          </w:tcPr>
          <w:p>
            <w:pPr>
              <w:spacing w:after="0"/>
              <w:rPr>
                <w:sz w:val="18"/>
                <w:szCs w:val="18"/>
                <w:color w:val="auto"/>
              </w:rPr>
            </w:pPr>
          </w:p>
        </w:tc>
        <w:tc>
          <w:tcPr>
            <w:tcW w:w="400" w:type="dxa"/>
            <w:vAlign w:val="bottom"/>
            <w:gridSpan w:val="2"/>
          </w:tcPr>
          <w:p>
            <w:pPr>
              <w:jc w:val="right"/>
              <w:spacing w:after="0"/>
              <w:rPr>
                <w:sz w:val="20"/>
                <w:szCs w:val="20"/>
                <w:color w:val="auto"/>
              </w:rPr>
            </w:pPr>
            <w:r>
              <w:rPr>
                <w:rFonts w:ascii="Arial" w:cs="Arial" w:eastAsia="Arial" w:hAnsi="Arial"/>
                <w:sz w:val="18"/>
                <w:szCs w:val="18"/>
                <w:color w:val="auto"/>
              </w:rPr>
              <w:t>(1)</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1340" w:type="dxa"/>
            <w:vAlign w:val="bottom"/>
          </w:tcPr>
          <w:p>
            <w:pPr>
              <w:spacing w:after="0"/>
              <w:rPr>
                <w:sz w:val="2"/>
                <w:szCs w:val="2"/>
                <w:color w:val="auto"/>
              </w:rPr>
            </w:pPr>
          </w:p>
        </w:tc>
        <w:tc>
          <w:tcPr>
            <w:tcW w:w="5900" w:type="dxa"/>
            <w:vAlign w:val="bottom"/>
          </w:tcPr>
          <w:p>
            <w:pPr>
              <w:spacing w:after="0"/>
              <w:rPr>
                <w:sz w:val="2"/>
                <w:szCs w:val="2"/>
                <w:color w:val="auto"/>
              </w:rPr>
            </w:pPr>
          </w:p>
        </w:tc>
        <w:tc>
          <w:tcPr>
            <w:tcW w:w="200" w:type="dxa"/>
            <w:vAlign w:val="bottom"/>
            <w:shd w:val="clear" w:color="auto" w:fill="000000"/>
          </w:tcPr>
          <w:p>
            <w:pPr>
              <w:spacing w:after="0"/>
              <w:rPr>
                <w:sz w:val="2"/>
                <w:szCs w:val="2"/>
                <w:color w:val="auto"/>
              </w:rPr>
            </w:pPr>
          </w:p>
        </w:tc>
        <w:tc>
          <w:tcPr>
            <w:tcW w:w="400" w:type="dxa"/>
            <w:vAlign w:val="bottom"/>
            <w:shd w:val="clear" w:color="auto" w:fill="000000"/>
          </w:tcPr>
          <w:p>
            <w:pPr>
              <w:spacing w:after="0"/>
              <w:rPr>
                <w:sz w:val="2"/>
                <w:szCs w:val="2"/>
                <w:color w:val="auto"/>
              </w:rPr>
            </w:pPr>
          </w:p>
        </w:tc>
        <w:tc>
          <w:tcPr>
            <w:tcW w:w="280" w:type="dxa"/>
            <w:vAlign w:val="bottom"/>
          </w:tcPr>
          <w:p>
            <w:pPr>
              <w:spacing w:after="0"/>
              <w:rPr>
                <w:sz w:val="2"/>
                <w:szCs w:val="2"/>
                <w:color w:val="auto"/>
              </w:rPr>
            </w:pPr>
          </w:p>
        </w:tc>
        <w:tc>
          <w:tcPr>
            <w:tcW w:w="240" w:type="dxa"/>
            <w:vAlign w:val="bottom"/>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620" w:type="dxa"/>
            <w:vAlign w:val="bottom"/>
            <w:shd w:val="clear" w:color="auto" w:fill="000000"/>
          </w:tcPr>
          <w:p>
            <w:pPr>
              <w:spacing w:after="0"/>
              <w:rPr>
                <w:sz w:val="2"/>
                <w:szCs w:val="2"/>
                <w:color w:val="auto"/>
              </w:rPr>
            </w:pPr>
          </w:p>
        </w:tc>
        <w:tc>
          <w:tcPr>
            <w:tcW w:w="3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560" w:type="dxa"/>
            <w:vAlign w:val="bottom"/>
            <w:shd w:val="clear" w:color="auto" w:fill="000000"/>
          </w:tcPr>
          <w:p>
            <w:pPr>
              <w:spacing w:after="0"/>
              <w:rPr>
                <w:sz w:val="2"/>
                <w:szCs w:val="2"/>
                <w:color w:val="auto"/>
              </w:rPr>
            </w:pPr>
          </w:p>
        </w:tc>
        <w:tc>
          <w:tcPr>
            <w:tcW w:w="54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340" w:type="dxa"/>
            <w:vAlign w:val="bottom"/>
            <w:shd w:val="clear" w:color="auto" w:fill="000000"/>
          </w:tcPr>
          <w:p>
            <w:pPr>
              <w:spacing w:after="0"/>
              <w:rPr>
                <w:sz w:val="2"/>
                <w:szCs w:val="2"/>
                <w:color w:val="auto"/>
              </w:rPr>
            </w:pPr>
          </w:p>
        </w:tc>
        <w:tc>
          <w:tcPr>
            <w:tcW w:w="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72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Remaining costs at June 30, 2008</w:t>
            </w:r>
          </w:p>
        </w:tc>
        <w:tc>
          <w:tcPr>
            <w:tcW w:w="20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w:t>
            </w:r>
          </w:p>
        </w:tc>
        <w:tc>
          <w:tcPr>
            <w:tcW w:w="2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300" w:type="dxa"/>
            <w:vAlign w:val="bottom"/>
            <w:shd w:val="clear" w:color="auto" w:fill="CCEEFF"/>
          </w:tcPr>
          <w:p>
            <w:pPr>
              <w:spacing w:after="0"/>
              <w:rPr>
                <w:sz w:val="18"/>
                <w:szCs w:val="18"/>
                <w:color w:val="auto"/>
              </w:rPr>
            </w:pPr>
          </w:p>
        </w:tc>
        <w:tc>
          <w:tcPr>
            <w:tcW w:w="3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w:t>
            </w:r>
          </w:p>
        </w:tc>
        <w:tc>
          <w:tcPr>
            <w:tcW w:w="540" w:type="dxa"/>
            <w:vAlign w:val="bottom"/>
            <w:shd w:val="clear" w:color="auto" w:fill="CCEEFF"/>
          </w:tcPr>
          <w:p>
            <w:pPr>
              <w:spacing w:after="0"/>
              <w:rPr>
                <w:sz w:val="18"/>
                <w:szCs w:val="18"/>
                <w:color w:val="auto"/>
              </w:rPr>
            </w:pP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3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28</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340" w:type="dxa"/>
            <w:vAlign w:val="bottom"/>
          </w:tcPr>
          <w:p>
            <w:pPr>
              <w:spacing w:after="0" w:line="20" w:lineRule="exact"/>
              <w:rPr>
                <w:sz w:val="1"/>
                <w:szCs w:val="1"/>
                <w:color w:val="auto"/>
              </w:rPr>
            </w:pPr>
          </w:p>
        </w:tc>
        <w:tc>
          <w:tcPr>
            <w:tcW w:w="590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67"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following table summarizes expected, incurred and remaining costs for the 2007 restructuring actions by segment:</w:t>
      </w:r>
    </w:p>
    <w:p>
      <w:pPr>
        <w:spacing w:after="0" w:line="195"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38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1780" w:type="dxa"/>
            <w:vAlign w:val="bottom"/>
            <w:gridSpan w:val="4"/>
          </w:tcPr>
          <w:p>
            <w:pPr>
              <w:jc w:val="center"/>
              <w:ind w:left="159"/>
              <w:spacing w:after="0"/>
              <w:rPr>
                <w:sz w:val="20"/>
                <w:szCs w:val="20"/>
                <w:color w:val="auto"/>
              </w:rPr>
            </w:pPr>
            <w:r>
              <w:rPr>
                <w:rFonts w:ascii="Arial" w:cs="Arial" w:eastAsia="Arial" w:hAnsi="Arial"/>
                <w:sz w:val="14"/>
                <w:szCs w:val="14"/>
                <w:b w:val="1"/>
                <w:bCs w:val="1"/>
                <w:color w:val="auto"/>
                <w:w w:val="86"/>
              </w:rPr>
              <w:t>Costs Incurred</w:t>
            </w:r>
          </w:p>
        </w:tc>
        <w:tc>
          <w:tcPr>
            <w:tcW w:w="280" w:type="dxa"/>
            <w:vAlign w:val="bottom"/>
          </w:tcPr>
          <w:p>
            <w:pPr>
              <w:spacing w:after="0"/>
              <w:rPr>
                <w:sz w:val="14"/>
                <w:szCs w:val="14"/>
                <w:color w:val="auto"/>
              </w:rPr>
            </w:pPr>
          </w:p>
        </w:tc>
        <w:tc>
          <w:tcPr>
            <w:tcW w:w="1240" w:type="dxa"/>
            <w:vAlign w:val="bottom"/>
            <w:gridSpan w:val="3"/>
          </w:tcPr>
          <w:p>
            <w:pPr>
              <w:ind w:left="20"/>
              <w:spacing w:after="0"/>
              <w:rPr>
                <w:sz w:val="20"/>
                <w:szCs w:val="20"/>
                <w:color w:val="auto"/>
              </w:rPr>
            </w:pPr>
            <w:r>
              <w:rPr>
                <w:rFonts w:ascii="Arial" w:cs="Arial" w:eastAsia="Arial" w:hAnsi="Arial"/>
                <w:sz w:val="14"/>
                <w:szCs w:val="14"/>
                <w:b w:val="1"/>
                <w:bCs w:val="1"/>
                <w:color w:val="auto"/>
              </w:rPr>
              <w:t>Costs Incurred</w:t>
            </w:r>
          </w:p>
        </w:tc>
        <w:tc>
          <w:tcPr>
            <w:tcW w:w="280" w:type="dxa"/>
            <w:vAlign w:val="bottom"/>
          </w:tcPr>
          <w:p>
            <w:pPr>
              <w:spacing w:after="0"/>
              <w:rPr>
                <w:sz w:val="14"/>
                <w:szCs w:val="14"/>
                <w:color w:val="auto"/>
              </w:rPr>
            </w:pPr>
          </w:p>
        </w:tc>
        <w:tc>
          <w:tcPr>
            <w:tcW w:w="1220" w:type="dxa"/>
            <w:vAlign w:val="bottom"/>
            <w:gridSpan w:val="3"/>
          </w:tcPr>
          <w:p>
            <w:pPr>
              <w:spacing w:after="0"/>
              <w:rPr>
                <w:sz w:val="20"/>
                <w:szCs w:val="20"/>
                <w:color w:val="auto"/>
              </w:rPr>
            </w:pPr>
            <w:r>
              <w:rPr>
                <w:rFonts w:ascii="Arial" w:cs="Arial" w:eastAsia="Arial" w:hAnsi="Arial"/>
                <w:sz w:val="14"/>
                <w:szCs w:val="14"/>
                <w:b w:val="1"/>
                <w:bCs w:val="1"/>
                <w:color w:val="auto"/>
              </w:rPr>
              <w:t>Costs Incurred</w:t>
            </w:r>
          </w:p>
        </w:tc>
        <w:tc>
          <w:tcPr>
            <w:tcW w:w="280" w:type="dxa"/>
            <w:vAlign w:val="bottom"/>
          </w:tcPr>
          <w:p>
            <w:pPr>
              <w:spacing w:after="0"/>
              <w:rPr>
                <w:sz w:val="14"/>
                <w:szCs w:val="14"/>
                <w:color w:val="auto"/>
              </w:rPr>
            </w:pPr>
          </w:p>
        </w:tc>
        <w:tc>
          <w:tcPr>
            <w:tcW w:w="660" w:type="dxa"/>
            <w:vAlign w:val="bottom"/>
            <w:gridSpan w:val="3"/>
          </w:tcPr>
          <w:p>
            <w:pPr>
              <w:jc w:val="center"/>
              <w:ind w:right="20"/>
              <w:spacing w:after="0"/>
              <w:rPr>
                <w:sz w:val="20"/>
                <w:szCs w:val="20"/>
                <w:color w:val="auto"/>
              </w:rPr>
            </w:pPr>
            <w:r>
              <w:rPr>
                <w:rFonts w:ascii="Arial" w:cs="Arial" w:eastAsia="Arial" w:hAnsi="Arial"/>
                <w:sz w:val="14"/>
                <w:szCs w:val="14"/>
                <w:b w:val="1"/>
                <w:bCs w:val="1"/>
                <w:color w:val="auto"/>
                <w:w w:val="89"/>
              </w:rPr>
              <w:t>Remaining</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340" w:type="dxa"/>
            <w:vAlign w:val="bottom"/>
          </w:tcPr>
          <w:p>
            <w:pPr>
              <w:spacing w:after="0"/>
              <w:rPr>
                <w:sz w:val="12"/>
                <w:szCs w:val="12"/>
                <w:color w:val="auto"/>
              </w:rPr>
            </w:pPr>
          </w:p>
        </w:tc>
        <w:tc>
          <w:tcPr>
            <w:tcW w:w="38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060" w:type="dxa"/>
            <w:vAlign w:val="bottom"/>
            <w:gridSpan w:val="2"/>
          </w:tcPr>
          <w:p>
            <w:pPr>
              <w:jc w:val="center"/>
              <w:ind w:right="480"/>
              <w:spacing w:after="0" w:line="149" w:lineRule="exact"/>
              <w:rPr>
                <w:sz w:val="20"/>
                <w:szCs w:val="20"/>
                <w:color w:val="auto"/>
              </w:rPr>
            </w:pPr>
            <w:r>
              <w:rPr>
                <w:rFonts w:ascii="Arial" w:cs="Arial" w:eastAsia="Arial" w:hAnsi="Arial"/>
                <w:sz w:val="14"/>
                <w:szCs w:val="14"/>
                <w:b w:val="1"/>
                <w:bCs w:val="1"/>
                <w:color w:val="auto"/>
                <w:w w:val="86"/>
              </w:rPr>
              <w:t>through</w:t>
            </w:r>
          </w:p>
        </w:tc>
        <w:tc>
          <w:tcPr>
            <w:tcW w:w="280" w:type="dxa"/>
            <w:vAlign w:val="bottom"/>
          </w:tcPr>
          <w:p>
            <w:pPr>
              <w:spacing w:after="0"/>
              <w:rPr>
                <w:sz w:val="12"/>
                <w:szCs w:val="12"/>
                <w:color w:val="auto"/>
              </w:rPr>
            </w:pPr>
          </w:p>
        </w:tc>
        <w:tc>
          <w:tcPr>
            <w:tcW w:w="1240" w:type="dxa"/>
            <w:vAlign w:val="bottom"/>
            <w:gridSpan w:val="3"/>
          </w:tcPr>
          <w:p>
            <w:pPr>
              <w:spacing w:after="0" w:line="149" w:lineRule="exact"/>
              <w:rPr>
                <w:sz w:val="20"/>
                <w:szCs w:val="20"/>
                <w:color w:val="auto"/>
              </w:rPr>
            </w:pPr>
            <w:r>
              <w:rPr>
                <w:rFonts w:ascii="Arial" w:cs="Arial" w:eastAsia="Arial" w:hAnsi="Arial"/>
                <w:sz w:val="14"/>
                <w:szCs w:val="14"/>
                <w:b w:val="1"/>
                <w:bCs w:val="1"/>
                <w:color w:val="auto"/>
              </w:rPr>
              <w:t>Quarter Ended</w:t>
            </w:r>
          </w:p>
        </w:tc>
        <w:tc>
          <w:tcPr>
            <w:tcW w:w="280" w:type="dxa"/>
            <w:vAlign w:val="bottom"/>
          </w:tcPr>
          <w:p>
            <w:pPr>
              <w:spacing w:after="0"/>
              <w:rPr>
                <w:sz w:val="12"/>
                <w:szCs w:val="12"/>
                <w:color w:val="auto"/>
              </w:rPr>
            </w:pPr>
          </w:p>
        </w:tc>
        <w:tc>
          <w:tcPr>
            <w:tcW w:w="1220" w:type="dxa"/>
            <w:vAlign w:val="bottom"/>
            <w:gridSpan w:val="3"/>
          </w:tcPr>
          <w:p>
            <w:pPr>
              <w:spacing w:after="0" w:line="149" w:lineRule="exact"/>
              <w:rPr>
                <w:sz w:val="20"/>
                <w:szCs w:val="20"/>
                <w:color w:val="auto"/>
              </w:rPr>
            </w:pPr>
            <w:r>
              <w:rPr>
                <w:rFonts w:ascii="Arial" w:cs="Arial" w:eastAsia="Arial" w:hAnsi="Arial"/>
                <w:sz w:val="14"/>
                <w:szCs w:val="14"/>
                <w:b w:val="1"/>
                <w:bCs w:val="1"/>
                <w:color w:val="auto"/>
              </w:rPr>
              <w:t>Quarter Ended</w:t>
            </w:r>
          </w:p>
        </w:tc>
        <w:tc>
          <w:tcPr>
            <w:tcW w:w="2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60" w:type="dxa"/>
            <w:vAlign w:val="bottom"/>
            <w:gridSpan w:val="2"/>
          </w:tcPr>
          <w:p>
            <w:pPr>
              <w:jc w:val="center"/>
              <w:ind w:right="100"/>
              <w:spacing w:after="0" w:line="149" w:lineRule="exact"/>
              <w:rPr>
                <w:sz w:val="20"/>
                <w:szCs w:val="20"/>
                <w:color w:val="auto"/>
              </w:rPr>
            </w:pPr>
            <w:r>
              <w:rPr>
                <w:rFonts w:ascii="Arial" w:cs="Arial" w:eastAsia="Arial" w:hAnsi="Arial"/>
                <w:sz w:val="14"/>
                <w:szCs w:val="14"/>
                <w:b w:val="1"/>
                <w:bCs w:val="1"/>
                <w:color w:val="auto"/>
                <w:w w:val="83"/>
              </w:rPr>
              <w:t>Costs at</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340" w:type="dxa"/>
            <w:vAlign w:val="bottom"/>
          </w:tcPr>
          <w:p>
            <w:pPr>
              <w:spacing w:after="0"/>
              <w:rPr>
                <w:sz w:val="12"/>
                <w:szCs w:val="12"/>
                <w:color w:val="auto"/>
              </w:rPr>
            </w:pPr>
          </w:p>
        </w:tc>
        <w:tc>
          <w:tcPr>
            <w:tcW w:w="3800" w:type="dxa"/>
            <w:vAlign w:val="bottom"/>
          </w:tcPr>
          <w:p>
            <w:pPr>
              <w:spacing w:after="0"/>
              <w:rPr>
                <w:sz w:val="12"/>
                <w:szCs w:val="12"/>
                <w:color w:val="auto"/>
              </w:rPr>
            </w:pPr>
          </w:p>
        </w:tc>
        <w:tc>
          <w:tcPr>
            <w:tcW w:w="540" w:type="dxa"/>
            <w:vAlign w:val="bottom"/>
            <w:gridSpan w:val="2"/>
          </w:tcPr>
          <w:p>
            <w:pPr>
              <w:ind w:left="20"/>
              <w:spacing w:after="0" w:line="149" w:lineRule="exact"/>
              <w:rPr>
                <w:sz w:val="20"/>
                <w:szCs w:val="20"/>
                <w:color w:val="auto"/>
              </w:rPr>
            </w:pPr>
            <w:r>
              <w:rPr>
                <w:rFonts w:ascii="Arial" w:cs="Arial" w:eastAsia="Arial" w:hAnsi="Arial"/>
                <w:sz w:val="14"/>
                <w:szCs w:val="14"/>
                <w:b w:val="1"/>
                <w:bCs w:val="1"/>
                <w:color w:val="auto"/>
                <w:w w:val="80"/>
              </w:rPr>
              <w:t>Expected</w:t>
            </w:r>
          </w:p>
        </w:tc>
        <w:tc>
          <w:tcPr>
            <w:tcW w:w="580" w:type="dxa"/>
            <w:vAlign w:val="bottom"/>
          </w:tcPr>
          <w:p>
            <w:pPr>
              <w:spacing w:after="0"/>
              <w:rPr>
                <w:sz w:val="12"/>
                <w:szCs w:val="12"/>
                <w:color w:val="auto"/>
              </w:rPr>
            </w:pPr>
          </w:p>
        </w:tc>
        <w:tc>
          <w:tcPr>
            <w:tcW w:w="1200" w:type="dxa"/>
            <w:vAlign w:val="bottom"/>
            <w:gridSpan w:val="3"/>
          </w:tcPr>
          <w:p>
            <w:pPr>
              <w:jc w:val="center"/>
              <w:ind w:right="340"/>
              <w:spacing w:after="0" w:line="149" w:lineRule="exact"/>
              <w:rPr>
                <w:sz w:val="20"/>
                <w:szCs w:val="20"/>
                <w:color w:val="auto"/>
              </w:rPr>
            </w:pPr>
            <w:r>
              <w:rPr>
                <w:rFonts w:ascii="Arial" w:cs="Arial" w:eastAsia="Arial" w:hAnsi="Arial"/>
                <w:sz w:val="14"/>
                <w:szCs w:val="14"/>
                <w:b w:val="1"/>
                <w:bCs w:val="1"/>
                <w:color w:val="auto"/>
                <w:w w:val="85"/>
              </w:rPr>
              <w:t>December 31,</w:t>
            </w:r>
          </w:p>
        </w:tc>
        <w:tc>
          <w:tcPr>
            <w:tcW w:w="2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120" w:type="dxa"/>
            <w:vAlign w:val="bottom"/>
            <w:gridSpan w:val="2"/>
          </w:tcPr>
          <w:p>
            <w:pPr>
              <w:jc w:val="right"/>
              <w:ind w:right="500"/>
              <w:spacing w:after="0" w:line="149" w:lineRule="exact"/>
              <w:rPr>
                <w:sz w:val="20"/>
                <w:szCs w:val="20"/>
                <w:color w:val="auto"/>
              </w:rPr>
            </w:pPr>
            <w:r>
              <w:rPr>
                <w:rFonts w:ascii="Arial" w:cs="Arial" w:eastAsia="Arial" w:hAnsi="Arial"/>
                <w:sz w:val="14"/>
                <w:szCs w:val="14"/>
                <w:b w:val="1"/>
                <w:bCs w:val="1"/>
                <w:color w:val="auto"/>
                <w:w w:val="92"/>
              </w:rPr>
              <w:t>March 31,</w:t>
            </w:r>
          </w:p>
        </w:tc>
        <w:tc>
          <w:tcPr>
            <w:tcW w:w="2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080" w:type="dxa"/>
            <w:vAlign w:val="bottom"/>
            <w:gridSpan w:val="2"/>
          </w:tcPr>
          <w:p>
            <w:pPr>
              <w:ind w:left="60"/>
              <w:spacing w:after="0" w:line="149" w:lineRule="exact"/>
              <w:rPr>
                <w:sz w:val="20"/>
                <w:szCs w:val="20"/>
                <w:color w:val="auto"/>
              </w:rPr>
            </w:pPr>
            <w:r>
              <w:rPr>
                <w:rFonts w:ascii="Arial" w:cs="Arial" w:eastAsia="Arial" w:hAnsi="Arial"/>
                <w:sz w:val="14"/>
                <w:szCs w:val="14"/>
                <w:b w:val="1"/>
                <w:bCs w:val="1"/>
                <w:color w:val="auto"/>
              </w:rPr>
              <w:t>June 30,</w:t>
            </w:r>
          </w:p>
        </w:tc>
        <w:tc>
          <w:tcPr>
            <w:tcW w:w="280" w:type="dxa"/>
            <w:vAlign w:val="bottom"/>
          </w:tcPr>
          <w:p>
            <w:pPr>
              <w:spacing w:after="0"/>
              <w:rPr>
                <w:sz w:val="12"/>
                <w:szCs w:val="12"/>
                <w:color w:val="auto"/>
              </w:rPr>
            </w:pPr>
          </w:p>
        </w:tc>
        <w:tc>
          <w:tcPr>
            <w:tcW w:w="660" w:type="dxa"/>
            <w:vAlign w:val="bottom"/>
            <w:gridSpan w:val="3"/>
          </w:tcPr>
          <w:p>
            <w:pPr>
              <w:jc w:val="center"/>
              <w:ind w:right="20"/>
              <w:spacing w:after="0" w:line="149" w:lineRule="exact"/>
              <w:rPr>
                <w:sz w:val="20"/>
                <w:szCs w:val="20"/>
                <w:color w:val="auto"/>
              </w:rPr>
            </w:pPr>
            <w:r>
              <w:rPr>
                <w:rFonts w:ascii="Arial" w:cs="Arial" w:eastAsia="Arial" w:hAnsi="Arial"/>
                <w:sz w:val="14"/>
                <w:szCs w:val="14"/>
                <w:b w:val="1"/>
                <w:bCs w:val="1"/>
                <w:color w:val="auto"/>
                <w:w w:val="85"/>
              </w:rPr>
              <w:t>June 30,</w:t>
            </w:r>
          </w:p>
        </w:tc>
        <w:tc>
          <w:tcPr>
            <w:tcW w:w="0" w:type="dxa"/>
            <w:vAlign w:val="bottom"/>
          </w:tcPr>
          <w:p>
            <w:pPr>
              <w:spacing w:after="0"/>
              <w:rPr>
                <w:sz w:val="1"/>
                <w:szCs w:val="1"/>
                <w:color w:val="auto"/>
              </w:rPr>
            </w:pPr>
          </w:p>
        </w:tc>
      </w:tr>
      <w:tr>
        <w:trPr>
          <w:trHeight w:val="161"/>
        </w:trPr>
        <w:tc>
          <w:tcPr>
            <w:tcW w:w="5160" w:type="dxa"/>
            <w:vAlign w:val="bottom"/>
            <w:gridSpan w:val="3"/>
          </w:tcPr>
          <w:p>
            <w:pPr>
              <w:spacing w:after="0"/>
              <w:rPr>
                <w:sz w:val="20"/>
                <w:szCs w:val="20"/>
                <w:color w:val="auto"/>
              </w:rPr>
            </w:pPr>
            <w:r>
              <w:rPr>
                <w:rFonts w:ascii="Arial" w:cs="Arial" w:eastAsia="Arial" w:hAnsi="Arial"/>
                <w:sz w:val="14"/>
                <w:szCs w:val="14"/>
                <w:b w:val="1"/>
                <w:bCs w:val="1"/>
                <w:color w:val="auto"/>
              </w:rPr>
              <w:t>(in millions of dollars)</w:t>
            </w:r>
          </w:p>
        </w:tc>
        <w:tc>
          <w:tcPr>
            <w:tcW w:w="100" w:type="dxa"/>
            <w:vAlign w:val="bottom"/>
          </w:tcPr>
          <w:p>
            <w:pPr>
              <w:spacing w:after="0"/>
              <w:rPr>
                <w:sz w:val="14"/>
                <w:szCs w:val="14"/>
                <w:color w:val="auto"/>
              </w:rPr>
            </w:pPr>
          </w:p>
        </w:tc>
        <w:tc>
          <w:tcPr>
            <w:tcW w:w="440" w:type="dxa"/>
            <w:vAlign w:val="bottom"/>
          </w:tcPr>
          <w:p>
            <w:pPr>
              <w:jc w:val="right"/>
              <w:ind w:right="15"/>
              <w:spacing w:after="0"/>
              <w:rPr>
                <w:sz w:val="20"/>
                <w:szCs w:val="20"/>
                <w:color w:val="auto"/>
              </w:rPr>
            </w:pPr>
            <w:r>
              <w:rPr>
                <w:rFonts w:ascii="Arial" w:cs="Arial" w:eastAsia="Arial" w:hAnsi="Arial"/>
                <w:sz w:val="14"/>
                <w:szCs w:val="14"/>
                <w:b w:val="1"/>
                <w:bCs w:val="1"/>
                <w:color w:val="auto"/>
                <w:w w:val="82"/>
              </w:rPr>
              <w:t>Costs</w:t>
            </w:r>
          </w:p>
        </w:tc>
        <w:tc>
          <w:tcPr>
            <w:tcW w:w="5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720" w:type="dxa"/>
            <w:vAlign w:val="bottom"/>
          </w:tcPr>
          <w:p>
            <w:pPr>
              <w:jc w:val="center"/>
              <w:ind w:right="57"/>
              <w:spacing w:after="0"/>
              <w:rPr>
                <w:sz w:val="20"/>
                <w:szCs w:val="20"/>
                <w:color w:val="auto"/>
              </w:rPr>
            </w:pPr>
            <w:r>
              <w:rPr>
                <w:rFonts w:ascii="Arial" w:cs="Arial" w:eastAsia="Arial" w:hAnsi="Arial"/>
                <w:sz w:val="14"/>
                <w:szCs w:val="14"/>
                <w:b w:val="1"/>
                <w:bCs w:val="1"/>
                <w:color w:val="auto"/>
                <w:w w:val="83"/>
              </w:rPr>
              <w:t>2007</w:t>
            </w:r>
          </w:p>
        </w:tc>
        <w:tc>
          <w:tcPr>
            <w:tcW w:w="34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80" w:type="dxa"/>
            <w:vAlign w:val="bottom"/>
          </w:tcPr>
          <w:p>
            <w:pPr>
              <w:jc w:val="right"/>
              <w:ind w:right="237"/>
              <w:spacing w:after="0"/>
              <w:rPr>
                <w:sz w:val="20"/>
                <w:szCs w:val="20"/>
                <w:color w:val="auto"/>
              </w:rPr>
            </w:pPr>
            <w:r>
              <w:rPr>
                <w:rFonts w:ascii="Arial" w:cs="Arial" w:eastAsia="Arial" w:hAnsi="Arial"/>
                <w:sz w:val="14"/>
                <w:szCs w:val="14"/>
                <w:b w:val="1"/>
                <w:bCs w:val="1"/>
                <w:color w:val="auto"/>
              </w:rPr>
              <w:t>2008</w:t>
            </w:r>
          </w:p>
        </w:tc>
        <w:tc>
          <w:tcPr>
            <w:tcW w:w="34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740" w:type="dxa"/>
            <w:vAlign w:val="bottom"/>
          </w:tcPr>
          <w:p>
            <w:pPr>
              <w:ind w:left="160"/>
              <w:spacing w:after="0"/>
              <w:rPr>
                <w:sz w:val="20"/>
                <w:szCs w:val="20"/>
                <w:color w:val="auto"/>
              </w:rPr>
            </w:pPr>
            <w:r>
              <w:rPr>
                <w:rFonts w:ascii="Arial" w:cs="Arial" w:eastAsia="Arial" w:hAnsi="Arial"/>
                <w:sz w:val="14"/>
                <w:szCs w:val="14"/>
                <w:b w:val="1"/>
                <w:bCs w:val="1"/>
                <w:color w:val="auto"/>
              </w:rPr>
              <w:t>2008</w:t>
            </w:r>
          </w:p>
        </w:tc>
        <w:tc>
          <w:tcPr>
            <w:tcW w:w="34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40" w:type="dxa"/>
            <w:vAlign w:val="bottom"/>
          </w:tcPr>
          <w:p>
            <w:pPr>
              <w:jc w:val="center"/>
              <w:ind w:right="17"/>
              <w:spacing w:after="0"/>
              <w:rPr>
                <w:sz w:val="20"/>
                <w:szCs w:val="20"/>
                <w:color w:val="auto"/>
              </w:rPr>
            </w:pPr>
            <w:r>
              <w:rPr>
                <w:rFonts w:ascii="Arial" w:cs="Arial" w:eastAsia="Arial" w:hAnsi="Arial"/>
                <w:sz w:val="14"/>
                <w:szCs w:val="14"/>
                <w:b w:val="1"/>
                <w:bCs w:val="1"/>
                <w:color w:val="auto"/>
                <w:w w:val="89"/>
              </w:rPr>
              <w:t>2008</w:t>
            </w: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20" w:type="dxa"/>
            <w:vAlign w:val="bottom"/>
            <w:vMerge w:val="restart"/>
          </w:tcPr>
          <w:p>
            <w:pPr>
              <w:spacing w:after="0" w:line="20" w:lineRule="exact"/>
              <w:rPr>
                <w:sz w:val="1"/>
                <w:szCs w:val="1"/>
                <w:color w:val="auto"/>
              </w:rPr>
            </w:pPr>
          </w:p>
        </w:tc>
        <w:tc>
          <w:tcPr>
            <w:tcW w:w="1340" w:type="dxa"/>
            <w:vAlign w:val="bottom"/>
            <w:shd w:val="clear" w:color="auto" w:fill="000000"/>
          </w:tcPr>
          <w:p>
            <w:pPr>
              <w:spacing w:after="0" w:line="20" w:lineRule="exact"/>
              <w:rPr>
                <w:sz w:val="1"/>
                <w:szCs w:val="1"/>
                <w:color w:val="auto"/>
              </w:rPr>
            </w:pPr>
          </w:p>
        </w:tc>
        <w:tc>
          <w:tcPr>
            <w:tcW w:w="380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440" w:type="dxa"/>
            <w:vAlign w:val="bottom"/>
            <w:shd w:val="clear" w:color="auto" w:fill="000000"/>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vMerge w:val="continue"/>
          </w:tcPr>
          <w:p>
            <w:pPr>
              <w:spacing w:after="0"/>
              <w:rPr>
                <w:sz w:val="18"/>
                <w:szCs w:val="18"/>
                <w:color w:val="auto"/>
              </w:rPr>
            </w:pPr>
          </w:p>
        </w:tc>
        <w:tc>
          <w:tcPr>
            <w:tcW w:w="1340" w:type="dxa"/>
            <w:vAlign w:val="bottom"/>
            <w:shd w:val="clear" w:color="auto" w:fill="CCEEFF"/>
          </w:tcPr>
          <w:p>
            <w:pPr>
              <w:spacing w:after="0"/>
              <w:rPr>
                <w:sz w:val="20"/>
                <w:szCs w:val="20"/>
                <w:color w:val="auto"/>
              </w:rPr>
            </w:pPr>
            <w:r>
              <w:rPr>
                <w:rFonts w:ascii="Arial" w:cs="Arial" w:eastAsia="Arial" w:hAnsi="Arial"/>
                <w:sz w:val="18"/>
                <w:szCs w:val="18"/>
                <w:color w:val="auto"/>
              </w:rPr>
              <w:t>Otis</w:t>
            </w:r>
          </w:p>
        </w:tc>
        <w:tc>
          <w:tcPr>
            <w:tcW w:w="38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20"/>
                <w:szCs w:val="20"/>
                <w:color w:val="auto"/>
              </w:rPr>
            </w:pPr>
            <w:r>
              <w:rPr>
                <w:rFonts w:ascii="Arial" w:cs="Arial" w:eastAsia="Arial" w:hAnsi="Arial"/>
                <w:sz w:val="18"/>
                <w:szCs w:val="18"/>
                <w:color w:val="auto"/>
                <w:w w:val="79"/>
              </w:rPr>
              <w:t>$</w:t>
            </w:r>
          </w:p>
        </w:tc>
        <w:tc>
          <w:tcPr>
            <w:tcW w:w="4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w:t>
            </w:r>
          </w:p>
        </w:tc>
        <w:tc>
          <w:tcPr>
            <w:tcW w:w="7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6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(20)</w:t>
            </w:r>
          </w:p>
        </w:tc>
        <w:tc>
          <w:tcPr>
            <w:tcW w:w="400" w:type="dxa"/>
            <w:vAlign w:val="bottom"/>
            <w:gridSpan w:val="2"/>
            <w:shd w:val="clear" w:color="auto" w:fill="CCEEFF"/>
          </w:tcPr>
          <w:p>
            <w:pPr>
              <w:ind w:left="280"/>
              <w:spacing w:after="0"/>
              <w:rPr>
                <w:sz w:val="20"/>
                <w:szCs w:val="20"/>
                <w:color w:val="auto"/>
              </w:rPr>
            </w:pPr>
            <w:r>
              <w:rPr>
                <w:rFonts w:ascii="Arial" w:cs="Arial" w:eastAsia="Arial" w:hAnsi="Arial"/>
                <w:sz w:val="18"/>
                <w:szCs w:val="18"/>
                <w:color w:val="auto"/>
                <w:w w:val="99"/>
              </w:rPr>
              <w:t>$</w:t>
            </w:r>
          </w:p>
        </w:tc>
        <w:tc>
          <w:tcPr>
            <w:tcW w:w="1120" w:type="dxa"/>
            <w:vAlign w:val="bottom"/>
            <w:gridSpan w:val="2"/>
            <w:shd w:val="clear" w:color="auto" w:fill="CCEEFF"/>
          </w:tcPr>
          <w:p>
            <w:pPr>
              <w:jc w:val="right"/>
              <w:ind w:right="440"/>
              <w:spacing w:after="0"/>
              <w:rPr>
                <w:sz w:val="20"/>
                <w:szCs w:val="20"/>
                <w:color w:val="auto"/>
              </w:rPr>
            </w:pPr>
            <w:r>
              <w:rPr>
                <w:rFonts w:ascii="Arial" w:cs="Arial" w:eastAsia="Arial" w:hAnsi="Arial"/>
                <w:sz w:val="18"/>
                <w:szCs w:val="18"/>
                <w:color w:val="auto"/>
              </w:rPr>
              <w:t>—</w:t>
            </w:r>
          </w:p>
        </w:tc>
        <w:tc>
          <w:tcPr>
            <w:tcW w:w="420" w:type="dxa"/>
            <w:vAlign w:val="bottom"/>
            <w:gridSpan w:val="2"/>
            <w:shd w:val="clear" w:color="auto" w:fill="CCEEFF"/>
          </w:tcPr>
          <w:p>
            <w:pPr>
              <w:ind w:left="280"/>
              <w:spacing w:after="0"/>
              <w:rPr>
                <w:sz w:val="20"/>
                <w:szCs w:val="20"/>
                <w:color w:val="auto"/>
              </w:rPr>
            </w:pPr>
            <w:r>
              <w:rPr>
                <w:rFonts w:ascii="Arial" w:cs="Arial" w:eastAsia="Arial" w:hAnsi="Arial"/>
                <w:sz w:val="18"/>
                <w:szCs w:val="18"/>
                <w:color w:val="auto"/>
              </w:rPr>
              <w:t>$</w:t>
            </w:r>
          </w:p>
        </w:tc>
        <w:tc>
          <w:tcPr>
            <w:tcW w:w="1080" w:type="dxa"/>
            <w:vAlign w:val="bottom"/>
            <w:gridSpan w:val="2"/>
            <w:shd w:val="clear" w:color="auto" w:fill="CCEEFF"/>
          </w:tcPr>
          <w:p>
            <w:pPr>
              <w:ind w:left="480"/>
              <w:spacing w:after="0"/>
              <w:rPr>
                <w:sz w:val="20"/>
                <w:szCs w:val="20"/>
                <w:color w:val="auto"/>
              </w:rPr>
            </w:pPr>
            <w:r>
              <w:rPr>
                <w:rFonts w:ascii="Arial" w:cs="Arial" w:eastAsia="Arial" w:hAnsi="Arial"/>
                <w:sz w:val="18"/>
                <w:szCs w:val="18"/>
                <w:color w:val="auto"/>
              </w:rPr>
              <w:t>—</w:t>
            </w:r>
          </w:p>
        </w:tc>
        <w:tc>
          <w:tcPr>
            <w:tcW w:w="3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140" w:type="dxa"/>
            <w:vAlign w:val="bottom"/>
            <w:gridSpan w:val="2"/>
          </w:tcPr>
          <w:p>
            <w:pPr>
              <w:spacing w:after="0"/>
              <w:rPr>
                <w:sz w:val="20"/>
                <w:szCs w:val="20"/>
                <w:color w:val="auto"/>
              </w:rPr>
            </w:pPr>
            <w:r>
              <w:rPr>
                <w:rFonts w:ascii="Arial" w:cs="Arial" w:eastAsia="Arial" w:hAnsi="Arial"/>
                <w:sz w:val="18"/>
                <w:szCs w:val="18"/>
                <w:color w:val="auto"/>
              </w:rPr>
              <w:t>Carrier</w:t>
            </w:r>
          </w:p>
        </w:tc>
        <w:tc>
          <w:tcPr>
            <w:tcW w:w="100" w:type="dxa"/>
            <w:vAlign w:val="bottom"/>
          </w:tcPr>
          <w:p>
            <w:pPr>
              <w:spacing w:after="0"/>
              <w:rPr>
                <w:sz w:val="18"/>
                <w:szCs w:val="18"/>
                <w:color w:val="auto"/>
              </w:rPr>
            </w:pPr>
          </w:p>
        </w:tc>
        <w:tc>
          <w:tcPr>
            <w:tcW w:w="440" w:type="dxa"/>
            <w:vAlign w:val="bottom"/>
          </w:tcPr>
          <w:p>
            <w:pPr>
              <w:jc w:val="right"/>
              <w:spacing w:after="0"/>
              <w:rPr>
                <w:sz w:val="20"/>
                <w:szCs w:val="20"/>
                <w:color w:val="auto"/>
              </w:rPr>
            </w:pPr>
            <w:r>
              <w:rPr>
                <w:rFonts w:ascii="Arial" w:cs="Arial" w:eastAsia="Arial" w:hAnsi="Arial"/>
                <w:sz w:val="18"/>
                <w:szCs w:val="18"/>
                <w:color w:val="auto"/>
              </w:rPr>
              <w:t>37</w:t>
            </w:r>
          </w:p>
        </w:tc>
        <w:tc>
          <w:tcPr>
            <w:tcW w:w="5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60" w:type="dxa"/>
            <w:vAlign w:val="bottom"/>
            <w:gridSpan w:val="2"/>
          </w:tcPr>
          <w:p>
            <w:pPr>
              <w:jc w:val="right"/>
              <w:ind w:right="280"/>
              <w:spacing w:after="0"/>
              <w:rPr>
                <w:sz w:val="20"/>
                <w:szCs w:val="20"/>
                <w:color w:val="auto"/>
              </w:rPr>
            </w:pPr>
            <w:r>
              <w:rPr>
                <w:rFonts w:ascii="Arial" w:cs="Arial" w:eastAsia="Arial" w:hAnsi="Arial"/>
                <w:sz w:val="18"/>
                <w:szCs w:val="18"/>
                <w:color w:val="auto"/>
              </w:rPr>
              <w:t>(33)</w:t>
            </w:r>
          </w:p>
        </w:tc>
        <w:tc>
          <w:tcPr>
            <w:tcW w:w="2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20" w:type="dxa"/>
            <w:vAlign w:val="bottom"/>
            <w:gridSpan w:val="2"/>
          </w:tcPr>
          <w:p>
            <w:pPr>
              <w:jc w:val="right"/>
              <w:ind w:right="440"/>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80" w:type="dxa"/>
            <w:vAlign w:val="bottom"/>
            <w:gridSpan w:val="2"/>
          </w:tcPr>
          <w:p>
            <w:pPr>
              <w:ind w:left="480"/>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40" w:type="dxa"/>
            <w:vAlign w:val="bottom"/>
          </w:tcPr>
          <w:p>
            <w:pPr>
              <w:jc w:val="right"/>
              <w:spacing w:after="0"/>
              <w:rPr>
                <w:sz w:val="20"/>
                <w:szCs w:val="20"/>
                <w:color w:val="auto"/>
              </w:rPr>
            </w:pPr>
            <w:r>
              <w:rPr>
                <w:rFonts w:ascii="Arial" w:cs="Arial" w:eastAsia="Arial" w:hAnsi="Arial"/>
                <w:sz w:val="18"/>
                <w:szCs w:val="18"/>
                <w:color w:val="auto"/>
              </w:rPr>
              <w:t>4</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1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UTC Fire &amp; Security</w:t>
            </w:r>
          </w:p>
        </w:tc>
        <w:tc>
          <w:tcPr>
            <w:tcW w:w="100" w:type="dxa"/>
            <w:vAlign w:val="bottom"/>
            <w:shd w:val="clear" w:color="auto" w:fill="CCEEFF"/>
          </w:tcPr>
          <w:p>
            <w:pPr>
              <w:spacing w:after="0"/>
              <w:rPr>
                <w:sz w:val="18"/>
                <w:szCs w:val="18"/>
                <w:color w:val="auto"/>
              </w:rPr>
            </w:pPr>
          </w:p>
        </w:tc>
        <w:tc>
          <w:tcPr>
            <w:tcW w:w="4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31</w:t>
            </w:r>
          </w:p>
        </w:tc>
        <w:tc>
          <w:tcPr>
            <w:tcW w:w="5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(27)</w:t>
            </w:r>
          </w:p>
        </w:tc>
        <w:tc>
          <w:tcPr>
            <w:tcW w:w="2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(2)</w:t>
            </w:r>
          </w:p>
        </w:tc>
        <w:tc>
          <w:tcPr>
            <w:tcW w:w="2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ind w:left="600"/>
              <w:spacing w:after="0"/>
              <w:rPr>
                <w:sz w:val="20"/>
                <w:szCs w:val="20"/>
                <w:color w:val="auto"/>
              </w:rPr>
            </w:pPr>
            <w:r>
              <w:rPr>
                <w:rFonts w:ascii="Arial" w:cs="Arial" w:eastAsia="Arial" w:hAnsi="Arial"/>
                <w:sz w:val="18"/>
                <w:szCs w:val="18"/>
                <w:color w:val="auto"/>
              </w:rPr>
              <w:t>(1)</w:t>
            </w:r>
          </w:p>
        </w:tc>
        <w:tc>
          <w:tcPr>
            <w:tcW w:w="2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140" w:type="dxa"/>
            <w:vAlign w:val="bottom"/>
            <w:gridSpan w:val="2"/>
          </w:tcPr>
          <w:p>
            <w:pPr>
              <w:spacing w:after="0"/>
              <w:rPr>
                <w:sz w:val="20"/>
                <w:szCs w:val="20"/>
                <w:color w:val="auto"/>
              </w:rPr>
            </w:pPr>
            <w:r>
              <w:rPr>
                <w:rFonts w:ascii="Arial" w:cs="Arial" w:eastAsia="Arial" w:hAnsi="Arial"/>
                <w:sz w:val="18"/>
                <w:szCs w:val="18"/>
                <w:color w:val="auto"/>
              </w:rPr>
              <w:t>Pratt &amp; Whitney</w:t>
            </w:r>
          </w:p>
        </w:tc>
        <w:tc>
          <w:tcPr>
            <w:tcW w:w="100" w:type="dxa"/>
            <w:vAlign w:val="bottom"/>
          </w:tcPr>
          <w:p>
            <w:pPr>
              <w:spacing w:after="0"/>
              <w:rPr>
                <w:sz w:val="18"/>
                <w:szCs w:val="18"/>
                <w:color w:val="auto"/>
              </w:rPr>
            </w:pPr>
          </w:p>
        </w:tc>
        <w:tc>
          <w:tcPr>
            <w:tcW w:w="440" w:type="dxa"/>
            <w:vAlign w:val="bottom"/>
          </w:tcPr>
          <w:p>
            <w:pPr>
              <w:jc w:val="right"/>
              <w:spacing w:after="0"/>
              <w:rPr>
                <w:sz w:val="20"/>
                <w:szCs w:val="20"/>
                <w:color w:val="auto"/>
              </w:rPr>
            </w:pPr>
            <w:r>
              <w:rPr>
                <w:rFonts w:ascii="Arial" w:cs="Arial" w:eastAsia="Arial" w:hAnsi="Arial"/>
                <w:sz w:val="18"/>
                <w:szCs w:val="18"/>
                <w:color w:val="auto"/>
              </w:rPr>
              <w:t>43</w:t>
            </w:r>
          </w:p>
        </w:tc>
        <w:tc>
          <w:tcPr>
            <w:tcW w:w="5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60" w:type="dxa"/>
            <w:vAlign w:val="bottom"/>
            <w:gridSpan w:val="2"/>
          </w:tcPr>
          <w:p>
            <w:pPr>
              <w:jc w:val="right"/>
              <w:ind w:right="280"/>
              <w:spacing w:after="0"/>
              <w:rPr>
                <w:sz w:val="20"/>
                <w:szCs w:val="20"/>
                <w:color w:val="auto"/>
              </w:rPr>
            </w:pPr>
            <w:r>
              <w:rPr>
                <w:rFonts w:ascii="Arial" w:cs="Arial" w:eastAsia="Arial" w:hAnsi="Arial"/>
                <w:sz w:val="18"/>
                <w:szCs w:val="18"/>
                <w:color w:val="auto"/>
              </w:rPr>
              <w:t>(25)</w:t>
            </w:r>
          </w:p>
        </w:tc>
        <w:tc>
          <w:tcPr>
            <w:tcW w:w="2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20" w:type="dxa"/>
            <w:vAlign w:val="bottom"/>
            <w:gridSpan w:val="2"/>
          </w:tcPr>
          <w:p>
            <w:pPr>
              <w:jc w:val="right"/>
              <w:ind w:right="300"/>
              <w:spacing w:after="0"/>
              <w:rPr>
                <w:sz w:val="20"/>
                <w:szCs w:val="20"/>
                <w:color w:val="auto"/>
              </w:rPr>
            </w:pPr>
            <w:r>
              <w:rPr>
                <w:rFonts w:ascii="Arial" w:cs="Arial" w:eastAsia="Arial" w:hAnsi="Arial"/>
                <w:sz w:val="18"/>
                <w:szCs w:val="18"/>
                <w:color w:val="auto"/>
              </w:rPr>
              <w:t>(2)</w:t>
            </w:r>
          </w:p>
        </w:tc>
        <w:tc>
          <w:tcPr>
            <w:tcW w:w="2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80" w:type="dxa"/>
            <w:vAlign w:val="bottom"/>
            <w:gridSpan w:val="2"/>
          </w:tcPr>
          <w:p>
            <w:pPr>
              <w:ind w:left="480"/>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40" w:type="dxa"/>
            <w:vAlign w:val="bottom"/>
          </w:tcPr>
          <w:p>
            <w:pPr>
              <w:jc w:val="right"/>
              <w:spacing w:after="0"/>
              <w:rPr>
                <w:sz w:val="20"/>
                <w:szCs w:val="20"/>
                <w:color w:val="auto"/>
              </w:rPr>
            </w:pPr>
            <w:r>
              <w:rPr>
                <w:rFonts w:ascii="Arial" w:cs="Arial" w:eastAsia="Arial" w:hAnsi="Arial"/>
                <w:sz w:val="18"/>
                <w:szCs w:val="18"/>
                <w:color w:val="auto"/>
              </w:rPr>
              <w:t>16</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1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Hamilton Sundstrand</w:t>
            </w:r>
          </w:p>
        </w:tc>
        <w:tc>
          <w:tcPr>
            <w:tcW w:w="100" w:type="dxa"/>
            <w:vAlign w:val="bottom"/>
            <w:shd w:val="clear" w:color="auto" w:fill="CCEEFF"/>
          </w:tcPr>
          <w:p>
            <w:pPr>
              <w:spacing w:after="0"/>
              <w:rPr>
                <w:sz w:val="18"/>
                <w:szCs w:val="18"/>
                <w:color w:val="auto"/>
              </w:rPr>
            </w:pPr>
          </w:p>
        </w:tc>
        <w:tc>
          <w:tcPr>
            <w:tcW w:w="4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w:t>
            </w:r>
          </w:p>
        </w:tc>
        <w:tc>
          <w:tcPr>
            <w:tcW w:w="5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(4)</w:t>
            </w:r>
          </w:p>
        </w:tc>
        <w:tc>
          <w:tcPr>
            <w:tcW w:w="2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(1)</w:t>
            </w:r>
          </w:p>
        </w:tc>
        <w:tc>
          <w:tcPr>
            <w:tcW w:w="2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ind w:left="480"/>
              <w:spacing w:after="0"/>
              <w:rPr>
                <w:sz w:val="20"/>
                <w:szCs w:val="20"/>
                <w:color w:val="auto"/>
              </w:rPr>
            </w:pPr>
            <w:r>
              <w:rPr>
                <w:rFonts w:ascii="Arial" w:cs="Arial" w:eastAsia="Arial" w:hAnsi="Arial"/>
                <w:sz w:val="18"/>
                <w:szCs w:val="18"/>
                <w:color w:val="auto"/>
              </w:rPr>
              <w:t>—</w:t>
            </w:r>
          </w:p>
        </w:tc>
        <w:tc>
          <w:tcPr>
            <w:tcW w:w="2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5160" w:type="dxa"/>
            <w:vAlign w:val="bottom"/>
            <w:gridSpan w:val="3"/>
            <w:vMerge w:val="restart"/>
          </w:tcPr>
          <w:p>
            <w:pPr>
              <w:spacing w:after="0"/>
              <w:rPr>
                <w:sz w:val="20"/>
                <w:szCs w:val="20"/>
                <w:color w:val="auto"/>
              </w:rPr>
            </w:pPr>
            <w:r>
              <w:rPr>
                <w:rFonts w:ascii="Arial" w:cs="Arial" w:eastAsia="Arial" w:hAnsi="Arial"/>
                <w:sz w:val="18"/>
                <w:szCs w:val="18"/>
                <w:color w:val="auto"/>
              </w:rPr>
              <w:t>Total</w:t>
            </w:r>
          </w:p>
        </w:tc>
        <w:tc>
          <w:tcPr>
            <w:tcW w:w="100" w:type="dxa"/>
            <w:vAlign w:val="bottom"/>
            <w:shd w:val="clear" w:color="auto" w:fill="000000"/>
          </w:tcPr>
          <w:p>
            <w:pPr>
              <w:spacing w:after="0" w:line="20" w:lineRule="exact"/>
              <w:rPr>
                <w:sz w:val="1"/>
                <w:szCs w:val="1"/>
                <w:color w:val="auto"/>
              </w:rPr>
            </w:pPr>
          </w:p>
        </w:tc>
        <w:tc>
          <w:tcPr>
            <w:tcW w:w="440" w:type="dxa"/>
            <w:vAlign w:val="bottom"/>
            <w:shd w:val="clear" w:color="auto" w:fill="000000"/>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2"/>
        </w:trPr>
        <w:tc>
          <w:tcPr>
            <w:tcW w:w="5160" w:type="dxa"/>
            <w:vAlign w:val="bottom"/>
            <w:gridSpan w:val="3"/>
            <w:vMerge w:val="continue"/>
          </w:tcPr>
          <w:p>
            <w:pPr>
              <w:spacing w:after="0"/>
              <w:rPr>
                <w:sz w:val="19"/>
                <w:szCs w:val="19"/>
                <w:color w:val="auto"/>
              </w:rPr>
            </w:pPr>
          </w:p>
        </w:tc>
        <w:tc>
          <w:tcPr>
            <w:tcW w:w="100" w:type="dxa"/>
            <w:vAlign w:val="bottom"/>
          </w:tcPr>
          <w:p>
            <w:pPr>
              <w:spacing w:after="0"/>
              <w:rPr>
                <w:sz w:val="20"/>
                <w:szCs w:val="20"/>
                <w:color w:val="auto"/>
              </w:rPr>
            </w:pPr>
            <w:r>
              <w:rPr>
                <w:rFonts w:ascii="Arial" w:cs="Arial" w:eastAsia="Arial" w:hAnsi="Arial"/>
                <w:sz w:val="18"/>
                <w:szCs w:val="18"/>
                <w:color w:val="auto"/>
                <w:w w:val="79"/>
              </w:rPr>
              <w:t>$</w:t>
            </w:r>
          </w:p>
        </w:tc>
        <w:tc>
          <w:tcPr>
            <w:tcW w:w="440" w:type="dxa"/>
            <w:vAlign w:val="bottom"/>
          </w:tcPr>
          <w:p>
            <w:pPr>
              <w:jc w:val="right"/>
              <w:spacing w:after="0"/>
              <w:rPr>
                <w:sz w:val="20"/>
                <w:szCs w:val="20"/>
                <w:color w:val="auto"/>
              </w:rPr>
            </w:pPr>
            <w:r>
              <w:rPr>
                <w:rFonts w:ascii="Arial" w:cs="Arial" w:eastAsia="Arial" w:hAnsi="Arial"/>
                <w:sz w:val="18"/>
                <w:szCs w:val="18"/>
                <w:color w:val="auto"/>
              </w:rPr>
              <w:t>143</w:t>
            </w:r>
          </w:p>
        </w:tc>
        <w:tc>
          <w:tcPr>
            <w:tcW w:w="7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060" w:type="dxa"/>
            <w:vAlign w:val="bottom"/>
            <w:gridSpan w:val="2"/>
          </w:tcPr>
          <w:p>
            <w:pPr>
              <w:jc w:val="right"/>
              <w:ind w:right="280"/>
              <w:spacing w:after="0"/>
              <w:rPr>
                <w:sz w:val="20"/>
                <w:szCs w:val="20"/>
                <w:color w:val="auto"/>
              </w:rPr>
            </w:pPr>
            <w:r>
              <w:rPr>
                <w:rFonts w:ascii="Arial" w:cs="Arial" w:eastAsia="Arial" w:hAnsi="Arial"/>
                <w:sz w:val="18"/>
                <w:szCs w:val="18"/>
                <w:color w:val="auto"/>
              </w:rPr>
              <w:t>(109)</w:t>
            </w:r>
          </w:p>
        </w:tc>
        <w:tc>
          <w:tcPr>
            <w:tcW w:w="400" w:type="dxa"/>
            <w:vAlign w:val="bottom"/>
            <w:gridSpan w:val="2"/>
          </w:tcPr>
          <w:p>
            <w:pPr>
              <w:ind w:left="280"/>
              <w:spacing w:after="0"/>
              <w:rPr>
                <w:sz w:val="20"/>
                <w:szCs w:val="20"/>
                <w:color w:val="auto"/>
              </w:rPr>
            </w:pPr>
            <w:r>
              <w:rPr>
                <w:rFonts w:ascii="Arial" w:cs="Arial" w:eastAsia="Arial" w:hAnsi="Arial"/>
                <w:sz w:val="18"/>
                <w:szCs w:val="18"/>
                <w:color w:val="auto"/>
                <w:w w:val="99"/>
              </w:rPr>
              <w:t>$</w:t>
            </w:r>
          </w:p>
        </w:tc>
        <w:tc>
          <w:tcPr>
            <w:tcW w:w="1120" w:type="dxa"/>
            <w:vAlign w:val="bottom"/>
            <w:gridSpan w:val="2"/>
          </w:tcPr>
          <w:p>
            <w:pPr>
              <w:jc w:val="right"/>
              <w:ind w:right="300"/>
              <w:spacing w:after="0"/>
              <w:rPr>
                <w:sz w:val="20"/>
                <w:szCs w:val="20"/>
                <w:color w:val="auto"/>
              </w:rPr>
            </w:pPr>
            <w:r>
              <w:rPr>
                <w:rFonts w:ascii="Arial" w:cs="Arial" w:eastAsia="Arial" w:hAnsi="Arial"/>
                <w:sz w:val="18"/>
                <w:szCs w:val="18"/>
                <w:color w:val="auto"/>
              </w:rPr>
              <w:t>(5)</w:t>
            </w:r>
          </w:p>
        </w:tc>
        <w:tc>
          <w:tcPr>
            <w:tcW w:w="420" w:type="dxa"/>
            <w:vAlign w:val="bottom"/>
            <w:gridSpan w:val="2"/>
          </w:tcPr>
          <w:p>
            <w:pPr>
              <w:ind w:left="280"/>
              <w:spacing w:after="0"/>
              <w:rPr>
                <w:sz w:val="20"/>
                <w:szCs w:val="20"/>
                <w:color w:val="auto"/>
              </w:rPr>
            </w:pPr>
            <w:r>
              <w:rPr>
                <w:rFonts w:ascii="Arial" w:cs="Arial" w:eastAsia="Arial" w:hAnsi="Arial"/>
                <w:sz w:val="18"/>
                <w:szCs w:val="18"/>
                <w:color w:val="auto"/>
              </w:rPr>
              <w:t>$</w:t>
            </w:r>
          </w:p>
        </w:tc>
        <w:tc>
          <w:tcPr>
            <w:tcW w:w="1080" w:type="dxa"/>
            <w:vAlign w:val="bottom"/>
            <w:gridSpan w:val="2"/>
          </w:tcPr>
          <w:p>
            <w:pPr>
              <w:ind w:left="600"/>
              <w:spacing w:after="0"/>
              <w:rPr>
                <w:sz w:val="20"/>
                <w:szCs w:val="20"/>
                <w:color w:val="auto"/>
              </w:rPr>
            </w:pPr>
            <w:r>
              <w:rPr>
                <w:rFonts w:ascii="Arial" w:cs="Arial" w:eastAsia="Arial" w:hAnsi="Arial"/>
                <w:sz w:val="18"/>
                <w:szCs w:val="18"/>
                <w:color w:val="auto"/>
              </w:rPr>
              <w:t>(1)</w:t>
            </w:r>
          </w:p>
        </w:tc>
        <w:tc>
          <w:tcPr>
            <w:tcW w:w="3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560" w:type="dxa"/>
            <w:vAlign w:val="bottom"/>
            <w:gridSpan w:val="2"/>
          </w:tcPr>
          <w:p>
            <w:pPr>
              <w:jc w:val="right"/>
              <w:ind w:right="20"/>
              <w:spacing w:after="0"/>
              <w:rPr>
                <w:sz w:val="20"/>
                <w:szCs w:val="20"/>
                <w:color w:val="auto"/>
              </w:rPr>
            </w:pPr>
            <w:r>
              <w:rPr>
                <w:rFonts w:ascii="Arial" w:cs="Arial" w:eastAsia="Arial" w:hAnsi="Arial"/>
                <w:sz w:val="18"/>
                <w:szCs w:val="18"/>
                <w:color w:val="auto"/>
              </w:rPr>
              <w:t>28</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340" w:type="dxa"/>
            <w:vAlign w:val="bottom"/>
          </w:tcPr>
          <w:p>
            <w:pPr>
              <w:spacing w:after="0" w:line="20" w:lineRule="exact"/>
              <w:rPr>
                <w:sz w:val="1"/>
                <w:szCs w:val="1"/>
                <w:color w:val="auto"/>
              </w:rPr>
            </w:pPr>
          </w:p>
        </w:tc>
        <w:tc>
          <w:tcPr>
            <w:tcW w:w="38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61" w:lineRule="exact"/>
        <w:rPr>
          <w:sz w:val="20"/>
          <w:szCs w:val="20"/>
          <w:color w:val="auto"/>
        </w:rPr>
      </w:pPr>
    </w:p>
    <w:p>
      <w:pPr>
        <w:ind w:right="60" w:firstLine="456"/>
        <w:spacing w:after="0" w:line="262" w:lineRule="auto"/>
        <w:rPr>
          <w:sz w:val="20"/>
          <w:szCs w:val="20"/>
          <w:color w:val="auto"/>
        </w:rPr>
      </w:pPr>
      <w:r>
        <w:rPr>
          <w:rFonts w:ascii="Arial" w:cs="Arial" w:eastAsia="Arial" w:hAnsi="Arial"/>
          <w:sz w:val="18"/>
          <w:szCs w:val="18"/>
          <w:b w:val="1"/>
          <w:bCs w:val="1"/>
          <w:color w:val="auto"/>
        </w:rPr>
        <w:t xml:space="preserve">2006 Actions. </w:t>
      </w:r>
      <w:r>
        <w:rPr>
          <w:rFonts w:ascii="Arial" w:cs="Arial" w:eastAsia="Arial" w:hAnsi="Arial"/>
          <w:sz w:val="18"/>
          <w:szCs w:val="18"/>
          <w:color w:val="auto"/>
        </w:rPr>
        <w:t>During the first six months of 2008, we recorded net pre-tax restructuring and related charges to cost of sales in the business segments</w:t>
      </w:r>
      <w:r>
        <w:rPr>
          <w:rFonts w:ascii="Arial" w:cs="Arial" w:eastAsia="Arial" w:hAnsi="Arial"/>
          <w:sz w:val="18"/>
          <w:szCs w:val="18"/>
          <w:b w:val="1"/>
          <w:bCs w:val="1"/>
          <w:color w:val="auto"/>
        </w:rPr>
        <w:t xml:space="preserve"> </w:t>
      </w:r>
      <w:r>
        <w:rPr>
          <w:rFonts w:ascii="Arial" w:cs="Arial" w:eastAsia="Arial" w:hAnsi="Arial"/>
          <w:sz w:val="18"/>
          <w:szCs w:val="18"/>
          <w:color w:val="auto"/>
        </w:rPr>
        <w:t>totaling $17 million for restructuring actions initiated in 2006. These actions relate to ongoing cost reduction efforts, including selling, general and administrative reductions, workforce reductions and the consolidation of manufacturing facilities.</w:t>
      </w:r>
    </w:p>
    <w:p>
      <w:pPr>
        <w:spacing w:after="0" w:line="138" w:lineRule="exact"/>
        <w:rPr>
          <w:sz w:val="20"/>
          <w:szCs w:val="20"/>
          <w:color w:val="auto"/>
        </w:rPr>
      </w:pPr>
    </w:p>
    <w:p>
      <w:pPr>
        <w:ind w:right="400" w:firstLine="456"/>
        <w:spacing w:after="0" w:line="332" w:lineRule="auto"/>
        <w:rPr>
          <w:sz w:val="20"/>
          <w:szCs w:val="20"/>
          <w:color w:val="auto"/>
        </w:rPr>
      </w:pPr>
      <w:r>
        <w:rPr>
          <w:rFonts w:ascii="Arial" w:cs="Arial" w:eastAsia="Arial" w:hAnsi="Arial"/>
          <w:sz w:val="16"/>
          <w:szCs w:val="16"/>
          <w:color w:val="auto"/>
        </w:rPr>
        <w:t>As of June 30, 2008, all net workforce reductions of an expected 3,700 employees have been completed, and 400,000 net square feet of facilities of an expected 800,000 net square feet have been exited. The remaining facility reduction actions are targeted for completion during 2008.</w:t>
      </w:r>
    </w:p>
    <w:p>
      <w:pPr>
        <w:spacing w:after="0" w:line="85"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following table summarizes the accrual balances and utilization by cost type for the 2006 restructuring actions:</w:t>
      </w:r>
    </w:p>
    <w:p>
      <w:pPr>
        <w:spacing w:after="0" w:line="195"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2920" w:type="dxa"/>
            <w:vAlign w:val="bottom"/>
          </w:tcPr>
          <w:p>
            <w:pPr>
              <w:spacing w:after="0"/>
              <w:rPr>
                <w:sz w:val="14"/>
                <w:szCs w:val="14"/>
                <w:color w:val="auto"/>
              </w:rPr>
            </w:pPr>
          </w:p>
        </w:tc>
        <w:tc>
          <w:tcPr>
            <w:tcW w:w="31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1260" w:type="dxa"/>
            <w:vAlign w:val="bottom"/>
            <w:gridSpan w:val="3"/>
          </w:tcPr>
          <w:p>
            <w:pPr>
              <w:spacing w:after="0"/>
              <w:rPr>
                <w:sz w:val="20"/>
                <w:szCs w:val="20"/>
                <w:color w:val="auto"/>
              </w:rPr>
            </w:pPr>
            <w:r>
              <w:rPr>
                <w:rFonts w:ascii="Arial" w:cs="Arial" w:eastAsia="Arial" w:hAnsi="Arial"/>
                <w:sz w:val="14"/>
                <w:szCs w:val="14"/>
                <w:b w:val="1"/>
                <w:bCs w:val="1"/>
                <w:color w:val="auto"/>
              </w:rPr>
              <w:t>Facility Exit</w:t>
            </w:r>
          </w:p>
        </w:tc>
        <w:tc>
          <w:tcPr>
            <w:tcW w:w="30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340" w:type="dxa"/>
            <w:vAlign w:val="bottom"/>
          </w:tcPr>
          <w:p>
            <w:pPr>
              <w:spacing w:after="0"/>
              <w:rPr>
                <w:sz w:val="12"/>
                <w:szCs w:val="12"/>
                <w:color w:val="auto"/>
              </w:rPr>
            </w:pPr>
          </w:p>
        </w:tc>
        <w:tc>
          <w:tcPr>
            <w:tcW w:w="2920" w:type="dxa"/>
            <w:vAlign w:val="bottom"/>
          </w:tcPr>
          <w:p>
            <w:pPr>
              <w:spacing w:after="0"/>
              <w:rPr>
                <w:sz w:val="12"/>
                <w:szCs w:val="12"/>
                <w:color w:val="auto"/>
              </w:rPr>
            </w:pPr>
          </w:p>
        </w:tc>
        <w:tc>
          <w:tcPr>
            <w:tcW w:w="31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1260" w:type="dxa"/>
            <w:vAlign w:val="bottom"/>
            <w:gridSpan w:val="3"/>
          </w:tcPr>
          <w:p>
            <w:pPr>
              <w:ind w:left="60"/>
              <w:spacing w:after="0" w:line="149" w:lineRule="exact"/>
              <w:rPr>
                <w:sz w:val="20"/>
                <w:szCs w:val="20"/>
                <w:color w:val="auto"/>
              </w:rPr>
            </w:pPr>
            <w:r>
              <w:rPr>
                <w:rFonts w:ascii="Arial" w:cs="Arial" w:eastAsia="Arial" w:hAnsi="Arial"/>
                <w:sz w:val="14"/>
                <w:szCs w:val="14"/>
                <w:b w:val="1"/>
                <w:bCs w:val="1"/>
                <w:color w:val="auto"/>
              </w:rPr>
              <w:t>and Lease</w:t>
            </w:r>
          </w:p>
        </w:tc>
        <w:tc>
          <w:tcPr>
            <w:tcW w:w="3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340" w:type="dxa"/>
            <w:vAlign w:val="bottom"/>
          </w:tcPr>
          <w:p>
            <w:pPr>
              <w:spacing w:after="0"/>
              <w:rPr>
                <w:sz w:val="12"/>
                <w:szCs w:val="12"/>
                <w:color w:val="auto"/>
              </w:rPr>
            </w:pPr>
          </w:p>
        </w:tc>
        <w:tc>
          <w:tcPr>
            <w:tcW w:w="2920" w:type="dxa"/>
            <w:vAlign w:val="bottom"/>
          </w:tcPr>
          <w:p>
            <w:pPr>
              <w:spacing w:after="0"/>
              <w:rPr>
                <w:sz w:val="12"/>
                <w:szCs w:val="12"/>
                <w:color w:val="auto"/>
              </w:rPr>
            </w:pPr>
          </w:p>
        </w:tc>
        <w:tc>
          <w:tcPr>
            <w:tcW w:w="31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620" w:type="dxa"/>
            <w:vAlign w:val="bottom"/>
          </w:tcPr>
          <w:p>
            <w:pPr>
              <w:ind w:left="60"/>
              <w:spacing w:after="0" w:line="149" w:lineRule="exact"/>
              <w:rPr>
                <w:sz w:val="20"/>
                <w:szCs w:val="20"/>
                <w:color w:val="auto"/>
              </w:rPr>
            </w:pPr>
            <w:r>
              <w:rPr>
                <w:rFonts w:ascii="Arial" w:cs="Arial" w:eastAsia="Arial" w:hAnsi="Arial"/>
                <w:sz w:val="14"/>
                <w:szCs w:val="14"/>
                <w:b w:val="1"/>
                <w:bCs w:val="1"/>
                <w:color w:val="auto"/>
              </w:rPr>
              <w:t>Asset</w:t>
            </w:r>
          </w:p>
        </w:tc>
        <w:tc>
          <w:tcPr>
            <w:tcW w:w="480" w:type="dxa"/>
            <w:vAlign w:val="bottom"/>
          </w:tcPr>
          <w:p>
            <w:pPr>
              <w:spacing w:after="0"/>
              <w:rPr>
                <w:sz w:val="12"/>
                <w:szCs w:val="12"/>
                <w:color w:val="auto"/>
              </w:rPr>
            </w:pPr>
          </w:p>
        </w:tc>
        <w:tc>
          <w:tcPr>
            <w:tcW w:w="1260" w:type="dxa"/>
            <w:vAlign w:val="bottom"/>
            <w:gridSpan w:val="3"/>
          </w:tcPr>
          <w:p>
            <w:pPr>
              <w:spacing w:after="0" w:line="149" w:lineRule="exact"/>
              <w:rPr>
                <w:sz w:val="20"/>
                <w:szCs w:val="20"/>
                <w:color w:val="auto"/>
              </w:rPr>
            </w:pPr>
            <w:r>
              <w:rPr>
                <w:rFonts w:ascii="Arial" w:cs="Arial" w:eastAsia="Arial" w:hAnsi="Arial"/>
                <w:sz w:val="14"/>
                <w:szCs w:val="14"/>
                <w:b w:val="1"/>
                <w:bCs w:val="1"/>
                <w:color w:val="auto"/>
              </w:rPr>
              <w:t>Termination</w:t>
            </w:r>
          </w:p>
        </w:tc>
        <w:tc>
          <w:tcPr>
            <w:tcW w:w="3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1"/>
        </w:trPr>
        <w:tc>
          <w:tcPr>
            <w:tcW w:w="4280" w:type="dxa"/>
            <w:vAlign w:val="bottom"/>
            <w:gridSpan w:val="3"/>
          </w:tcPr>
          <w:p>
            <w:pPr>
              <w:spacing w:after="0"/>
              <w:rPr>
                <w:sz w:val="20"/>
                <w:szCs w:val="20"/>
                <w:color w:val="auto"/>
              </w:rPr>
            </w:pPr>
            <w:r>
              <w:rPr>
                <w:rFonts w:ascii="Arial" w:cs="Arial" w:eastAsia="Arial" w:hAnsi="Arial"/>
                <w:sz w:val="14"/>
                <w:szCs w:val="14"/>
                <w:b w:val="1"/>
                <w:bCs w:val="1"/>
                <w:color w:val="auto"/>
              </w:rPr>
              <w:t>(in millions of dollars)</w:t>
            </w:r>
          </w:p>
        </w:tc>
        <w:tc>
          <w:tcPr>
            <w:tcW w:w="3120" w:type="dxa"/>
            <w:vAlign w:val="bottom"/>
          </w:tcPr>
          <w:p>
            <w:pPr>
              <w:spacing w:after="0"/>
              <w:rPr>
                <w:sz w:val="14"/>
                <w:szCs w:val="14"/>
                <w:color w:val="auto"/>
              </w:rPr>
            </w:pPr>
          </w:p>
        </w:tc>
        <w:tc>
          <w:tcPr>
            <w:tcW w:w="880" w:type="dxa"/>
            <w:vAlign w:val="bottom"/>
            <w:gridSpan w:val="3"/>
          </w:tcPr>
          <w:p>
            <w:pPr>
              <w:spacing w:after="0"/>
              <w:rPr>
                <w:sz w:val="20"/>
                <w:szCs w:val="20"/>
                <w:color w:val="auto"/>
              </w:rPr>
            </w:pPr>
            <w:r>
              <w:rPr>
                <w:rFonts w:ascii="Arial" w:cs="Arial" w:eastAsia="Arial" w:hAnsi="Arial"/>
                <w:sz w:val="14"/>
                <w:szCs w:val="14"/>
                <w:b w:val="1"/>
                <w:bCs w:val="1"/>
                <w:color w:val="auto"/>
              </w:rPr>
              <w:t>Severance</w:t>
            </w:r>
          </w:p>
        </w:tc>
        <w:tc>
          <w:tcPr>
            <w:tcW w:w="240" w:type="dxa"/>
            <w:vAlign w:val="bottom"/>
          </w:tcPr>
          <w:p>
            <w:pPr>
              <w:spacing w:after="0"/>
              <w:rPr>
                <w:sz w:val="14"/>
                <w:szCs w:val="14"/>
                <w:color w:val="auto"/>
              </w:rPr>
            </w:pPr>
          </w:p>
        </w:tc>
        <w:tc>
          <w:tcPr>
            <w:tcW w:w="800" w:type="dxa"/>
            <w:vAlign w:val="bottom"/>
            <w:gridSpan w:val="2"/>
          </w:tcPr>
          <w:p>
            <w:pPr>
              <w:ind w:left="20"/>
              <w:spacing w:after="0"/>
              <w:rPr>
                <w:sz w:val="20"/>
                <w:szCs w:val="20"/>
                <w:color w:val="auto"/>
              </w:rPr>
            </w:pPr>
            <w:r>
              <w:rPr>
                <w:rFonts w:ascii="Arial" w:cs="Arial" w:eastAsia="Arial" w:hAnsi="Arial"/>
                <w:sz w:val="14"/>
                <w:szCs w:val="14"/>
                <w:b w:val="1"/>
                <w:bCs w:val="1"/>
                <w:color w:val="auto"/>
                <w:w w:val="88"/>
              </w:rPr>
              <w:t>Write-Downs</w:t>
            </w:r>
          </w:p>
        </w:tc>
        <w:tc>
          <w:tcPr>
            <w:tcW w:w="4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120" w:type="dxa"/>
            <w:vAlign w:val="bottom"/>
            <w:gridSpan w:val="2"/>
          </w:tcPr>
          <w:p>
            <w:pPr>
              <w:jc w:val="right"/>
              <w:ind w:right="740"/>
              <w:spacing w:after="0"/>
              <w:rPr>
                <w:sz w:val="20"/>
                <w:szCs w:val="20"/>
                <w:color w:val="auto"/>
              </w:rPr>
            </w:pPr>
            <w:r>
              <w:rPr>
                <w:rFonts w:ascii="Arial" w:cs="Arial" w:eastAsia="Arial" w:hAnsi="Arial"/>
                <w:sz w:val="14"/>
                <w:szCs w:val="14"/>
                <w:b w:val="1"/>
                <w:bCs w:val="1"/>
                <w:color w:val="auto"/>
                <w:w w:val="92"/>
              </w:rPr>
              <w:t>Costs</w:t>
            </w:r>
          </w:p>
        </w:tc>
        <w:tc>
          <w:tcPr>
            <w:tcW w:w="360" w:type="dxa"/>
            <w:vAlign w:val="bottom"/>
            <w:gridSpan w:val="2"/>
          </w:tcPr>
          <w:p>
            <w:pPr>
              <w:jc w:val="right"/>
              <w:ind w:right="60"/>
              <w:spacing w:after="0"/>
              <w:rPr>
                <w:sz w:val="20"/>
                <w:szCs w:val="20"/>
                <w:color w:val="auto"/>
              </w:rPr>
            </w:pPr>
            <w:r>
              <w:rPr>
                <w:rFonts w:ascii="Arial" w:cs="Arial" w:eastAsia="Arial" w:hAnsi="Arial"/>
                <w:sz w:val="14"/>
                <w:szCs w:val="14"/>
                <w:b w:val="1"/>
                <w:bCs w:val="1"/>
                <w:color w:val="auto"/>
                <w:w w:val="83"/>
              </w:rPr>
              <w:t>Total</w:t>
            </w:r>
          </w:p>
        </w:tc>
        <w:tc>
          <w:tcPr>
            <w:tcW w:w="0" w:type="dxa"/>
            <w:vAlign w:val="bottom"/>
          </w:tcPr>
          <w:p>
            <w:pPr>
              <w:spacing w:after="0"/>
              <w:rPr>
                <w:sz w:val="1"/>
                <w:szCs w:val="1"/>
                <w:color w:val="auto"/>
              </w:rPr>
            </w:pPr>
          </w:p>
        </w:tc>
      </w:tr>
      <w:tr>
        <w:trPr>
          <w:trHeight w:val="20"/>
        </w:trPr>
        <w:tc>
          <w:tcPr>
            <w:tcW w:w="20" w:type="dxa"/>
            <w:vAlign w:val="bottom"/>
            <w:vMerge w:val="restart"/>
          </w:tcPr>
          <w:p>
            <w:pPr>
              <w:spacing w:after="0" w:line="20" w:lineRule="exact"/>
              <w:rPr>
                <w:sz w:val="1"/>
                <w:szCs w:val="1"/>
                <w:color w:val="auto"/>
              </w:rPr>
            </w:pPr>
          </w:p>
        </w:tc>
        <w:tc>
          <w:tcPr>
            <w:tcW w:w="1340" w:type="dxa"/>
            <w:vAlign w:val="bottom"/>
            <w:shd w:val="clear" w:color="auto" w:fill="000000"/>
          </w:tcPr>
          <w:p>
            <w:pPr>
              <w:spacing w:after="0" w:line="20" w:lineRule="exact"/>
              <w:rPr>
                <w:sz w:val="1"/>
                <w:szCs w:val="1"/>
                <w:color w:val="auto"/>
              </w:rPr>
            </w:pPr>
          </w:p>
        </w:tc>
        <w:tc>
          <w:tcPr>
            <w:tcW w:w="2920" w:type="dxa"/>
            <w:vAlign w:val="bottom"/>
          </w:tcPr>
          <w:p>
            <w:pPr>
              <w:spacing w:after="0" w:line="20" w:lineRule="exact"/>
              <w:rPr>
                <w:sz w:val="1"/>
                <w:szCs w:val="1"/>
                <w:color w:val="auto"/>
              </w:rPr>
            </w:pPr>
          </w:p>
        </w:tc>
        <w:tc>
          <w:tcPr>
            <w:tcW w:w="3120" w:type="dxa"/>
            <w:vAlign w:val="bottom"/>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380" w:type="dxa"/>
            <w:vAlign w:val="bottom"/>
            <w:shd w:val="clear" w:color="auto" w:fill="000000"/>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vMerge w:val="continue"/>
          </w:tcPr>
          <w:p>
            <w:pPr>
              <w:spacing w:after="0"/>
              <w:rPr>
                <w:sz w:val="18"/>
                <w:szCs w:val="18"/>
                <w:color w:val="auto"/>
              </w:rPr>
            </w:pPr>
          </w:p>
        </w:tc>
        <w:tc>
          <w:tcPr>
            <w:tcW w:w="42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Restructuring accruals at March 31, 2008</w:t>
            </w:r>
          </w:p>
        </w:tc>
        <w:tc>
          <w:tcPr>
            <w:tcW w:w="3320" w:type="dxa"/>
            <w:vAlign w:val="bottom"/>
            <w:gridSpan w:val="2"/>
            <w:shd w:val="clear" w:color="auto" w:fill="CCEEFF"/>
          </w:tcPr>
          <w:p>
            <w:pPr>
              <w:ind w:left="3120"/>
              <w:spacing w:after="0"/>
              <w:rPr>
                <w:sz w:val="20"/>
                <w:szCs w:val="20"/>
                <w:color w:val="auto"/>
              </w:rPr>
            </w:pPr>
            <w:r>
              <w:rPr>
                <w:rFonts w:ascii="Arial" w:cs="Arial" w:eastAsia="Arial" w:hAnsi="Arial"/>
                <w:sz w:val="18"/>
                <w:szCs w:val="18"/>
                <w:color w:val="auto"/>
              </w:rPr>
              <w:t>$</w:t>
            </w:r>
          </w:p>
        </w:tc>
        <w:tc>
          <w:tcPr>
            <w:tcW w:w="3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w:t>
            </w:r>
          </w:p>
        </w:tc>
        <w:tc>
          <w:tcPr>
            <w:tcW w:w="300" w:type="dxa"/>
            <w:vAlign w:val="bottom"/>
            <w:shd w:val="clear" w:color="auto" w:fill="CCEEFF"/>
          </w:tcPr>
          <w:p>
            <w:pPr>
              <w:spacing w:after="0"/>
              <w:rPr>
                <w:sz w:val="18"/>
                <w:szCs w:val="18"/>
                <w:color w:val="auto"/>
              </w:rPr>
            </w:pPr>
          </w:p>
        </w:tc>
        <w:tc>
          <w:tcPr>
            <w:tcW w:w="420" w:type="dxa"/>
            <w:vAlign w:val="bottom"/>
            <w:gridSpan w:val="2"/>
            <w:shd w:val="clear" w:color="auto" w:fill="CCEEFF"/>
          </w:tcPr>
          <w:p>
            <w:pPr>
              <w:ind w:left="240"/>
              <w:spacing w:after="0"/>
              <w:rPr>
                <w:sz w:val="20"/>
                <w:szCs w:val="20"/>
                <w:color w:val="auto"/>
              </w:rPr>
            </w:pPr>
            <w:r>
              <w:rPr>
                <w:rFonts w:ascii="Arial" w:cs="Arial" w:eastAsia="Arial" w:hAnsi="Arial"/>
                <w:sz w:val="18"/>
                <w:szCs w:val="18"/>
                <w:color w:val="auto"/>
              </w:rPr>
              <w:t>$</w:t>
            </w:r>
          </w:p>
        </w:tc>
        <w:tc>
          <w:tcPr>
            <w:tcW w:w="620" w:type="dxa"/>
            <w:vAlign w:val="bottom"/>
            <w:shd w:val="clear" w:color="auto" w:fill="CCEEFF"/>
          </w:tcPr>
          <w:p>
            <w:pPr>
              <w:ind w:left="340"/>
              <w:spacing w:after="0"/>
              <w:rPr>
                <w:sz w:val="20"/>
                <w:szCs w:val="20"/>
                <w:color w:val="auto"/>
              </w:rPr>
            </w:pPr>
            <w:r>
              <w:rPr>
                <w:rFonts w:ascii="Arial" w:cs="Arial" w:eastAsia="Arial" w:hAnsi="Arial"/>
                <w:sz w:val="18"/>
                <w:szCs w:val="18"/>
                <w:color w:val="auto"/>
              </w:rPr>
              <w:t>—</w:t>
            </w:r>
          </w:p>
        </w:tc>
        <w:tc>
          <w:tcPr>
            <w:tcW w:w="620" w:type="dxa"/>
            <w:vAlign w:val="bottom"/>
            <w:gridSpan w:val="2"/>
            <w:shd w:val="clear" w:color="auto" w:fill="CCEEFF"/>
          </w:tcPr>
          <w:p>
            <w:pPr>
              <w:ind w:left="480"/>
              <w:spacing w:after="0"/>
              <w:rPr>
                <w:sz w:val="20"/>
                <w:szCs w:val="20"/>
                <w:color w:val="auto"/>
              </w:rPr>
            </w:pPr>
            <w:r>
              <w:rPr>
                <w:rFonts w:ascii="Arial" w:cs="Arial" w:eastAsia="Arial" w:hAnsi="Arial"/>
                <w:sz w:val="18"/>
                <w:szCs w:val="18"/>
                <w:color w:val="auto"/>
              </w:rPr>
              <w:t>$</w:t>
            </w:r>
          </w:p>
        </w:tc>
        <w:tc>
          <w:tcPr>
            <w:tcW w:w="1120" w:type="dxa"/>
            <w:vAlign w:val="bottom"/>
            <w:gridSpan w:val="2"/>
            <w:shd w:val="clear" w:color="auto" w:fill="CCEEFF"/>
          </w:tcPr>
          <w:p>
            <w:pPr>
              <w:jc w:val="right"/>
              <w:ind w:right="540"/>
              <w:spacing w:after="0"/>
              <w:rPr>
                <w:sz w:val="20"/>
                <w:szCs w:val="20"/>
                <w:color w:val="auto"/>
              </w:rPr>
            </w:pPr>
            <w:r>
              <w:rPr>
                <w:rFonts w:ascii="Arial" w:cs="Arial" w:eastAsia="Arial" w:hAnsi="Arial"/>
                <w:sz w:val="18"/>
                <w:szCs w:val="18"/>
                <w:color w:val="auto"/>
              </w:rPr>
              <w:t>19</w:t>
            </w:r>
          </w:p>
        </w:tc>
        <w:tc>
          <w:tcPr>
            <w:tcW w:w="3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$ 20</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260" w:type="dxa"/>
            <w:vAlign w:val="bottom"/>
            <w:gridSpan w:val="2"/>
          </w:tcPr>
          <w:p>
            <w:pPr>
              <w:spacing w:after="0"/>
              <w:rPr>
                <w:sz w:val="20"/>
                <w:szCs w:val="20"/>
                <w:color w:val="auto"/>
              </w:rPr>
            </w:pPr>
            <w:r>
              <w:rPr>
                <w:rFonts w:ascii="Arial" w:cs="Arial" w:eastAsia="Arial" w:hAnsi="Arial"/>
                <w:sz w:val="18"/>
                <w:szCs w:val="18"/>
                <w:color w:val="auto"/>
              </w:rPr>
              <w:t>Net pre-tax restructuring charges</w:t>
            </w:r>
          </w:p>
        </w:tc>
        <w:tc>
          <w:tcPr>
            <w:tcW w:w="3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680" w:type="dxa"/>
            <w:vAlign w:val="bottom"/>
            <w:gridSpan w:val="2"/>
          </w:tcPr>
          <w:p>
            <w:pPr>
              <w:ind w:left="120"/>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20" w:type="dxa"/>
            <w:vAlign w:val="bottom"/>
          </w:tcPr>
          <w:p>
            <w:pPr>
              <w:ind w:left="340"/>
              <w:spacing w:after="0"/>
              <w:rPr>
                <w:sz w:val="20"/>
                <w:szCs w:val="20"/>
                <w:color w:val="auto"/>
              </w:rPr>
            </w:pPr>
            <w:r>
              <w:rPr>
                <w:rFonts w:ascii="Arial" w:cs="Arial" w:eastAsia="Arial" w:hAnsi="Arial"/>
                <w:sz w:val="18"/>
                <w:szCs w:val="18"/>
                <w:color w:val="auto"/>
              </w:rPr>
              <w:t>—</w:t>
            </w:r>
          </w:p>
        </w:tc>
        <w:tc>
          <w:tcPr>
            <w:tcW w:w="4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20" w:type="dxa"/>
            <w:vAlign w:val="bottom"/>
            <w:gridSpan w:val="2"/>
          </w:tcPr>
          <w:p>
            <w:pPr>
              <w:jc w:val="right"/>
              <w:ind w:right="540"/>
              <w:spacing w:after="0"/>
              <w:rPr>
                <w:sz w:val="20"/>
                <w:szCs w:val="20"/>
                <w:color w:val="auto"/>
              </w:rPr>
            </w:pPr>
            <w:r>
              <w:rPr>
                <w:rFonts w:ascii="Arial" w:cs="Arial" w:eastAsia="Arial" w:hAnsi="Arial"/>
                <w:sz w:val="18"/>
                <w:szCs w:val="18"/>
                <w:color w:val="auto"/>
              </w:rPr>
              <w:t>9</w:t>
            </w:r>
          </w:p>
        </w:tc>
        <w:tc>
          <w:tcPr>
            <w:tcW w:w="300" w:type="dxa"/>
            <w:vAlign w:val="bottom"/>
          </w:tcPr>
          <w:p>
            <w:pPr>
              <w:jc w:val="right"/>
              <w:spacing w:after="0"/>
              <w:rPr>
                <w:sz w:val="20"/>
                <w:szCs w:val="20"/>
                <w:color w:val="auto"/>
              </w:rPr>
            </w:pPr>
            <w:r>
              <w:rPr>
                <w:rFonts w:ascii="Arial" w:cs="Arial" w:eastAsia="Arial" w:hAnsi="Arial"/>
                <w:sz w:val="18"/>
                <w:szCs w:val="18"/>
                <w:color w:val="auto"/>
              </w:rPr>
              <w:t>9</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2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Utilization</w:t>
            </w:r>
          </w:p>
        </w:tc>
        <w:tc>
          <w:tcPr>
            <w:tcW w:w="31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(1)</w:t>
            </w:r>
          </w:p>
        </w:tc>
        <w:tc>
          <w:tcPr>
            <w:tcW w:w="2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20" w:type="dxa"/>
            <w:vAlign w:val="bottom"/>
            <w:shd w:val="clear" w:color="auto" w:fill="CCEEFF"/>
          </w:tcPr>
          <w:p>
            <w:pPr>
              <w:ind w:left="340"/>
              <w:spacing w:after="0"/>
              <w:rPr>
                <w:sz w:val="20"/>
                <w:szCs w:val="20"/>
                <w:color w:val="auto"/>
              </w:rPr>
            </w:pPr>
            <w:r>
              <w:rPr>
                <w:rFonts w:ascii="Arial" w:cs="Arial" w:eastAsia="Arial" w:hAnsi="Arial"/>
                <w:sz w:val="18"/>
                <w:szCs w:val="18"/>
                <w:color w:val="auto"/>
              </w:rPr>
              <w:t>—</w:t>
            </w:r>
          </w:p>
        </w:tc>
        <w:tc>
          <w:tcPr>
            <w:tcW w:w="4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480"/>
              <w:spacing w:after="0"/>
              <w:rPr>
                <w:sz w:val="20"/>
                <w:szCs w:val="20"/>
                <w:color w:val="auto"/>
              </w:rPr>
            </w:pPr>
            <w:r>
              <w:rPr>
                <w:rFonts w:ascii="Arial" w:cs="Arial" w:eastAsia="Arial" w:hAnsi="Arial"/>
                <w:sz w:val="18"/>
                <w:szCs w:val="18"/>
                <w:color w:val="auto"/>
              </w:rPr>
              <w:t>(4)</w:t>
            </w:r>
          </w:p>
        </w:tc>
        <w:tc>
          <w:tcPr>
            <w:tcW w:w="3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(5)</w:t>
            </w:r>
          </w:p>
        </w:tc>
        <w:tc>
          <w:tcPr>
            <w:tcW w:w="0" w:type="dxa"/>
            <w:vAlign w:val="bottom"/>
          </w:tcPr>
          <w:p>
            <w:pPr>
              <w:spacing w:after="0"/>
              <w:rPr>
                <w:sz w:val="1"/>
                <w:szCs w:val="1"/>
                <w:color w:val="auto"/>
              </w:rPr>
            </w:pPr>
          </w:p>
        </w:tc>
      </w:tr>
      <w:tr>
        <w:trPr>
          <w:trHeight w:val="20"/>
        </w:trPr>
        <w:tc>
          <w:tcPr>
            <w:tcW w:w="4280" w:type="dxa"/>
            <w:vAlign w:val="bottom"/>
            <w:gridSpan w:val="3"/>
            <w:vMerge w:val="restart"/>
          </w:tcPr>
          <w:p>
            <w:pPr>
              <w:spacing w:after="0"/>
              <w:rPr>
                <w:sz w:val="20"/>
                <w:szCs w:val="20"/>
                <w:color w:val="auto"/>
              </w:rPr>
            </w:pPr>
            <w:r>
              <w:rPr>
                <w:rFonts w:ascii="Arial" w:cs="Arial" w:eastAsia="Arial" w:hAnsi="Arial"/>
                <w:sz w:val="18"/>
                <w:szCs w:val="18"/>
                <w:color w:val="auto"/>
              </w:rPr>
              <w:t>Balance at June 30, 2008</w:t>
            </w:r>
          </w:p>
        </w:tc>
        <w:tc>
          <w:tcPr>
            <w:tcW w:w="3120" w:type="dxa"/>
            <w:vAlign w:val="bottom"/>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380" w:type="dxa"/>
            <w:vAlign w:val="bottom"/>
            <w:shd w:val="clear" w:color="auto" w:fill="000000"/>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1"/>
        </w:trPr>
        <w:tc>
          <w:tcPr>
            <w:tcW w:w="4280" w:type="dxa"/>
            <w:vAlign w:val="bottom"/>
            <w:gridSpan w:val="3"/>
            <w:vMerge w:val="continue"/>
          </w:tcPr>
          <w:p>
            <w:pPr>
              <w:spacing w:after="0"/>
              <w:rPr>
                <w:sz w:val="19"/>
                <w:szCs w:val="19"/>
                <w:color w:val="auto"/>
              </w:rPr>
            </w:pPr>
          </w:p>
        </w:tc>
        <w:tc>
          <w:tcPr>
            <w:tcW w:w="3320" w:type="dxa"/>
            <w:vAlign w:val="bottom"/>
            <w:gridSpan w:val="2"/>
          </w:tcPr>
          <w:p>
            <w:pPr>
              <w:ind w:left="3120"/>
              <w:spacing w:after="0"/>
              <w:rPr>
                <w:sz w:val="20"/>
                <w:szCs w:val="20"/>
                <w:color w:val="auto"/>
              </w:rPr>
            </w:pPr>
            <w:r>
              <w:rPr>
                <w:rFonts w:ascii="Arial" w:cs="Arial" w:eastAsia="Arial" w:hAnsi="Arial"/>
                <w:sz w:val="18"/>
                <w:szCs w:val="18"/>
                <w:color w:val="auto"/>
              </w:rPr>
              <w:t>$</w:t>
            </w:r>
          </w:p>
        </w:tc>
        <w:tc>
          <w:tcPr>
            <w:tcW w:w="680" w:type="dxa"/>
            <w:vAlign w:val="bottom"/>
            <w:gridSpan w:val="2"/>
          </w:tcPr>
          <w:p>
            <w:pPr>
              <w:ind w:left="120"/>
              <w:spacing w:after="0"/>
              <w:rPr>
                <w:sz w:val="20"/>
                <w:szCs w:val="20"/>
                <w:color w:val="auto"/>
              </w:rPr>
            </w:pPr>
            <w:r>
              <w:rPr>
                <w:rFonts w:ascii="Arial" w:cs="Arial" w:eastAsia="Arial" w:hAnsi="Arial"/>
                <w:sz w:val="18"/>
                <w:szCs w:val="18"/>
                <w:color w:val="auto"/>
              </w:rPr>
              <w:t>—</w:t>
            </w:r>
          </w:p>
        </w:tc>
        <w:tc>
          <w:tcPr>
            <w:tcW w:w="420" w:type="dxa"/>
            <w:vAlign w:val="bottom"/>
            <w:gridSpan w:val="2"/>
          </w:tcPr>
          <w:p>
            <w:pPr>
              <w:ind w:left="240"/>
              <w:spacing w:after="0"/>
              <w:rPr>
                <w:sz w:val="20"/>
                <w:szCs w:val="20"/>
                <w:color w:val="auto"/>
              </w:rPr>
            </w:pPr>
            <w:r>
              <w:rPr>
                <w:rFonts w:ascii="Arial" w:cs="Arial" w:eastAsia="Arial" w:hAnsi="Arial"/>
                <w:sz w:val="18"/>
                <w:szCs w:val="18"/>
                <w:color w:val="auto"/>
              </w:rPr>
              <w:t>$</w:t>
            </w:r>
          </w:p>
        </w:tc>
        <w:tc>
          <w:tcPr>
            <w:tcW w:w="620" w:type="dxa"/>
            <w:vAlign w:val="bottom"/>
          </w:tcPr>
          <w:p>
            <w:pPr>
              <w:ind w:left="340"/>
              <w:spacing w:after="0"/>
              <w:rPr>
                <w:sz w:val="20"/>
                <w:szCs w:val="20"/>
                <w:color w:val="auto"/>
              </w:rPr>
            </w:pPr>
            <w:r>
              <w:rPr>
                <w:rFonts w:ascii="Arial" w:cs="Arial" w:eastAsia="Arial" w:hAnsi="Arial"/>
                <w:sz w:val="18"/>
                <w:szCs w:val="18"/>
                <w:color w:val="auto"/>
              </w:rPr>
              <w:t>—</w:t>
            </w:r>
          </w:p>
        </w:tc>
        <w:tc>
          <w:tcPr>
            <w:tcW w:w="620" w:type="dxa"/>
            <w:vAlign w:val="bottom"/>
            <w:gridSpan w:val="2"/>
          </w:tcPr>
          <w:p>
            <w:pPr>
              <w:ind w:left="480"/>
              <w:spacing w:after="0"/>
              <w:rPr>
                <w:sz w:val="20"/>
                <w:szCs w:val="20"/>
                <w:color w:val="auto"/>
              </w:rPr>
            </w:pPr>
            <w:r>
              <w:rPr>
                <w:rFonts w:ascii="Arial" w:cs="Arial" w:eastAsia="Arial" w:hAnsi="Arial"/>
                <w:sz w:val="18"/>
                <w:szCs w:val="18"/>
                <w:color w:val="auto"/>
              </w:rPr>
              <w:t>$</w:t>
            </w:r>
          </w:p>
        </w:tc>
        <w:tc>
          <w:tcPr>
            <w:tcW w:w="1120" w:type="dxa"/>
            <w:vAlign w:val="bottom"/>
            <w:gridSpan w:val="2"/>
          </w:tcPr>
          <w:p>
            <w:pPr>
              <w:jc w:val="right"/>
              <w:ind w:right="540"/>
              <w:spacing w:after="0"/>
              <w:rPr>
                <w:sz w:val="20"/>
                <w:szCs w:val="20"/>
                <w:color w:val="auto"/>
              </w:rPr>
            </w:pPr>
            <w:r>
              <w:rPr>
                <w:rFonts w:ascii="Arial" w:cs="Arial" w:eastAsia="Arial" w:hAnsi="Arial"/>
                <w:sz w:val="18"/>
                <w:szCs w:val="18"/>
                <w:color w:val="auto"/>
              </w:rPr>
              <w:t>24</w:t>
            </w:r>
          </w:p>
        </w:tc>
        <w:tc>
          <w:tcPr>
            <w:tcW w:w="300" w:type="dxa"/>
            <w:vAlign w:val="bottom"/>
          </w:tcPr>
          <w:p>
            <w:pPr>
              <w:jc w:val="right"/>
              <w:spacing w:after="0"/>
              <w:rPr>
                <w:sz w:val="20"/>
                <w:szCs w:val="20"/>
                <w:color w:val="auto"/>
              </w:rPr>
            </w:pPr>
            <w:r>
              <w:rPr>
                <w:rFonts w:ascii="Arial" w:cs="Arial" w:eastAsia="Arial" w:hAnsi="Arial"/>
                <w:sz w:val="18"/>
                <w:szCs w:val="18"/>
                <w:color w:val="auto"/>
                <w:w w:val="79"/>
              </w:rPr>
              <w:t>$ 24</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340" w:type="dxa"/>
            <w:vAlign w:val="bottom"/>
          </w:tcPr>
          <w:p>
            <w:pPr>
              <w:spacing w:after="0" w:line="20" w:lineRule="exact"/>
              <w:rPr>
                <w:sz w:val="1"/>
                <w:szCs w:val="1"/>
                <w:color w:val="auto"/>
              </w:rPr>
            </w:pPr>
          </w:p>
        </w:tc>
        <w:tc>
          <w:tcPr>
            <w:tcW w:w="2920" w:type="dxa"/>
            <w:vAlign w:val="bottom"/>
          </w:tcPr>
          <w:p>
            <w:pPr>
              <w:spacing w:after="0" w:line="20" w:lineRule="exact"/>
              <w:rPr>
                <w:sz w:val="1"/>
                <w:szCs w:val="1"/>
                <w:color w:val="auto"/>
              </w:rPr>
            </w:pPr>
          </w:p>
        </w:tc>
        <w:tc>
          <w:tcPr>
            <w:tcW w:w="3120" w:type="dxa"/>
            <w:vAlign w:val="bottom"/>
            <w:vMerge w:val="restart"/>
          </w:tcPr>
          <w:p>
            <w:pPr>
              <w:jc w:val="right"/>
              <w:ind w:right="1512"/>
              <w:spacing w:after="0"/>
              <w:rPr>
                <w:sz w:val="20"/>
                <w:szCs w:val="20"/>
                <w:color w:val="auto"/>
              </w:rPr>
            </w:pPr>
            <w:r>
              <w:rPr>
                <w:rFonts w:ascii="Arial" w:cs="Arial" w:eastAsia="Arial" w:hAnsi="Arial"/>
                <w:sz w:val="18"/>
                <w:szCs w:val="18"/>
                <w:color w:val="auto"/>
              </w:rPr>
              <w:t>12</w:t>
            </w:r>
          </w:p>
        </w:tc>
        <w:tc>
          <w:tcPr>
            <w:tcW w:w="20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59"/>
        </w:trPr>
        <w:tc>
          <w:tcPr>
            <w:tcW w:w="2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2920" w:type="dxa"/>
            <w:vAlign w:val="bottom"/>
          </w:tcPr>
          <w:p>
            <w:pPr>
              <w:spacing w:after="0"/>
              <w:rPr>
                <w:sz w:val="24"/>
                <w:szCs w:val="24"/>
                <w:color w:val="auto"/>
              </w:rPr>
            </w:pPr>
          </w:p>
        </w:tc>
        <w:tc>
          <w:tcPr>
            <w:tcW w:w="3120" w:type="dxa"/>
            <w:vAlign w:val="bottom"/>
            <w:vMerge w:val="continue"/>
          </w:tcPr>
          <w:p>
            <w:pPr>
              <w:spacing w:after="0"/>
              <w:rPr>
                <w:sz w:val="24"/>
                <w:szCs w:val="24"/>
                <w:color w:val="auto"/>
              </w:rPr>
            </w:pPr>
          </w:p>
        </w:tc>
        <w:tc>
          <w:tcPr>
            <w:tcW w:w="20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459" w:right="239" w:bottom="1440" w:gutter="0" w:footer="0" w:header="0"/>
        </w:sectPr>
      </w:pPr>
    </w:p>
    <w:bookmarkStart w:id="12" w:name="page13"/>
    <w:bookmarkEnd w:id="1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following table summarizes expected, incurred and remaining costs for the 2006 restructuring actions by type:</w:t>
      </w:r>
    </w:p>
    <w:p>
      <w:pPr>
        <w:spacing w:after="0" w:line="195"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59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240" w:type="dxa"/>
            <w:vAlign w:val="bottom"/>
            <w:gridSpan w:val="3"/>
          </w:tcPr>
          <w:p>
            <w:pPr>
              <w:spacing w:after="0"/>
              <w:rPr>
                <w:sz w:val="20"/>
                <w:szCs w:val="20"/>
                <w:color w:val="auto"/>
              </w:rPr>
            </w:pPr>
            <w:r>
              <w:rPr>
                <w:rFonts w:ascii="Arial" w:cs="Arial" w:eastAsia="Arial" w:hAnsi="Arial"/>
                <w:sz w:val="14"/>
                <w:szCs w:val="14"/>
                <w:b w:val="1"/>
                <w:bCs w:val="1"/>
                <w:color w:val="auto"/>
              </w:rPr>
              <w:t>Facility Exit</w:t>
            </w:r>
          </w:p>
        </w:tc>
        <w:tc>
          <w:tcPr>
            <w:tcW w:w="8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340" w:type="dxa"/>
            <w:vAlign w:val="bottom"/>
          </w:tcPr>
          <w:p>
            <w:pPr>
              <w:spacing w:after="0"/>
              <w:rPr>
                <w:sz w:val="12"/>
                <w:szCs w:val="12"/>
                <w:color w:val="auto"/>
              </w:rPr>
            </w:pPr>
          </w:p>
        </w:tc>
        <w:tc>
          <w:tcPr>
            <w:tcW w:w="59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240" w:type="dxa"/>
            <w:vAlign w:val="bottom"/>
            <w:gridSpan w:val="3"/>
          </w:tcPr>
          <w:p>
            <w:pPr>
              <w:jc w:val="right"/>
              <w:ind w:right="600"/>
              <w:spacing w:after="0" w:line="149" w:lineRule="exact"/>
              <w:rPr>
                <w:sz w:val="20"/>
                <w:szCs w:val="20"/>
                <w:color w:val="auto"/>
              </w:rPr>
            </w:pPr>
            <w:r>
              <w:rPr>
                <w:rFonts w:ascii="Arial" w:cs="Arial" w:eastAsia="Arial" w:hAnsi="Arial"/>
                <w:sz w:val="14"/>
                <w:szCs w:val="14"/>
                <w:b w:val="1"/>
                <w:bCs w:val="1"/>
                <w:color w:val="auto"/>
                <w:w w:val="90"/>
              </w:rPr>
              <w:t>and Lease</w:t>
            </w:r>
          </w:p>
        </w:tc>
        <w:tc>
          <w:tcPr>
            <w:tcW w:w="8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340" w:type="dxa"/>
            <w:vAlign w:val="bottom"/>
          </w:tcPr>
          <w:p>
            <w:pPr>
              <w:spacing w:after="0"/>
              <w:rPr>
                <w:sz w:val="12"/>
                <w:szCs w:val="12"/>
                <w:color w:val="auto"/>
              </w:rPr>
            </w:pPr>
          </w:p>
        </w:tc>
        <w:tc>
          <w:tcPr>
            <w:tcW w:w="59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920" w:type="dxa"/>
            <w:vAlign w:val="bottom"/>
            <w:gridSpan w:val="2"/>
          </w:tcPr>
          <w:p>
            <w:pPr>
              <w:jc w:val="right"/>
              <w:ind w:right="540"/>
              <w:spacing w:after="0" w:line="149" w:lineRule="exact"/>
              <w:rPr>
                <w:sz w:val="20"/>
                <w:szCs w:val="20"/>
                <w:color w:val="auto"/>
              </w:rPr>
            </w:pPr>
            <w:r>
              <w:rPr>
                <w:rFonts w:ascii="Arial" w:cs="Arial" w:eastAsia="Arial" w:hAnsi="Arial"/>
                <w:sz w:val="14"/>
                <w:szCs w:val="14"/>
                <w:b w:val="1"/>
                <w:bCs w:val="1"/>
                <w:color w:val="auto"/>
                <w:w w:val="94"/>
              </w:rPr>
              <w:t>Asset</w:t>
            </w:r>
          </w:p>
        </w:tc>
        <w:tc>
          <w:tcPr>
            <w:tcW w:w="240" w:type="dxa"/>
            <w:vAlign w:val="bottom"/>
          </w:tcPr>
          <w:p>
            <w:pPr>
              <w:spacing w:after="0"/>
              <w:rPr>
                <w:sz w:val="12"/>
                <w:szCs w:val="12"/>
                <w:color w:val="auto"/>
              </w:rPr>
            </w:pPr>
          </w:p>
        </w:tc>
        <w:tc>
          <w:tcPr>
            <w:tcW w:w="1240" w:type="dxa"/>
            <w:vAlign w:val="bottom"/>
            <w:gridSpan w:val="3"/>
          </w:tcPr>
          <w:p>
            <w:pPr>
              <w:spacing w:after="0" w:line="149" w:lineRule="exact"/>
              <w:rPr>
                <w:sz w:val="20"/>
                <w:szCs w:val="20"/>
                <w:color w:val="auto"/>
              </w:rPr>
            </w:pPr>
            <w:r>
              <w:rPr>
                <w:rFonts w:ascii="Arial" w:cs="Arial" w:eastAsia="Arial" w:hAnsi="Arial"/>
                <w:sz w:val="14"/>
                <w:szCs w:val="14"/>
                <w:b w:val="1"/>
                <w:bCs w:val="1"/>
                <w:color w:val="auto"/>
              </w:rPr>
              <w:t>Termination</w:t>
            </w:r>
          </w:p>
        </w:tc>
        <w:tc>
          <w:tcPr>
            <w:tcW w:w="8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1"/>
        </w:trPr>
        <w:tc>
          <w:tcPr>
            <w:tcW w:w="7260" w:type="dxa"/>
            <w:vAlign w:val="bottom"/>
            <w:gridSpan w:val="3"/>
          </w:tcPr>
          <w:p>
            <w:pPr>
              <w:spacing w:after="0"/>
              <w:rPr>
                <w:sz w:val="20"/>
                <w:szCs w:val="20"/>
                <w:color w:val="auto"/>
              </w:rPr>
            </w:pPr>
            <w:r>
              <w:rPr>
                <w:rFonts w:ascii="Arial" w:cs="Arial" w:eastAsia="Arial" w:hAnsi="Arial"/>
                <w:sz w:val="14"/>
                <w:szCs w:val="14"/>
                <w:b w:val="1"/>
                <w:bCs w:val="1"/>
                <w:color w:val="auto"/>
              </w:rPr>
              <w:t>(in millions of dollars)</w:t>
            </w:r>
          </w:p>
        </w:tc>
        <w:tc>
          <w:tcPr>
            <w:tcW w:w="880" w:type="dxa"/>
            <w:vAlign w:val="bottom"/>
            <w:gridSpan w:val="3"/>
          </w:tcPr>
          <w:p>
            <w:pPr>
              <w:spacing w:after="0"/>
              <w:rPr>
                <w:sz w:val="20"/>
                <w:szCs w:val="20"/>
                <w:color w:val="auto"/>
              </w:rPr>
            </w:pPr>
            <w:r>
              <w:rPr>
                <w:rFonts w:ascii="Arial" w:cs="Arial" w:eastAsia="Arial" w:hAnsi="Arial"/>
                <w:sz w:val="14"/>
                <w:szCs w:val="14"/>
                <w:b w:val="1"/>
                <w:bCs w:val="1"/>
                <w:color w:val="auto"/>
              </w:rPr>
              <w:t>Severance</w:t>
            </w:r>
          </w:p>
        </w:tc>
        <w:tc>
          <w:tcPr>
            <w:tcW w:w="240" w:type="dxa"/>
            <w:vAlign w:val="bottom"/>
          </w:tcPr>
          <w:p>
            <w:pPr>
              <w:spacing w:after="0"/>
              <w:rPr>
                <w:sz w:val="14"/>
                <w:szCs w:val="14"/>
                <w:color w:val="auto"/>
              </w:rPr>
            </w:pPr>
          </w:p>
        </w:tc>
        <w:tc>
          <w:tcPr>
            <w:tcW w:w="1080" w:type="dxa"/>
            <w:vAlign w:val="bottom"/>
            <w:gridSpan w:val="3"/>
          </w:tcPr>
          <w:p>
            <w:pPr>
              <w:spacing w:after="0"/>
              <w:rPr>
                <w:sz w:val="20"/>
                <w:szCs w:val="20"/>
                <w:color w:val="auto"/>
              </w:rPr>
            </w:pPr>
            <w:r>
              <w:rPr>
                <w:rFonts w:ascii="Arial" w:cs="Arial" w:eastAsia="Arial" w:hAnsi="Arial"/>
                <w:sz w:val="14"/>
                <w:szCs w:val="14"/>
                <w:b w:val="1"/>
                <w:bCs w:val="1"/>
                <w:color w:val="auto"/>
              </w:rPr>
              <w:t>Write-Downs</w:t>
            </w:r>
          </w:p>
        </w:tc>
        <w:tc>
          <w:tcPr>
            <w:tcW w:w="2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100" w:type="dxa"/>
            <w:vAlign w:val="bottom"/>
            <w:gridSpan w:val="2"/>
          </w:tcPr>
          <w:p>
            <w:pPr>
              <w:jc w:val="right"/>
              <w:ind w:right="740"/>
              <w:spacing w:after="0"/>
              <w:rPr>
                <w:sz w:val="20"/>
                <w:szCs w:val="20"/>
                <w:color w:val="auto"/>
              </w:rPr>
            </w:pPr>
            <w:r>
              <w:rPr>
                <w:rFonts w:ascii="Arial" w:cs="Arial" w:eastAsia="Arial" w:hAnsi="Arial"/>
                <w:sz w:val="14"/>
                <w:szCs w:val="14"/>
                <w:b w:val="1"/>
                <w:bCs w:val="1"/>
                <w:color w:val="auto"/>
                <w:w w:val="87"/>
              </w:rPr>
              <w:t>Costs</w:t>
            </w:r>
          </w:p>
        </w:tc>
        <w:tc>
          <w:tcPr>
            <w:tcW w:w="480" w:type="dxa"/>
            <w:vAlign w:val="bottom"/>
            <w:gridSpan w:val="3"/>
          </w:tcPr>
          <w:p>
            <w:pPr>
              <w:jc w:val="right"/>
              <w:ind w:right="120"/>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20"/>
        </w:trPr>
        <w:tc>
          <w:tcPr>
            <w:tcW w:w="20" w:type="dxa"/>
            <w:vAlign w:val="bottom"/>
            <w:vMerge w:val="restart"/>
          </w:tcPr>
          <w:p>
            <w:pPr>
              <w:spacing w:after="0" w:line="20" w:lineRule="exact"/>
              <w:rPr>
                <w:sz w:val="1"/>
                <w:szCs w:val="1"/>
                <w:color w:val="auto"/>
              </w:rPr>
            </w:pPr>
          </w:p>
        </w:tc>
        <w:tc>
          <w:tcPr>
            <w:tcW w:w="1340" w:type="dxa"/>
            <w:vAlign w:val="bottom"/>
            <w:shd w:val="clear" w:color="auto" w:fill="000000"/>
          </w:tcPr>
          <w:p>
            <w:pPr>
              <w:spacing w:after="0" w:line="20" w:lineRule="exact"/>
              <w:rPr>
                <w:sz w:val="1"/>
                <w:szCs w:val="1"/>
                <w:color w:val="auto"/>
              </w:rPr>
            </w:pPr>
          </w:p>
        </w:tc>
        <w:tc>
          <w:tcPr>
            <w:tcW w:w="590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420" w:type="dxa"/>
            <w:vAlign w:val="bottom"/>
            <w:shd w:val="clear" w:color="auto" w:fill="000000"/>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vMerge w:val="continue"/>
          </w:tcPr>
          <w:p>
            <w:pPr>
              <w:spacing w:after="0"/>
              <w:rPr>
                <w:sz w:val="18"/>
                <w:szCs w:val="18"/>
                <w:color w:val="auto"/>
              </w:rPr>
            </w:pPr>
          </w:p>
        </w:tc>
        <w:tc>
          <w:tcPr>
            <w:tcW w:w="1340" w:type="dxa"/>
            <w:vAlign w:val="bottom"/>
            <w:shd w:val="clear" w:color="auto" w:fill="CCEEFF"/>
          </w:tcPr>
          <w:p>
            <w:pPr>
              <w:spacing w:after="0"/>
              <w:rPr>
                <w:sz w:val="20"/>
                <w:szCs w:val="20"/>
                <w:color w:val="auto"/>
              </w:rPr>
            </w:pPr>
            <w:r>
              <w:rPr>
                <w:rFonts w:ascii="Arial" w:cs="Arial" w:eastAsia="Arial" w:hAnsi="Arial"/>
                <w:sz w:val="18"/>
                <w:szCs w:val="18"/>
                <w:color w:val="auto"/>
              </w:rPr>
              <w:t>Expected costs</w:t>
            </w:r>
          </w:p>
        </w:tc>
        <w:tc>
          <w:tcPr>
            <w:tcW w:w="59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420" w:type="dxa"/>
            <w:vAlign w:val="bottom"/>
            <w:shd w:val="clear" w:color="auto" w:fill="CCEEFF"/>
          </w:tcPr>
          <w:p>
            <w:pPr>
              <w:ind w:left="160"/>
              <w:spacing w:after="0"/>
              <w:rPr>
                <w:sz w:val="20"/>
                <w:szCs w:val="20"/>
                <w:color w:val="auto"/>
              </w:rPr>
            </w:pPr>
            <w:r>
              <w:rPr>
                <w:rFonts w:ascii="Arial" w:cs="Arial" w:eastAsia="Arial" w:hAnsi="Arial"/>
                <w:sz w:val="18"/>
                <w:szCs w:val="18"/>
                <w:color w:val="auto"/>
                <w:w w:val="79"/>
              </w:rPr>
              <w:t>178</w:t>
            </w:r>
          </w:p>
        </w:tc>
        <w:tc>
          <w:tcPr>
            <w:tcW w:w="2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92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13</w:t>
            </w:r>
          </w:p>
        </w:tc>
        <w:tc>
          <w:tcPr>
            <w:tcW w:w="380" w:type="dxa"/>
            <w:vAlign w:val="bottom"/>
            <w:gridSpan w:val="2"/>
            <w:shd w:val="clear" w:color="auto" w:fill="CCEEFF"/>
          </w:tcPr>
          <w:p>
            <w:pPr>
              <w:ind w:left="240"/>
              <w:spacing w:after="0"/>
              <w:rPr>
                <w:sz w:val="20"/>
                <w:szCs w:val="20"/>
                <w:color w:val="auto"/>
              </w:rPr>
            </w:pPr>
            <w:r>
              <w:rPr>
                <w:rFonts w:ascii="Arial" w:cs="Arial" w:eastAsia="Arial" w:hAnsi="Arial"/>
                <w:sz w:val="18"/>
                <w:szCs w:val="18"/>
                <w:color w:val="auto"/>
              </w:rPr>
              <w:t>$</w:t>
            </w: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79</w:t>
            </w:r>
          </w:p>
        </w:tc>
        <w:tc>
          <w:tcPr>
            <w:tcW w:w="540" w:type="dxa"/>
            <w:vAlign w:val="bottom"/>
            <w:shd w:val="clear" w:color="auto" w:fill="CCEEFF"/>
          </w:tcPr>
          <w:p>
            <w:pPr>
              <w:spacing w:after="0"/>
              <w:rPr>
                <w:sz w:val="18"/>
                <w:szCs w:val="18"/>
                <w:color w:val="auto"/>
              </w:rPr>
            </w:pP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3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270</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240" w:type="dxa"/>
            <w:vAlign w:val="bottom"/>
            <w:gridSpan w:val="2"/>
          </w:tcPr>
          <w:p>
            <w:pPr>
              <w:spacing w:after="0"/>
              <w:rPr>
                <w:sz w:val="20"/>
                <w:szCs w:val="20"/>
                <w:color w:val="auto"/>
              </w:rPr>
            </w:pPr>
            <w:r>
              <w:rPr>
                <w:rFonts w:ascii="Arial" w:cs="Arial" w:eastAsia="Arial" w:hAnsi="Arial"/>
                <w:sz w:val="18"/>
                <w:szCs w:val="18"/>
                <w:color w:val="auto"/>
              </w:rPr>
              <w:t>Costs incurred through December 31, 2007</w:t>
            </w:r>
          </w:p>
        </w:tc>
        <w:tc>
          <w:tcPr>
            <w:tcW w:w="180" w:type="dxa"/>
            <w:vAlign w:val="bottom"/>
          </w:tcPr>
          <w:p>
            <w:pPr>
              <w:spacing w:after="0"/>
              <w:rPr>
                <w:sz w:val="18"/>
                <w:szCs w:val="18"/>
                <w:color w:val="auto"/>
              </w:rPr>
            </w:pPr>
          </w:p>
        </w:tc>
        <w:tc>
          <w:tcPr>
            <w:tcW w:w="700" w:type="dxa"/>
            <w:vAlign w:val="bottom"/>
            <w:gridSpan w:val="2"/>
          </w:tcPr>
          <w:p>
            <w:pPr>
              <w:ind w:left="100"/>
              <w:spacing w:after="0"/>
              <w:rPr>
                <w:sz w:val="20"/>
                <w:szCs w:val="20"/>
                <w:color w:val="auto"/>
              </w:rPr>
            </w:pPr>
            <w:r>
              <w:rPr>
                <w:rFonts w:ascii="Arial" w:cs="Arial" w:eastAsia="Arial" w:hAnsi="Arial"/>
                <w:sz w:val="18"/>
                <w:szCs w:val="18"/>
                <w:color w:val="auto"/>
              </w:rPr>
              <w:t>(178)</w:t>
            </w:r>
          </w:p>
        </w:tc>
        <w:tc>
          <w:tcPr>
            <w:tcW w:w="2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20" w:type="dxa"/>
            <w:vAlign w:val="bottom"/>
            <w:gridSpan w:val="2"/>
          </w:tcPr>
          <w:p>
            <w:pPr>
              <w:jc w:val="right"/>
              <w:ind w:right="240"/>
              <w:spacing w:after="0"/>
              <w:rPr>
                <w:sz w:val="20"/>
                <w:szCs w:val="20"/>
                <w:color w:val="auto"/>
              </w:rPr>
            </w:pPr>
            <w:r>
              <w:rPr>
                <w:rFonts w:ascii="Arial" w:cs="Arial" w:eastAsia="Arial" w:hAnsi="Arial"/>
                <w:sz w:val="18"/>
                <w:szCs w:val="18"/>
                <w:color w:val="auto"/>
              </w:rPr>
              <w:t>(13)</w:t>
            </w:r>
          </w:p>
        </w:tc>
        <w:tc>
          <w:tcPr>
            <w:tcW w:w="2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00" w:type="dxa"/>
            <w:vAlign w:val="bottom"/>
            <w:gridSpan w:val="2"/>
          </w:tcPr>
          <w:p>
            <w:pPr>
              <w:jc w:val="right"/>
              <w:ind w:right="480"/>
              <w:spacing w:after="0"/>
              <w:rPr>
                <w:sz w:val="20"/>
                <w:szCs w:val="20"/>
                <w:color w:val="auto"/>
              </w:rPr>
            </w:pPr>
            <w:r>
              <w:rPr>
                <w:rFonts w:ascii="Arial" w:cs="Arial" w:eastAsia="Arial" w:hAnsi="Arial"/>
                <w:sz w:val="18"/>
                <w:szCs w:val="18"/>
                <w:color w:val="auto"/>
              </w:rPr>
              <w:t>(59)</w:t>
            </w:r>
          </w:p>
        </w:tc>
        <w:tc>
          <w:tcPr>
            <w:tcW w:w="80" w:type="dxa"/>
            <w:vAlign w:val="bottom"/>
          </w:tcPr>
          <w:p>
            <w:pPr>
              <w:spacing w:after="0"/>
              <w:rPr>
                <w:sz w:val="18"/>
                <w:szCs w:val="18"/>
                <w:color w:val="auto"/>
              </w:rPr>
            </w:pPr>
          </w:p>
        </w:tc>
        <w:tc>
          <w:tcPr>
            <w:tcW w:w="400" w:type="dxa"/>
            <w:vAlign w:val="bottom"/>
            <w:gridSpan w:val="2"/>
          </w:tcPr>
          <w:p>
            <w:pPr>
              <w:jc w:val="right"/>
              <w:spacing w:after="0"/>
              <w:rPr>
                <w:sz w:val="20"/>
                <w:szCs w:val="20"/>
                <w:color w:val="auto"/>
              </w:rPr>
            </w:pPr>
            <w:r>
              <w:rPr>
                <w:rFonts w:ascii="Arial" w:cs="Arial" w:eastAsia="Arial" w:hAnsi="Arial"/>
                <w:sz w:val="18"/>
                <w:szCs w:val="18"/>
                <w:color w:val="auto"/>
                <w:w w:val="90"/>
              </w:rPr>
              <w:t>(250)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2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Costs incurred – quarter ended March 31, 2008</w:t>
            </w:r>
          </w:p>
        </w:tc>
        <w:tc>
          <w:tcPr>
            <w:tcW w:w="180" w:type="dxa"/>
            <w:vAlign w:val="bottom"/>
            <w:shd w:val="clear" w:color="auto" w:fill="CCEEFF"/>
          </w:tcPr>
          <w:p>
            <w:pPr>
              <w:spacing w:after="0"/>
              <w:rPr>
                <w:sz w:val="18"/>
                <w:szCs w:val="18"/>
                <w:color w:val="auto"/>
              </w:rPr>
            </w:pPr>
          </w:p>
        </w:tc>
        <w:tc>
          <w:tcPr>
            <w:tcW w:w="700" w:type="dxa"/>
            <w:vAlign w:val="bottom"/>
            <w:gridSpan w:val="2"/>
            <w:shd w:val="clear" w:color="auto" w:fill="CCEEFF"/>
          </w:tcPr>
          <w:p>
            <w:pPr>
              <w:ind w:left="160"/>
              <w:spacing w:after="0"/>
              <w:rPr>
                <w:sz w:val="20"/>
                <w:szCs w:val="20"/>
                <w:color w:val="auto"/>
              </w:rPr>
            </w:pPr>
            <w:r>
              <w:rPr>
                <w:rFonts w:ascii="Arial" w:cs="Arial" w:eastAsia="Arial" w:hAnsi="Arial"/>
                <w:sz w:val="18"/>
                <w:szCs w:val="18"/>
                <w:color w:val="auto"/>
              </w:rPr>
              <w:t>—</w:t>
            </w:r>
          </w:p>
        </w:tc>
        <w:tc>
          <w:tcPr>
            <w:tcW w:w="2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w:t>
            </w:r>
          </w:p>
        </w:tc>
        <w:tc>
          <w:tcPr>
            <w:tcW w:w="2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480"/>
              <w:spacing w:after="0"/>
              <w:rPr>
                <w:sz w:val="20"/>
                <w:szCs w:val="20"/>
                <w:color w:val="auto"/>
              </w:rPr>
            </w:pPr>
            <w:r>
              <w:rPr>
                <w:rFonts w:ascii="Arial" w:cs="Arial" w:eastAsia="Arial" w:hAnsi="Arial"/>
                <w:sz w:val="18"/>
                <w:szCs w:val="18"/>
                <w:color w:val="auto"/>
              </w:rPr>
              <w:t>(8)</w:t>
            </w:r>
          </w:p>
        </w:tc>
        <w:tc>
          <w:tcPr>
            <w:tcW w:w="80" w:type="dxa"/>
            <w:vAlign w:val="bottom"/>
            <w:shd w:val="clear" w:color="auto" w:fill="CCEEFF"/>
          </w:tcPr>
          <w:p>
            <w:pPr>
              <w:spacing w:after="0"/>
              <w:rPr>
                <w:sz w:val="18"/>
                <w:szCs w:val="18"/>
                <w:color w:val="auto"/>
              </w:rPr>
            </w:pPr>
          </w:p>
        </w:tc>
        <w:tc>
          <w:tcPr>
            <w:tcW w:w="4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240" w:type="dxa"/>
            <w:vAlign w:val="bottom"/>
            <w:gridSpan w:val="2"/>
          </w:tcPr>
          <w:p>
            <w:pPr>
              <w:spacing w:after="0"/>
              <w:rPr>
                <w:sz w:val="20"/>
                <w:szCs w:val="20"/>
                <w:color w:val="auto"/>
              </w:rPr>
            </w:pPr>
            <w:r>
              <w:rPr>
                <w:rFonts w:ascii="Arial" w:cs="Arial" w:eastAsia="Arial" w:hAnsi="Arial"/>
                <w:sz w:val="18"/>
                <w:szCs w:val="18"/>
                <w:color w:val="auto"/>
              </w:rPr>
              <w:t>Costs incurred – quarter ended June 30, 2008</w:t>
            </w:r>
          </w:p>
        </w:tc>
        <w:tc>
          <w:tcPr>
            <w:tcW w:w="180" w:type="dxa"/>
            <w:vAlign w:val="bottom"/>
          </w:tcPr>
          <w:p>
            <w:pPr>
              <w:spacing w:after="0"/>
              <w:rPr>
                <w:sz w:val="18"/>
                <w:szCs w:val="18"/>
                <w:color w:val="auto"/>
              </w:rPr>
            </w:pPr>
          </w:p>
        </w:tc>
        <w:tc>
          <w:tcPr>
            <w:tcW w:w="420" w:type="dxa"/>
            <w:vAlign w:val="bottom"/>
          </w:tcPr>
          <w:p>
            <w:pPr>
              <w:ind w:left="160"/>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w:t>
            </w:r>
          </w:p>
        </w:tc>
        <w:tc>
          <w:tcPr>
            <w:tcW w:w="3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00" w:type="dxa"/>
            <w:vAlign w:val="bottom"/>
            <w:gridSpan w:val="2"/>
          </w:tcPr>
          <w:p>
            <w:pPr>
              <w:jc w:val="right"/>
              <w:ind w:right="480"/>
              <w:spacing w:after="0"/>
              <w:rPr>
                <w:sz w:val="20"/>
                <w:szCs w:val="20"/>
                <w:color w:val="auto"/>
              </w:rPr>
            </w:pPr>
            <w:r>
              <w:rPr>
                <w:rFonts w:ascii="Arial" w:cs="Arial" w:eastAsia="Arial" w:hAnsi="Arial"/>
                <w:sz w:val="18"/>
                <w:szCs w:val="18"/>
                <w:color w:val="auto"/>
              </w:rPr>
              <w:t>(9)</w:t>
            </w:r>
          </w:p>
        </w:tc>
        <w:tc>
          <w:tcPr>
            <w:tcW w:w="80" w:type="dxa"/>
            <w:vAlign w:val="bottom"/>
          </w:tcPr>
          <w:p>
            <w:pPr>
              <w:spacing w:after="0"/>
              <w:rPr>
                <w:sz w:val="18"/>
                <w:szCs w:val="18"/>
                <w:color w:val="auto"/>
              </w:rPr>
            </w:pPr>
          </w:p>
        </w:tc>
        <w:tc>
          <w:tcPr>
            <w:tcW w:w="400" w:type="dxa"/>
            <w:vAlign w:val="bottom"/>
            <w:gridSpan w:val="2"/>
          </w:tcPr>
          <w:p>
            <w:pPr>
              <w:jc w:val="right"/>
              <w:spacing w:after="0"/>
              <w:rPr>
                <w:sz w:val="20"/>
                <w:szCs w:val="20"/>
                <w:color w:val="auto"/>
              </w:rPr>
            </w:pPr>
            <w:r>
              <w:rPr>
                <w:rFonts w:ascii="Arial" w:cs="Arial" w:eastAsia="Arial" w:hAnsi="Arial"/>
                <w:sz w:val="18"/>
                <w:szCs w:val="18"/>
                <w:color w:val="auto"/>
              </w:rPr>
              <w:t>(9)</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1340" w:type="dxa"/>
            <w:vAlign w:val="bottom"/>
          </w:tcPr>
          <w:p>
            <w:pPr>
              <w:spacing w:after="0"/>
              <w:rPr>
                <w:sz w:val="2"/>
                <w:szCs w:val="2"/>
                <w:color w:val="auto"/>
              </w:rPr>
            </w:pPr>
          </w:p>
        </w:tc>
        <w:tc>
          <w:tcPr>
            <w:tcW w:w="5900" w:type="dxa"/>
            <w:vAlign w:val="bottom"/>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420" w:type="dxa"/>
            <w:vAlign w:val="bottom"/>
            <w:shd w:val="clear" w:color="auto" w:fill="000000"/>
          </w:tcPr>
          <w:p>
            <w:pPr>
              <w:spacing w:after="0"/>
              <w:rPr>
                <w:sz w:val="2"/>
                <w:szCs w:val="2"/>
                <w:color w:val="auto"/>
              </w:rPr>
            </w:pPr>
          </w:p>
        </w:tc>
        <w:tc>
          <w:tcPr>
            <w:tcW w:w="280" w:type="dxa"/>
            <w:vAlign w:val="bottom"/>
          </w:tcPr>
          <w:p>
            <w:pPr>
              <w:spacing w:after="0"/>
              <w:rPr>
                <w:sz w:val="2"/>
                <w:szCs w:val="2"/>
                <w:color w:val="auto"/>
              </w:rPr>
            </w:pPr>
          </w:p>
        </w:tc>
        <w:tc>
          <w:tcPr>
            <w:tcW w:w="240" w:type="dxa"/>
            <w:vAlign w:val="bottom"/>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620" w:type="dxa"/>
            <w:vAlign w:val="bottom"/>
            <w:shd w:val="clear" w:color="auto" w:fill="000000"/>
          </w:tcPr>
          <w:p>
            <w:pPr>
              <w:spacing w:after="0"/>
              <w:rPr>
                <w:sz w:val="2"/>
                <w:szCs w:val="2"/>
                <w:color w:val="auto"/>
              </w:rPr>
            </w:pPr>
          </w:p>
        </w:tc>
        <w:tc>
          <w:tcPr>
            <w:tcW w:w="3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560" w:type="dxa"/>
            <w:vAlign w:val="bottom"/>
            <w:shd w:val="clear" w:color="auto" w:fill="000000"/>
          </w:tcPr>
          <w:p>
            <w:pPr>
              <w:spacing w:after="0"/>
              <w:rPr>
                <w:sz w:val="2"/>
                <w:szCs w:val="2"/>
                <w:color w:val="auto"/>
              </w:rPr>
            </w:pPr>
          </w:p>
        </w:tc>
        <w:tc>
          <w:tcPr>
            <w:tcW w:w="54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340" w:type="dxa"/>
            <w:vAlign w:val="bottom"/>
            <w:shd w:val="clear" w:color="auto" w:fill="000000"/>
          </w:tcPr>
          <w:p>
            <w:pPr>
              <w:spacing w:after="0"/>
              <w:rPr>
                <w:sz w:val="2"/>
                <w:szCs w:val="2"/>
                <w:color w:val="auto"/>
              </w:rPr>
            </w:pPr>
          </w:p>
        </w:tc>
        <w:tc>
          <w:tcPr>
            <w:tcW w:w="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72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Remaining costs at June 30, 2008</w:t>
            </w:r>
          </w:p>
        </w:tc>
        <w:tc>
          <w:tcPr>
            <w:tcW w:w="18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420" w:type="dxa"/>
            <w:vAlign w:val="bottom"/>
            <w:shd w:val="clear" w:color="auto" w:fill="CCEEFF"/>
          </w:tcPr>
          <w:p>
            <w:pPr>
              <w:ind w:left="160"/>
              <w:spacing w:after="0"/>
              <w:rPr>
                <w:sz w:val="20"/>
                <w:szCs w:val="20"/>
                <w:color w:val="auto"/>
              </w:rPr>
            </w:pPr>
            <w:r>
              <w:rPr>
                <w:rFonts w:ascii="Arial" w:cs="Arial" w:eastAsia="Arial" w:hAnsi="Arial"/>
                <w:sz w:val="18"/>
                <w:szCs w:val="18"/>
                <w:color w:val="auto"/>
              </w:rPr>
              <w:t>—</w:t>
            </w:r>
          </w:p>
        </w:tc>
        <w:tc>
          <w:tcPr>
            <w:tcW w:w="2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300" w:type="dxa"/>
            <w:vAlign w:val="bottom"/>
            <w:shd w:val="clear" w:color="auto" w:fill="CCEEFF"/>
          </w:tcPr>
          <w:p>
            <w:pPr>
              <w:spacing w:after="0"/>
              <w:rPr>
                <w:sz w:val="18"/>
                <w:szCs w:val="18"/>
                <w:color w:val="auto"/>
              </w:rPr>
            </w:pPr>
          </w:p>
        </w:tc>
        <w:tc>
          <w:tcPr>
            <w:tcW w:w="380" w:type="dxa"/>
            <w:vAlign w:val="bottom"/>
            <w:gridSpan w:val="2"/>
            <w:shd w:val="clear" w:color="auto" w:fill="CCEEFF"/>
          </w:tcPr>
          <w:p>
            <w:pPr>
              <w:ind w:left="240"/>
              <w:spacing w:after="0"/>
              <w:rPr>
                <w:sz w:val="20"/>
                <w:szCs w:val="20"/>
                <w:color w:val="auto"/>
              </w:rPr>
            </w:pPr>
            <w:r>
              <w:rPr>
                <w:rFonts w:ascii="Arial" w:cs="Arial" w:eastAsia="Arial" w:hAnsi="Arial"/>
                <w:sz w:val="18"/>
                <w:szCs w:val="18"/>
                <w:color w:val="auto"/>
              </w:rPr>
              <w:t>$</w:t>
            </w: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w:t>
            </w:r>
          </w:p>
        </w:tc>
        <w:tc>
          <w:tcPr>
            <w:tcW w:w="540" w:type="dxa"/>
            <w:vAlign w:val="bottom"/>
            <w:shd w:val="clear" w:color="auto" w:fill="CCEEFF"/>
          </w:tcPr>
          <w:p>
            <w:pPr>
              <w:spacing w:after="0"/>
              <w:rPr>
                <w:sz w:val="18"/>
                <w:szCs w:val="18"/>
                <w:color w:val="auto"/>
              </w:rPr>
            </w:pP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3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340" w:type="dxa"/>
            <w:vAlign w:val="bottom"/>
          </w:tcPr>
          <w:p>
            <w:pPr>
              <w:spacing w:after="0" w:line="20" w:lineRule="exact"/>
              <w:rPr>
                <w:sz w:val="1"/>
                <w:szCs w:val="1"/>
                <w:color w:val="auto"/>
              </w:rPr>
            </w:pPr>
          </w:p>
        </w:tc>
        <w:tc>
          <w:tcPr>
            <w:tcW w:w="590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67"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following table summarizes expected, incurred and remaining costs for the 2006 restructuring actions by segment:</w:t>
      </w:r>
    </w:p>
    <w:p>
      <w:pPr>
        <w:spacing w:after="0" w:line="195"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1980" w:type="dxa"/>
            <w:vAlign w:val="bottom"/>
          </w:tcPr>
          <w:p>
            <w:pPr>
              <w:spacing w:after="0"/>
              <w:rPr>
                <w:sz w:val="14"/>
                <w:szCs w:val="14"/>
                <w:color w:val="auto"/>
              </w:rPr>
            </w:pPr>
          </w:p>
        </w:tc>
        <w:tc>
          <w:tcPr>
            <w:tcW w:w="18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1780" w:type="dxa"/>
            <w:vAlign w:val="bottom"/>
            <w:gridSpan w:val="4"/>
          </w:tcPr>
          <w:p>
            <w:pPr>
              <w:jc w:val="center"/>
              <w:ind w:left="159"/>
              <w:spacing w:after="0"/>
              <w:rPr>
                <w:sz w:val="20"/>
                <w:szCs w:val="20"/>
                <w:color w:val="auto"/>
              </w:rPr>
            </w:pPr>
            <w:r>
              <w:rPr>
                <w:rFonts w:ascii="Arial" w:cs="Arial" w:eastAsia="Arial" w:hAnsi="Arial"/>
                <w:sz w:val="14"/>
                <w:szCs w:val="14"/>
                <w:b w:val="1"/>
                <w:bCs w:val="1"/>
                <w:color w:val="auto"/>
                <w:w w:val="86"/>
              </w:rPr>
              <w:t>Costs Incurred</w:t>
            </w:r>
          </w:p>
        </w:tc>
        <w:tc>
          <w:tcPr>
            <w:tcW w:w="280" w:type="dxa"/>
            <w:vAlign w:val="bottom"/>
          </w:tcPr>
          <w:p>
            <w:pPr>
              <w:spacing w:after="0"/>
              <w:rPr>
                <w:sz w:val="14"/>
                <w:szCs w:val="14"/>
                <w:color w:val="auto"/>
              </w:rPr>
            </w:pPr>
          </w:p>
        </w:tc>
        <w:tc>
          <w:tcPr>
            <w:tcW w:w="1240" w:type="dxa"/>
            <w:vAlign w:val="bottom"/>
            <w:gridSpan w:val="3"/>
          </w:tcPr>
          <w:p>
            <w:pPr>
              <w:ind w:left="20"/>
              <w:spacing w:after="0"/>
              <w:rPr>
                <w:sz w:val="20"/>
                <w:szCs w:val="20"/>
                <w:color w:val="auto"/>
              </w:rPr>
            </w:pPr>
            <w:r>
              <w:rPr>
                <w:rFonts w:ascii="Arial" w:cs="Arial" w:eastAsia="Arial" w:hAnsi="Arial"/>
                <w:sz w:val="14"/>
                <w:szCs w:val="14"/>
                <w:b w:val="1"/>
                <w:bCs w:val="1"/>
                <w:color w:val="auto"/>
              </w:rPr>
              <w:t>Costs Incurred</w:t>
            </w:r>
          </w:p>
        </w:tc>
        <w:tc>
          <w:tcPr>
            <w:tcW w:w="280" w:type="dxa"/>
            <w:vAlign w:val="bottom"/>
          </w:tcPr>
          <w:p>
            <w:pPr>
              <w:spacing w:after="0"/>
              <w:rPr>
                <w:sz w:val="14"/>
                <w:szCs w:val="14"/>
                <w:color w:val="auto"/>
              </w:rPr>
            </w:pPr>
          </w:p>
        </w:tc>
        <w:tc>
          <w:tcPr>
            <w:tcW w:w="1220" w:type="dxa"/>
            <w:vAlign w:val="bottom"/>
            <w:gridSpan w:val="3"/>
          </w:tcPr>
          <w:p>
            <w:pPr>
              <w:spacing w:after="0"/>
              <w:rPr>
                <w:sz w:val="20"/>
                <w:szCs w:val="20"/>
                <w:color w:val="auto"/>
              </w:rPr>
            </w:pPr>
            <w:r>
              <w:rPr>
                <w:rFonts w:ascii="Arial" w:cs="Arial" w:eastAsia="Arial" w:hAnsi="Arial"/>
                <w:sz w:val="14"/>
                <w:szCs w:val="14"/>
                <w:b w:val="1"/>
                <w:bCs w:val="1"/>
                <w:color w:val="auto"/>
              </w:rPr>
              <w:t>Costs Incurred</w:t>
            </w:r>
          </w:p>
        </w:tc>
        <w:tc>
          <w:tcPr>
            <w:tcW w:w="280" w:type="dxa"/>
            <w:vAlign w:val="bottom"/>
          </w:tcPr>
          <w:p>
            <w:pPr>
              <w:spacing w:after="0"/>
              <w:rPr>
                <w:sz w:val="14"/>
                <w:szCs w:val="14"/>
                <w:color w:val="auto"/>
              </w:rPr>
            </w:pPr>
          </w:p>
        </w:tc>
        <w:tc>
          <w:tcPr>
            <w:tcW w:w="660" w:type="dxa"/>
            <w:vAlign w:val="bottom"/>
            <w:gridSpan w:val="3"/>
          </w:tcPr>
          <w:p>
            <w:pPr>
              <w:spacing w:after="0"/>
              <w:rPr>
                <w:sz w:val="20"/>
                <w:szCs w:val="20"/>
                <w:color w:val="auto"/>
              </w:rPr>
            </w:pPr>
            <w:r>
              <w:rPr>
                <w:rFonts w:ascii="Arial" w:cs="Arial" w:eastAsia="Arial" w:hAnsi="Arial"/>
                <w:sz w:val="14"/>
                <w:szCs w:val="14"/>
                <w:b w:val="1"/>
                <w:bCs w:val="1"/>
                <w:color w:val="auto"/>
                <w:w w:val="89"/>
              </w:rPr>
              <w:t>Remaining</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340" w:type="dxa"/>
            <w:vAlign w:val="bottom"/>
          </w:tcPr>
          <w:p>
            <w:pPr>
              <w:spacing w:after="0"/>
              <w:rPr>
                <w:sz w:val="12"/>
                <w:szCs w:val="12"/>
                <w:color w:val="auto"/>
              </w:rPr>
            </w:pPr>
          </w:p>
        </w:tc>
        <w:tc>
          <w:tcPr>
            <w:tcW w:w="1980" w:type="dxa"/>
            <w:vAlign w:val="bottom"/>
          </w:tcPr>
          <w:p>
            <w:pPr>
              <w:spacing w:after="0"/>
              <w:rPr>
                <w:sz w:val="12"/>
                <w:szCs w:val="12"/>
                <w:color w:val="auto"/>
              </w:rPr>
            </w:pPr>
          </w:p>
        </w:tc>
        <w:tc>
          <w:tcPr>
            <w:tcW w:w="18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060" w:type="dxa"/>
            <w:vAlign w:val="bottom"/>
            <w:gridSpan w:val="2"/>
          </w:tcPr>
          <w:p>
            <w:pPr>
              <w:jc w:val="center"/>
              <w:ind w:right="480"/>
              <w:spacing w:after="0" w:line="149" w:lineRule="exact"/>
              <w:rPr>
                <w:sz w:val="20"/>
                <w:szCs w:val="20"/>
                <w:color w:val="auto"/>
              </w:rPr>
            </w:pPr>
            <w:r>
              <w:rPr>
                <w:rFonts w:ascii="Arial" w:cs="Arial" w:eastAsia="Arial" w:hAnsi="Arial"/>
                <w:sz w:val="14"/>
                <w:szCs w:val="14"/>
                <w:b w:val="1"/>
                <w:bCs w:val="1"/>
                <w:color w:val="auto"/>
                <w:w w:val="86"/>
              </w:rPr>
              <w:t>through</w:t>
            </w:r>
          </w:p>
        </w:tc>
        <w:tc>
          <w:tcPr>
            <w:tcW w:w="280" w:type="dxa"/>
            <w:vAlign w:val="bottom"/>
          </w:tcPr>
          <w:p>
            <w:pPr>
              <w:spacing w:after="0"/>
              <w:rPr>
                <w:sz w:val="12"/>
                <w:szCs w:val="12"/>
                <w:color w:val="auto"/>
              </w:rPr>
            </w:pPr>
          </w:p>
        </w:tc>
        <w:tc>
          <w:tcPr>
            <w:tcW w:w="1240" w:type="dxa"/>
            <w:vAlign w:val="bottom"/>
            <w:gridSpan w:val="3"/>
          </w:tcPr>
          <w:p>
            <w:pPr>
              <w:spacing w:after="0" w:line="149" w:lineRule="exact"/>
              <w:rPr>
                <w:sz w:val="20"/>
                <w:szCs w:val="20"/>
                <w:color w:val="auto"/>
              </w:rPr>
            </w:pPr>
            <w:r>
              <w:rPr>
                <w:rFonts w:ascii="Arial" w:cs="Arial" w:eastAsia="Arial" w:hAnsi="Arial"/>
                <w:sz w:val="14"/>
                <w:szCs w:val="14"/>
                <w:b w:val="1"/>
                <w:bCs w:val="1"/>
                <w:color w:val="auto"/>
              </w:rPr>
              <w:t>Quarter Ended</w:t>
            </w:r>
          </w:p>
        </w:tc>
        <w:tc>
          <w:tcPr>
            <w:tcW w:w="280" w:type="dxa"/>
            <w:vAlign w:val="bottom"/>
          </w:tcPr>
          <w:p>
            <w:pPr>
              <w:spacing w:after="0"/>
              <w:rPr>
                <w:sz w:val="12"/>
                <w:szCs w:val="12"/>
                <w:color w:val="auto"/>
              </w:rPr>
            </w:pPr>
          </w:p>
        </w:tc>
        <w:tc>
          <w:tcPr>
            <w:tcW w:w="1220" w:type="dxa"/>
            <w:vAlign w:val="bottom"/>
            <w:gridSpan w:val="3"/>
          </w:tcPr>
          <w:p>
            <w:pPr>
              <w:spacing w:after="0" w:line="149" w:lineRule="exact"/>
              <w:rPr>
                <w:sz w:val="20"/>
                <w:szCs w:val="20"/>
                <w:color w:val="auto"/>
              </w:rPr>
            </w:pPr>
            <w:r>
              <w:rPr>
                <w:rFonts w:ascii="Arial" w:cs="Arial" w:eastAsia="Arial" w:hAnsi="Arial"/>
                <w:sz w:val="14"/>
                <w:szCs w:val="14"/>
                <w:b w:val="1"/>
                <w:bCs w:val="1"/>
                <w:color w:val="auto"/>
              </w:rPr>
              <w:t>Quarter Ended</w:t>
            </w:r>
          </w:p>
        </w:tc>
        <w:tc>
          <w:tcPr>
            <w:tcW w:w="2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60" w:type="dxa"/>
            <w:vAlign w:val="bottom"/>
            <w:gridSpan w:val="2"/>
          </w:tcPr>
          <w:p>
            <w:pPr>
              <w:jc w:val="right"/>
              <w:ind w:right="100"/>
              <w:spacing w:after="0" w:line="149" w:lineRule="exact"/>
              <w:rPr>
                <w:sz w:val="20"/>
                <w:szCs w:val="20"/>
                <w:color w:val="auto"/>
              </w:rPr>
            </w:pPr>
            <w:r>
              <w:rPr>
                <w:rFonts w:ascii="Arial" w:cs="Arial" w:eastAsia="Arial" w:hAnsi="Arial"/>
                <w:sz w:val="14"/>
                <w:szCs w:val="14"/>
                <w:b w:val="1"/>
                <w:bCs w:val="1"/>
                <w:color w:val="auto"/>
                <w:w w:val="79"/>
              </w:rPr>
              <w:t>Costs at</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340" w:type="dxa"/>
            <w:vAlign w:val="bottom"/>
          </w:tcPr>
          <w:p>
            <w:pPr>
              <w:spacing w:after="0"/>
              <w:rPr>
                <w:sz w:val="12"/>
                <w:szCs w:val="12"/>
                <w:color w:val="auto"/>
              </w:rPr>
            </w:pPr>
          </w:p>
        </w:tc>
        <w:tc>
          <w:tcPr>
            <w:tcW w:w="1980" w:type="dxa"/>
            <w:vAlign w:val="bottom"/>
          </w:tcPr>
          <w:p>
            <w:pPr>
              <w:spacing w:after="0"/>
              <w:rPr>
                <w:sz w:val="12"/>
                <w:szCs w:val="12"/>
                <w:color w:val="auto"/>
              </w:rPr>
            </w:pPr>
          </w:p>
        </w:tc>
        <w:tc>
          <w:tcPr>
            <w:tcW w:w="1820" w:type="dxa"/>
            <w:vAlign w:val="bottom"/>
          </w:tcPr>
          <w:p>
            <w:pPr>
              <w:spacing w:after="0"/>
              <w:rPr>
                <w:sz w:val="12"/>
                <w:szCs w:val="12"/>
                <w:color w:val="auto"/>
              </w:rPr>
            </w:pPr>
          </w:p>
        </w:tc>
        <w:tc>
          <w:tcPr>
            <w:tcW w:w="540" w:type="dxa"/>
            <w:vAlign w:val="bottom"/>
            <w:gridSpan w:val="2"/>
          </w:tcPr>
          <w:p>
            <w:pPr>
              <w:ind w:left="20"/>
              <w:spacing w:after="0" w:line="149" w:lineRule="exact"/>
              <w:rPr>
                <w:sz w:val="20"/>
                <w:szCs w:val="20"/>
                <w:color w:val="auto"/>
              </w:rPr>
            </w:pPr>
            <w:r>
              <w:rPr>
                <w:rFonts w:ascii="Arial" w:cs="Arial" w:eastAsia="Arial" w:hAnsi="Arial"/>
                <w:sz w:val="14"/>
                <w:szCs w:val="14"/>
                <w:b w:val="1"/>
                <w:bCs w:val="1"/>
                <w:color w:val="auto"/>
                <w:w w:val="80"/>
              </w:rPr>
              <w:t>Expected</w:t>
            </w:r>
          </w:p>
        </w:tc>
        <w:tc>
          <w:tcPr>
            <w:tcW w:w="580" w:type="dxa"/>
            <w:vAlign w:val="bottom"/>
          </w:tcPr>
          <w:p>
            <w:pPr>
              <w:spacing w:after="0"/>
              <w:rPr>
                <w:sz w:val="12"/>
                <w:szCs w:val="12"/>
                <w:color w:val="auto"/>
              </w:rPr>
            </w:pPr>
          </w:p>
        </w:tc>
        <w:tc>
          <w:tcPr>
            <w:tcW w:w="1200" w:type="dxa"/>
            <w:vAlign w:val="bottom"/>
            <w:gridSpan w:val="3"/>
          </w:tcPr>
          <w:p>
            <w:pPr>
              <w:jc w:val="center"/>
              <w:ind w:right="340"/>
              <w:spacing w:after="0" w:line="149" w:lineRule="exact"/>
              <w:rPr>
                <w:sz w:val="20"/>
                <w:szCs w:val="20"/>
                <w:color w:val="auto"/>
              </w:rPr>
            </w:pPr>
            <w:r>
              <w:rPr>
                <w:rFonts w:ascii="Arial" w:cs="Arial" w:eastAsia="Arial" w:hAnsi="Arial"/>
                <w:sz w:val="14"/>
                <w:szCs w:val="14"/>
                <w:b w:val="1"/>
                <w:bCs w:val="1"/>
                <w:color w:val="auto"/>
                <w:w w:val="85"/>
              </w:rPr>
              <w:t>December 31,</w:t>
            </w:r>
          </w:p>
        </w:tc>
        <w:tc>
          <w:tcPr>
            <w:tcW w:w="2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120" w:type="dxa"/>
            <w:vAlign w:val="bottom"/>
            <w:gridSpan w:val="2"/>
          </w:tcPr>
          <w:p>
            <w:pPr>
              <w:ind w:left="40"/>
              <w:spacing w:after="0" w:line="149" w:lineRule="exact"/>
              <w:rPr>
                <w:sz w:val="20"/>
                <w:szCs w:val="20"/>
                <w:color w:val="auto"/>
              </w:rPr>
            </w:pPr>
            <w:r>
              <w:rPr>
                <w:rFonts w:ascii="Arial" w:cs="Arial" w:eastAsia="Arial" w:hAnsi="Arial"/>
                <w:sz w:val="14"/>
                <w:szCs w:val="14"/>
                <w:b w:val="1"/>
                <w:bCs w:val="1"/>
                <w:color w:val="auto"/>
              </w:rPr>
              <w:t>March 31,</w:t>
            </w:r>
          </w:p>
        </w:tc>
        <w:tc>
          <w:tcPr>
            <w:tcW w:w="2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080" w:type="dxa"/>
            <w:vAlign w:val="bottom"/>
            <w:gridSpan w:val="2"/>
          </w:tcPr>
          <w:p>
            <w:pPr>
              <w:ind w:left="60"/>
              <w:spacing w:after="0" w:line="149" w:lineRule="exact"/>
              <w:rPr>
                <w:sz w:val="20"/>
                <w:szCs w:val="20"/>
                <w:color w:val="auto"/>
              </w:rPr>
            </w:pPr>
            <w:r>
              <w:rPr>
                <w:rFonts w:ascii="Arial" w:cs="Arial" w:eastAsia="Arial" w:hAnsi="Arial"/>
                <w:sz w:val="14"/>
                <w:szCs w:val="14"/>
                <w:b w:val="1"/>
                <w:bCs w:val="1"/>
                <w:color w:val="auto"/>
              </w:rPr>
              <w:t>June 30,</w:t>
            </w:r>
          </w:p>
        </w:tc>
        <w:tc>
          <w:tcPr>
            <w:tcW w:w="280" w:type="dxa"/>
            <w:vAlign w:val="bottom"/>
          </w:tcPr>
          <w:p>
            <w:pPr>
              <w:spacing w:after="0"/>
              <w:rPr>
                <w:sz w:val="12"/>
                <w:szCs w:val="12"/>
                <w:color w:val="auto"/>
              </w:rPr>
            </w:pPr>
          </w:p>
        </w:tc>
        <w:tc>
          <w:tcPr>
            <w:tcW w:w="660" w:type="dxa"/>
            <w:vAlign w:val="bottom"/>
            <w:gridSpan w:val="3"/>
          </w:tcPr>
          <w:p>
            <w:pPr>
              <w:ind w:left="80"/>
              <w:spacing w:after="0" w:line="149" w:lineRule="exact"/>
              <w:rPr>
                <w:sz w:val="20"/>
                <w:szCs w:val="20"/>
                <w:color w:val="auto"/>
              </w:rPr>
            </w:pPr>
            <w:r>
              <w:rPr>
                <w:rFonts w:ascii="Arial" w:cs="Arial" w:eastAsia="Arial" w:hAnsi="Arial"/>
                <w:sz w:val="14"/>
                <w:szCs w:val="14"/>
                <w:b w:val="1"/>
                <w:bCs w:val="1"/>
                <w:color w:val="auto"/>
                <w:w w:val="99"/>
              </w:rPr>
              <w:t>June 30,</w:t>
            </w:r>
          </w:p>
        </w:tc>
        <w:tc>
          <w:tcPr>
            <w:tcW w:w="0" w:type="dxa"/>
            <w:vAlign w:val="bottom"/>
          </w:tcPr>
          <w:p>
            <w:pPr>
              <w:spacing w:after="0"/>
              <w:rPr>
                <w:sz w:val="1"/>
                <w:szCs w:val="1"/>
                <w:color w:val="auto"/>
              </w:rPr>
            </w:pPr>
          </w:p>
        </w:tc>
      </w:tr>
      <w:tr>
        <w:trPr>
          <w:trHeight w:val="161"/>
        </w:trPr>
        <w:tc>
          <w:tcPr>
            <w:tcW w:w="3340" w:type="dxa"/>
            <w:vAlign w:val="bottom"/>
            <w:gridSpan w:val="3"/>
          </w:tcPr>
          <w:p>
            <w:pPr>
              <w:spacing w:after="0"/>
              <w:rPr>
                <w:sz w:val="20"/>
                <w:szCs w:val="20"/>
                <w:color w:val="auto"/>
              </w:rPr>
            </w:pPr>
            <w:r>
              <w:rPr>
                <w:rFonts w:ascii="Arial" w:cs="Arial" w:eastAsia="Arial" w:hAnsi="Arial"/>
                <w:sz w:val="14"/>
                <w:szCs w:val="14"/>
                <w:b w:val="1"/>
                <w:bCs w:val="1"/>
                <w:color w:val="auto"/>
              </w:rPr>
              <w:t>(in millions of dollars)</w:t>
            </w:r>
          </w:p>
        </w:tc>
        <w:tc>
          <w:tcPr>
            <w:tcW w:w="18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40" w:type="dxa"/>
            <w:vAlign w:val="bottom"/>
          </w:tcPr>
          <w:p>
            <w:pPr>
              <w:jc w:val="right"/>
              <w:ind w:right="15"/>
              <w:spacing w:after="0"/>
              <w:rPr>
                <w:sz w:val="20"/>
                <w:szCs w:val="20"/>
                <w:color w:val="auto"/>
              </w:rPr>
            </w:pPr>
            <w:r>
              <w:rPr>
                <w:rFonts w:ascii="Arial" w:cs="Arial" w:eastAsia="Arial" w:hAnsi="Arial"/>
                <w:sz w:val="14"/>
                <w:szCs w:val="14"/>
                <w:b w:val="1"/>
                <w:bCs w:val="1"/>
                <w:color w:val="auto"/>
                <w:w w:val="82"/>
              </w:rPr>
              <w:t>Costs</w:t>
            </w:r>
          </w:p>
        </w:tc>
        <w:tc>
          <w:tcPr>
            <w:tcW w:w="5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720" w:type="dxa"/>
            <w:vAlign w:val="bottom"/>
          </w:tcPr>
          <w:p>
            <w:pPr>
              <w:jc w:val="center"/>
              <w:ind w:right="57"/>
              <w:spacing w:after="0"/>
              <w:rPr>
                <w:sz w:val="20"/>
                <w:szCs w:val="20"/>
                <w:color w:val="auto"/>
              </w:rPr>
            </w:pPr>
            <w:r>
              <w:rPr>
                <w:rFonts w:ascii="Arial" w:cs="Arial" w:eastAsia="Arial" w:hAnsi="Arial"/>
                <w:sz w:val="14"/>
                <w:szCs w:val="14"/>
                <w:b w:val="1"/>
                <w:bCs w:val="1"/>
                <w:color w:val="auto"/>
                <w:w w:val="83"/>
              </w:rPr>
              <w:t>2007</w:t>
            </w:r>
          </w:p>
        </w:tc>
        <w:tc>
          <w:tcPr>
            <w:tcW w:w="34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80" w:type="dxa"/>
            <w:vAlign w:val="bottom"/>
          </w:tcPr>
          <w:p>
            <w:pPr>
              <w:ind w:left="200"/>
              <w:spacing w:after="0"/>
              <w:rPr>
                <w:sz w:val="20"/>
                <w:szCs w:val="20"/>
                <w:color w:val="auto"/>
              </w:rPr>
            </w:pPr>
            <w:r>
              <w:rPr>
                <w:rFonts w:ascii="Arial" w:cs="Arial" w:eastAsia="Arial" w:hAnsi="Arial"/>
                <w:sz w:val="14"/>
                <w:szCs w:val="14"/>
                <w:b w:val="1"/>
                <w:bCs w:val="1"/>
                <w:color w:val="auto"/>
              </w:rPr>
              <w:t>2008</w:t>
            </w:r>
          </w:p>
        </w:tc>
        <w:tc>
          <w:tcPr>
            <w:tcW w:w="34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740" w:type="dxa"/>
            <w:vAlign w:val="bottom"/>
          </w:tcPr>
          <w:p>
            <w:pPr>
              <w:ind w:left="160"/>
              <w:spacing w:after="0"/>
              <w:rPr>
                <w:sz w:val="20"/>
                <w:szCs w:val="20"/>
                <w:color w:val="auto"/>
              </w:rPr>
            </w:pPr>
            <w:r>
              <w:rPr>
                <w:rFonts w:ascii="Arial" w:cs="Arial" w:eastAsia="Arial" w:hAnsi="Arial"/>
                <w:sz w:val="14"/>
                <w:szCs w:val="14"/>
                <w:b w:val="1"/>
                <w:bCs w:val="1"/>
                <w:color w:val="auto"/>
              </w:rPr>
              <w:t>2008</w:t>
            </w:r>
          </w:p>
        </w:tc>
        <w:tc>
          <w:tcPr>
            <w:tcW w:w="34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40" w:type="dxa"/>
            <w:vAlign w:val="bottom"/>
          </w:tcPr>
          <w:p>
            <w:pPr>
              <w:jc w:val="right"/>
              <w:ind w:right="97"/>
              <w:spacing w:after="0"/>
              <w:rPr>
                <w:sz w:val="20"/>
                <w:szCs w:val="20"/>
                <w:color w:val="auto"/>
              </w:rPr>
            </w:pPr>
            <w:r>
              <w:rPr>
                <w:rFonts w:ascii="Arial" w:cs="Arial" w:eastAsia="Arial" w:hAnsi="Arial"/>
                <w:sz w:val="14"/>
                <w:szCs w:val="14"/>
                <w:b w:val="1"/>
                <w:bCs w:val="1"/>
                <w:color w:val="auto"/>
              </w:rPr>
              <w:t>2008</w:t>
            </w: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20" w:type="dxa"/>
            <w:vAlign w:val="bottom"/>
            <w:vMerge w:val="restart"/>
          </w:tcPr>
          <w:p>
            <w:pPr>
              <w:spacing w:after="0" w:line="20" w:lineRule="exact"/>
              <w:rPr>
                <w:sz w:val="1"/>
                <w:szCs w:val="1"/>
                <w:color w:val="auto"/>
              </w:rPr>
            </w:pPr>
          </w:p>
        </w:tc>
        <w:tc>
          <w:tcPr>
            <w:tcW w:w="1340" w:type="dxa"/>
            <w:vAlign w:val="bottom"/>
            <w:shd w:val="clear" w:color="auto" w:fill="000000"/>
          </w:tcPr>
          <w:p>
            <w:pPr>
              <w:spacing w:after="0" w:line="20" w:lineRule="exact"/>
              <w:rPr>
                <w:sz w:val="1"/>
                <w:szCs w:val="1"/>
                <w:color w:val="auto"/>
              </w:rPr>
            </w:pPr>
          </w:p>
        </w:tc>
        <w:tc>
          <w:tcPr>
            <w:tcW w:w="1980" w:type="dxa"/>
            <w:vAlign w:val="bottom"/>
          </w:tcPr>
          <w:p>
            <w:pPr>
              <w:spacing w:after="0" w:line="20" w:lineRule="exact"/>
              <w:rPr>
                <w:sz w:val="1"/>
                <w:szCs w:val="1"/>
                <w:color w:val="auto"/>
              </w:rPr>
            </w:pPr>
          </w:p>
        </w:tc>
        <w:tc>
          <w:tcPr>
            <w:tcW w:w="182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440" w:type="dxa"/>
            <w:vAlign w:val="bottom"/>
            <w:shd w:val="clear" w:color="auto" w:fill="000000"/>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vMerge w:val="continue"/>
          </w:tcPr>
          <w:p>
            <w:pPr>
              <w:spacing w:after="0"/>
              <w:rPr>
                <w:sz w:val="18"/>
                <w:szCs w:val="18"/>
                <w:color w:val="auto"/>
              </w:rPr>
            </w:pPr>
          </w:p>
        </w:tc>
        <w:tc>
          <w:tcPr>
            <w:tcW w:w="1340" w:type="dxa"/>
            <w:vAlign w:val="bottom"/>
            <w:shd w:val="clear" w:color="auto" w:fill="CCEEFF"/>
          </w:tcPr>
          <w:p>
            <w:pPr>
              <w:spacing w:after="0"/>
              <w:rPr>
                <w:sz w:val="20"/>
                <w:szCs w:val="20"/>
                <w:color w:val="auto"/>
              </w:rPr>
            </w:pPr>
            <w:r>
              <w:rPr>
                <w:rFonts w:ascii="Arial" w:cs="Arial" w:eastAsia="Arial" w:hAnsi="Arial"/>
                <w:sz w:val="18"/>
                <w:szCs w:val="18"/>
                <w:color w:val="auto"/>
              </w:rPr>
              <w:t>Otis</w:t>
            </w:r>
          </w:p>
        </w:tc>
        <w:tc>
          <w:tcPr>
            <w:tcW w:w="1980" w:type="dxa"/>
            <w:vAlign w:val="bottom"/>
            <w:shd w:val="clear" w:color="auto" w:fill="CCEEFF"/>
          </w:tcPr>
          <w:p>
            <w:pPr>
              <w:spacing w:after="0"/>
              <w:rPr>
                <w:sz w:val="18"/>
                <w:szCs w:val="18"/>
                <w:color w:val="auto"/>
              </w:rPr>
            </w:pPr>
          </w:p>
        </w:tc>
        <w:tc>
          <w:tcPr>
            <w:tcW w:w="18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20"/>
                <w:szCs w:val="20"/>
                <w:color w:val="auto"/>
              </w:rPr>
            </w:pPr>
            <w:r>
              <w:rPr>
                <w:rFonts w:ascii="Arial" w:cs="Arial" w:eastAsia="Arial" w:hAnsi="Arial"/>
                <w:sz w:val="18"/>
                <w:szCs w:val="18"/>
                <w:color w:val="auto"/>
                <w:w w:val="79"/>
              </w:rPr>
              <w:t>$</w:t>
            </w:r>
          </w:p>
        </w:tc>
        <w:tc>
          <w:tcPr>
            <w:tcW w:w="4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48</w:t>
            </w:r>
          </w:p>
        </w:tc>
        <w:tc>
          <w:tcPr>
            <w:tcW w:w="7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6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(48)</w:t>
            </w:r>
          </w:p>
        </w:tc>
        <w:tc>
          <w:tcPr>
            <w:tcW w:w="400" w:type="dxa"/>
            <w:vAlign w:val="bottom"/>
            <w:gridSpan w:val="2"/>
            <w:shd w:val="clear" w:color="auto" w:fill="CCEEFF"/>
          </w:tcPr>
          <w:p>
            <w:pPr>
              <w:ind w:left="280"/>
              <w:spacing w:after="0"/>
              <w:rPr>
                <w:sz w:val="20"/>
                <w:szCs w:val="20"/>
                <w:color w:val="auto"/>
              </w:rPr>
            </w:pPr>
            <w:r>
              <w:rPr>
                <w:rFonts w:ascii="Arial" w:cs="Arial" w:eastAsia="Arial" w:hAnsi="Arial"/>
                <w:sz w:val="18"/>
                <w:szCs w:val="18"/>
                <w:color w:val="auto"/>
                <w:w w:val="99"/>
              </w:rPr>
              <w:t>$</w:t>
            </w:r>
          </w:p>
        </w:tc>
        <w:tc>
          <w:tcPr>
            <w:tcW w:w="1120" w:type="dxa"/>
            <w:vAlign w:val="bottom"/>
            <w:gridSpan w:val="2"/>
            <w:shd w:val="clear" w:color="auto" w:fill="CCEEFF"/>
          </w:tcPr>
          <w:p>
            <w:pPr>
              <w:ind w:left="500"/>
              <w:spacing w:after="0"/>
              <w:rPr>
                <w:sz w:val="20"/>
                <w:szCs w:val="20"/>
                <w:color w:val="auto"/>
              </w:rPr>
            </w:pPr>
            <w:r>
              <w:rPr>
                <w:rFonts w:ascii="Arial" w:cs="Arial" w:eastAsia="Arial" w:hAnsi="Arial"/>
                <w:sz w:val="18"/>
                <w:szCs w:val="18"/>
                <w:color w:val="auto"/>
              </w:rPr>
              <w:t>—</w:t>
            </w:r>
          </w:p>
        </w:tc>
        <w:tc>
          <w:tcPr>
            <w:tcW w:w="420" w:type="dxa"/>
            <w:vAlign w:val="bottom"/>
            <w:gridSpan w:val="2"/>
            <w:shd w:val="clear" w:color="auto" w:fill="CCEEFF"/>
          </w:tcPr>
          <w:p>
            <w:pPr>
              <w:ind w:left="280"/>
              <w:spacing w:after="0"/>
              <w:rPr>
                <w:sz w:val="20"/>
                <w:szCs w:val="20"/>
                <w:color w:val="auto"/>
              </w:rPr>
            </w:pPr>
            <w:r>
              <w:rPr>
                <w:rFonts w:ascii="Arial" w:cs="Arial" w:eastAsia="Arial" w:hAnsi="Arial"/>
                <w:sz w:val="18"/>
                <w:szCs w:val="18"/>
                <w:color w:val="auto"/>
              </w:rPr>
              <w:t>$</w:t>
            </w:r>
          </w:p>
        </w:tc>
        <w:tc>
          <w:tcPr>
            <w:tcW w:w="1080" w:type="dxa"/>
            <w:vAlign w:val="bottom"/>
            <w:gridSpan w:val="2"/>
            <w:shd w:val="clear" w:color="auto" w:fill="CCEEFF"/>
          </w:tcPr>
          <w:p>
            <w:pPr>
              <w:ind w:left="480"/>
              <w:spacing w:after="0"/>
              <w:rPr>
                <w:sz w:val="20"/>
                <w:szCs w:val="20"/>
                <w:color w:val="auto"/>
              </w:rPr>
            </w:pPr>
            <w:r>
              <w:rPr>
                <w:rFonts w:ascii="Arial" w:cs="Arial" w:eastAsia="Arial" w:hAnsi="Arial"/>
                <w:sz w:val="18"/>
                <w:szCs w:val="18"/>
                <w:color w:val="auto"/>
              </w:rPr>
              <w:t>—</w:t>
            </w:r>
          </w:p>
        </w:tc>
        <w:tc>
          <w:tcPr>
            <w:tcW w:w="380" w:type="dxa"/>
            <w:vAlign w:val="bottom"/>
            <w:gridSpan w:val="2"/>
            <w:shd w:val="clear" w:color="auto" w:fill="CCEEFF"/>
          </w:tcPr>
          <w:p>
            <w:pPr>
              <w:ind w:left="280"/>
              <w:spacing w:after="0"/>
              <w:rPr>
                <w:sz w:val="20"/>
                <w:szCs w:val="20"/>
                <w:color w:val="auto"/>
              </w:rPr>
            </w:pPr>
            <w:r>
              <w:rPr>
                <w:rFonts w:ascii="Arial" w:cs="Arial" w:eastAsia="Arial" w:hAnsi="Arial"/>
                <w:sz w:val="18"/>
                <w:szCs w:val="18"/>
                <w:color w:val="auto"/>
                <w:w w:val="79"/>
              </w:rPr>
              <w:t>$</w:t>
            </w: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320" w:type="dxa"/>
            <w:vAlign w:val="bottom"/>
            <w:gridSpan w:val="2"/>
          </w:tcPr>
          <w:p>
            <w:pPr>
              <w:spacing w:after="0"/>
              <w:rPr>
                <w:sz w:val="20"/>
                <w:szCs w:val="20"/>
                <w:color w:val="auto"/>
              </w:rPr>
            </w:pPr>
            <w:r>
              <w:rPr>
                <w:rFonts w:ascii="Arial" w:cs="Arial" w:eastAsia="Arial" w:hAnsi="Arial"/>
                <w:sz w:val="18"/>
                <w:szCs w:val="18"/>
                <w:color w:val="auto"/>
              </w:rPr>
              <w:t>Carrier</w:t>
            </w:r>
          </w:p>
        </w:tc>
        <w:tc>
          <w:tcPr>
            <w:tcW w:w="18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40" w:type="dxa"/>
            <w:vAlign w:val="bottom"/>
          </w:tcPr>
          <w:p>
            <w:pPr>
              <w:jc w:val="right"/>
              <w:spacing w:after="0"/>
              <w:rPr>
                <w:sz w:val="20"/>
                <w:szCs w:val="20"/>
                <w:color w:val="auto"/>
              </w:rPr>
            </w:pPr>
            <w:r>
              <w:rPr>
                <w:rFonts w:ascii="Arial" w:cs="Arial" w:eastAsia="Arial" w:hAnsi="Arial"/>
                <w:sz w:val="18"/>
                <w:szCs w:val="18"/>
                <w:color w:val="auto"/>
              </w:rPr>
              <w:t>63</w:t>
            </w:r>
          </w:p>
        </w:tc>
        <w:tc>
          <w:tcPr>
            <w:tcW w:w="5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60" w:type="dxa"/>
            <w:vAlign w:val="bottom"/>
            <w:gridSpan w:val="2"/>
          </w:tcPr>
          <w:p>
            <w:pPr>
              <w:jc w:val="right"/>
              <w:ind w:right="280"/>
              <w:spacing w:after="0"/>
              <w:rPr>
                <w:sz w:val="20"/>
                <w:szCs w:val="20"/>
                <w:color w:val="auto"/>
              </w:rPr>
            </w:pPr>
            <w:r>
              <w:rPr>
                <w:rFonts w:ascii="Arial" w:cs="Arial" w:eastAsia="Arial" w:hAnsi="Arial"/>
                <w:sz w:val="18"/>
                <w:szCs w:val="18"/>
                <w:color w:val="auto"/>
              </w:rPr>
              <w:t>(63)</w:t>
            </w:r>
          </w:p>
        </w:tc>
        <w:tc>
          <w:tcPr>
            <w:tcW w:w="2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20" w:type="dxa"/>
            <w:vAlign w:val="bottom"/>
            <w:gridSpan w:val="2"/>
          </w:tcPr>
          <w:p>
            <w:pPr>
              <w:ind w:left="500"/>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80" w:type="dxa"/>
            <w:vAlign w:val="bottom"/>
            <w:gridSpan w:val="2"/>
          </w:tcPr>
          <w:p>
            <w:pPr>
              <w:ind w:left="480"/>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40" w:type="dxa"/>
            <w:vAlign w:val="bottom"/>
          </w:tcPr>
          <w:p>
            <w:pPr>
              <w:jc w:val="right"/>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3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UTC Fire &amp; Security</w:t>
            </w:r>
          </w:p>
        </w:tc>
        <w:tc>
          <w:tcPr>
            <w:tcW w:w="18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52</w:t>
            </w:r>
          </w:p>
        </w:tc>
        <w:tc>
          <w:tcPr>
            <w:tcW w:w="5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(52)</w:t>
            </w:r>
          </w:p>
        </w:tc>
        <w:tc>
          <w:tcPr>
            <w:tcW w:w="2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ind w:left="500"/>
              <w:spacing w:after="0"/>
              <w:rPr>
                <w:sz w:val="20"/>
                <w:szCs w:val="20"/>
                <w:color w:val="auto"/>
              </w:rPr>
            </w:pPr>
            <w:r>
              <w:rPr>
                <w:rFonts w:ascii="Arial" w:cs="Arial" w:eastAsia="Arial" w:hAnsi="Arial"/>
                <w:sz w:val="18"/>
                <w:szCs w:val="18"/>
                <w:color w:val="auto"/>
              </w:rPr>
              <w:t>—</w:t>
            </w:r>
          </w:p>
        </w:tc>
        <w:tc>
          <w:tcPr>
            <w:tcW w:w="2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ind w:left="480"/>
              <w:spacing w:after="0"/>
              <w:rPr>
                <w:sz w:val="20"/>
                <w:szCs w:val="20"/>
                <w:color w:val="auto"/>
              </w:rPr>
            </w:pPr>
            <w:r>
              <w:rPr>
                <w:rFonts w:ascii="Arial" w:cs="Arial" w:eastAsia="Arial" w:hAnsi="Arial"/>
                <w:sz w:val="18"/>
                <w:szCs w:val="18"/>
                <w:color w:val="auto"/>
              </w:rPr>
              <w:t>—</w:t>
            </w:r>
          </w:p>
        </w:tc>
        <w:tc>
          <w:tcPr>
            <w:tcW w:w="2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320" w:type="dxa"/>
            <w:vAlign w:val="bottom"/>
            <w:gridSpan w:val="2"/>
          </w:tcPr>
          <w:p>
            <w:pPr>
              <w:spacing w:after="0"/>
              <w:rPr>
                <w:sz w:val="20"/>
                <w:szCs w:val="20"/>
                <w:color w:val="auto"/>
              </w:rPr>
            </w:pPr>
            <w:r>
              <w:rPr>
                <w:rFonts w:ascii="Arial" w:cs="Arial" w:eastAsia="Arial" w:hAnsi="Arial"/>
                <w:sz w:val="18"/>
                <w:szCs w:val="18"/>
                <w:color w:val="auto"/>
              </w:rPr>
              <w:t>Pratt &amp; Whitney</w:t>
            </w:r>
          </w:p>
        </w:tc>
        <w:tc>
          <w:tcPr>
            <w:tcW w:w="18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40" w:type="dxa"/>
            <w:vAlign w:val="bottom"/>
          </w:tcPr>
          <w:p>
            <w:pPr>
              <w:jc w:val="right"/>
              <w:spacing w:after="0"/>
              <w:rPr>
                <w:sz w:val="20"/>
                <w:szCs w:val="20"/>
                <w:color w:val="auto"/>
              </w:rPr>
            </w:pPr>
            <w:r>
              <w:rPr>
                <w:rFonts w:ascii="Arial" w:cs="Arial" w:eastAsia="Arial" w:hAnsi="Arial"/>
                <w:sz w:val="18"/>
                <w:szCs w:val="18"/>
                <w:color w:val="auto"/>
              </w:rPr>
              <w:t>84</w:t>
            </w:r>
          </w:p>
        </w:tc>
        <w:tc>
          <w:tcPr>
            <w:tcW w:w="5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60" w:type="dxa"/>
            <w:vAlign w:val="bottom"/>
            <w:gridSpan w:val="2"/>
          </w:tcPr>
          <w:p>
            <w:pPr>
              <w:jc w:val="right"/>
              <w:ind w:right="280"/>
              <w:spacing w:after="0"/>
              <w:rPr>
                <w:sz w:val="20"/>
                <w:szCs w:val="20"/>
                <w:color w:val="auto"/>
              </w:rPr>
            </w:pPr>
            <w:r>
              <w:rPr>
                <w:rFonts w:ascii="Arial" w:cs="Arial" w:eastAsia="Arial" w:hAnsi="Arial"/>
                <w:sz w:val="18"/>
                <w:szCs w:val="18"/>
                <w:color w:val="auto"/>
              </w:rPr>
              <w:t>(64)</w:t>
            </w:r>
          </w:p>
        </w:tc>
        <w:tc>
          <w:tcPr>
            <w:tcW w:w="2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20" w:type="dxa"/>
            <w:vAlign w:val="bottom"/>
            <w:gridSpan w:val="2"/>
          </w:tcPr>
          <w:p>
            <w:pPr>
              <w:ind w:left="620"/>
              <w:spacing w:after="0"/>
              <w:rPr>
                <w:sz w:val="20"/>
                <w:szCs w:val="20"/>
                <w:color w:val="auto"/>
              </w:rPr>
            </w:pPr>
            <w:r>
              <w:rPr>
                <w:rFonts w:ascii="Arial" w:cs="Arial" w:eastAsia="Arial" w:hAnsi="Arial"/>
                <w:sz w:val="18"/>
                <w:szCs w:val="18"/>
                <w:color w:val="auto"/>
              </w:rPr>
              <w:t>(8)</w:t>
            </w:r>
          </w:p>
        </w:tc>
        <w:tc>
          <w:tcPr>
            <w:tcW w:w="2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80" w:type="dxa"/>
            <w:vAlign w:val="bottom"/>
            <w:gridSpan w:val="2"/>
          </w:tcPr>
          <w:p>
            <w:pPr>
              <w:ind w:left="600"/>
              <w:spacing w:after="0"/>
              <w:rPr>
                <w:sz w:val="20"/>
                <w:szCs w:val="20"/>
                <w:color w:val="auto"/>
              </w:rPr>
            </w:pPr>
            <w:r>
              <w:rPr>
                <w:rFonts w:ascii="Arial" w:cs="Arial" w:eastAsia="Arial" w:hAnsi="Arial"/>
                <w:sz w:val="18"/>
                <w:szCs w:val="18"/>
                <w:color w:val="auto"/>
              </w:rPr>
              <w:t>(9)</w:t>
            </w:r>
          </w:p>
        </w:tc>
        <w:tc>
          <w:tcPr>
            <w:tcW w:w="2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40" w:type="dxa"/>
            <w:vAlign w:val="bottom"/>
          </w:tcPr>
          <w:p>
            <w:pPr>
              <w:jc w:val="right"/>
              <w:spacing w:after="0"/>
              <w:rPr>
                <w:sz w:val="20"/>
                <w:szCs w:val="20"/>
                <w:color w:val="auto"/>
              </w:rPr>
            </w:pPr>
            <w:r>
              <w:rPr>
                <w:rFonts w:ascii="Arial" w:cs="Arial" w:eastAsia="Arial" w:hAnsi="Arial"/>
                <w:sz w:val="18"/>
                <w:szCs w:val="18"/>
                <w:color w:val="auto"/>
              </w:rPr>
              <w:t>3</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3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Hamilton Sundstrand</w:t>
            </w:r>
          </w:p>
        </w:tc>
        <w:tc>
          <w:tcPr>
            <w:tcW w:w="18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w:t>
            </w:r>
          </w:p>
        </w:tc>
        <w:tc>
          <w:tcPr>
            <w:tcW w:w="5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(5)</w:t>
            </w:r>
          </w:p>
        </w:tc>
        <w:tc>
          <w:tcPr>
            <w:tcW w:w="2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ind w:left="500"/>
              <w:spacing w:after="0"/>
              <w:rPr>
                <w:sz w:val="20"/>
                <w:szCs w:val="20"/>
                <w:color w:val="auto"/>
              </w:rPr>
            </w:pPr>
            <w:r>
              <w:rPr>
                <w:rFonts w:ascii="Arial" w:cs="Arial" w:eastAsia="Arial" w:hAnsi="Arial"/>
                <w:sz w:val="18"/>
                <w:szCs w:val="18"/>
                <w:color w:val="auto"/>
              </w:rPr>
              <w:t>—</w:t>
            </w:r>
          </w:p>
        </w:tc>
        <w:tc>
          <w:tcPr>
            <w:tcW w:w="2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ind w:left="480"/>
              <w:spacing w:after="0"/>
              <w:rPr>
                <w:sz w:val="20"/>
                <w:szCs w:val="20"/>
                <w:color w:val="auto"/>
              </w:rPr>
            </w:pPr>
            <w:r>
              <w:rPr>
                <w:rFonts w:ascii="Arial" w:cs="Arial" w:eastAsia="Arial" w:hAnsi="Arial"/>
                <w:sz w:val="18"/>
                <w:szCs w:val="18"/>
                <w:color w:val="auto"/>
              </w:rPr>
              <w:t>—</w:t>
            </w:r>
          </w:p>
        </w:tc>
        <w:tc>
          <w:tcPr>
            <w:tcW w:w="2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320" w:type="dxa"/>
            <w:vAlign w:val="bottom"/>
            <w:gridSpan w:val="2"/>
          </w:tcPr>
          <w:p>
            <w:pPr>
              <w:spacing w:after="0"/>
              <w:rPr>
                <w:sz w:val="20"/>
                <w:szCs w:val="20"/>
                <w:color w:val="auto"/>
              </w:rPr>
            </w:pPr>
            <w:r>
              <w:rPr>
                <w:rFonts w:ascii="Arial" w:cs="Arial" w:eastAsia="Arial" w:hAnsi="Arial"/>
                <w:sz w:val="18"/>
                <w:szCs w:val="18"/>
                <w:color w:val="auto"/>
              </w:rPr>
              <w:t>Sikorsky</w:t>
            </w:r>
          </w:p>
        </w:tc>
        <w:tc>
          <w:tcPr>
            <w:tcW w:w="18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40" w:type="dxa"/>
            <w:vAlign w:val="bottom"/>
          </w:tcPr>
          <w:p>
            <w:pPr>
              <w:jc w:val="right"/>
              <w:spacing w:after="0"/>
              <w:rPr>
                <w:sz w:val="20"/>
                <w:szCs w:val="20"/>
                <w:color w:val="auto"/>
              </w:rPr>
            </w:pPr>
            <w:r>
              <w:rPr>
                <w:rFonts w:ascii="Arial" w:cs="Arial" w:eastAsia="Arial" w:hAnsi="Arial"/>
                <w:sz w:val="18"/>
                <w:szCs w:val="18"/>
                <w:color w:val="auto"/>
              </w:rPr>
              <w:t>18</w:t>
            </w:r>
          </w:p>
        </w:tc>
        <w:tc>
          <w:tcPr>
            <w:tcW w:w="5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60" w:type="dxa"/>
            <w:vAlign w:val="bottom"/>
            <w:gridSpan w:val="2"/>
          </w:tcPr>
          <w:p>
            <w:pPr>
              <w:jc w:val="right"/>
              <w:ind w:right="280"/>
              <w:spacing w:after="0"/>
              <w:rPr>
                <w:sz w:val="20"/>
                <w:szCs w:val="20"/>
                <w:color w:val="auto"/>
              </w:rPr>
            </w:pPr>
            <w:r>
              <w:rPr>
                <w:rFonts w:ascii="Arial" w:cs="Arial" w:eastAsia="Arial" w:hAnsi="Arial"/>
                <w:sz w:val="18"/>
                <w:szCs w:val="18"/>
                <w:color w:val="auto"/>
              </w:rPr>
              <w:t>(18)</w:t>
            </w:r>
          </w:p>
        </w:tc>
        <w:tc>
          <w:tcPr>
            <w:tcW w:w="2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20" w:type="dxa"/>
            <w:vAlign w:val="bottom"/>
            <w:gridSpan w:val="2"/>
          </w:tcPr>
          <w:p>
            <w:pPr>
              <w:ind w:left="500"/>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80" w:type="dxa"/>
            <w:vAlign w:val="bottom"/>
            <w:gridSpan w:val="2"/>
          </w:tcPr>
          <w:p>
            <w:pPr>
              <w:ind w:left="480"/>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40" w:type="dxa"/>
            <w:vAlign w:val="bottom"/>
          </w:tcPr>
          <w:p>
            <w:pPr>
              <w:jc w:val="right"/>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1340" w:type="dxa"/>
            <w:vAlign w:val="bottom"/>
          </w:tcPr>
          <w:p>
            <w:pPr>
              <w:spacing w:after="0"/>
              <w:rPr>
                <w:sz w:val="2"/>
                <w:szCs w:val="2"/>
                <w:color w:val="auto"/>
              </w:rPr>
            </w:pPr>
          </w:p>
        </w:tc>
        <w:tc>
          <w:tcPr>
            <w:tcW w:w="1980" w:type="dxa"/>
            <w:vAlign w:val="bottom"/>
          </w:tcPr>
          <w:p>
            <w:pPr>
              <w:spacing w:after="0"/>
              <w:rPr>
                <w:sz w:val="2"/>
                <w:szCs w:val="2"/>
                <w:color w:val="auto"/>
              </w:rPr>
            </w:pPr>
          </w:p>
        </w:tc>
        <w:tc>
          <w:tcPr>
            <w:tcW w:w="182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440" w:type="dxa"/>
            <w:vAlign w:val="bottom"/>
            <w:shd w:val="clear" w:color="auto" w:fill="000000"/>
          </w:tcPr>
          <w:p>
            <w:pPr>
              <w:spacing w:after="0"/>
              <w:rPr>
                <w:sz w:val="2"/>
                <w:szCs w:val="2"/>
                <w:color w:val="auto"/>
              </w:rPr>
            </w:pPr>
          </w:p>
        </w:tc>
        <w:tc>
          <w:tcPr>
            <w:tcW w:w="58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720" w:type="dxa"/>
            <w:vAlign w:val="bottom"/>
            <w:shd w:val="clear" w:color="auto" w:fill="000000"/>
          </w:tcPr>
          <w:p>
            <w:pPr>
              <w:spacing w:after="0"/>
              <w:rPr>
                <w:sz w:val="2"/>
                <w:szCs w:val="2"/>
                <w:color w:val="auto"/>
              </w:rPr>
            </w:pPr>
          </w:p>
        </w:tc>
        <w:tc>
          <w:tcPr>
            <w:tcW w:w="340" w:type="dxa"/>
            <w:vAlign w:val="bottom"/>
          </w:tcPr>
          <w:p>
            <w:pPr>
              <w:spacing w:after="0"/>
              <w:rPr>
                <w:sz w:val="2"/>
                <w:szCs w:val="2"/>
                <w:color w:val="auto"/>
              </w:rPr>
            </w:pPr>
          </w:p>
        </w:tc>
        <w:tc>
          <w:tcPr>
            <w:tcW w:w="28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780" w:type="dxa"/>
            <w:vAlign w:val="bottom"/>
            <w:shd w:val="clear" w:color="auto" w:fill="000000"/>
          </w:tcPr>
          <w:p>
            <w:pPr>
              <w:spacing w:after="0"/>
              <w:rPr>
                <w:sz w:val="2"/>
                <w:szCs w:val="2"/>
                <w:color w:val="auto"/>
              </w:rPr>
            </w:pPr>
          </w:p>
        </w:tc>
        <w:tc>
          <w:tcPr>
            <w:tcW w:w="340" w:type="dxa"/>
            <w:vAlign w:val="bottom"/>
          </w:tcPr>
          <w:p>
            <w:pPr>
              <w:spacing w:after="0"/>
              <w:rPr>
                <w:sz w:val="2"/>
                <w:szCs w:val="2"/>
                <w:color w:val="auto"/>
              </w:rPr>
            </w:pPr>
          </w:p>
        </w:tc>
        <w:tc>
          <w:tcPr>
            <w:tcW w:w="28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740" w:type="dxa"/>
            <w:vAlign w:val="bottom"/>
            <w:shd w:val="clear" w:color="auto" w:fill="000000"/>
          </w:tcPr>
          <w:p>
            <w:pPr>
              <w:spacing w:after="0"/>
              <w:rPr>
                <w:sz w:val="2"/>
                <w:szCs w:val="2"/>
                <w:color w:val="auto"/>
              </w:rPr>
            </w:pPr>
          </w:p>
        </w:tc>
        <w:tc>
          <w:tcPr>
            <w:tcW w:w="340" w:type="dxa"/>
            <w:vAlign w:val="bottom"/>
          </w:tcPr>
          <w:p>
            <w:pPr>
              <w:spacing w:after="0"/>
              <w:rPr>
                <w:sz w:val="2"/>
                <w:szCs w:val="2"/>
                <w:color w:val="auto"/>
              </w:rPr>
            </w:pPr>
          </w:p>
        </w:tc>
        <w:tc>
          <w:tcPr>
            <w:tcW w:w="28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40" w:type="dxa"/>
            <w:vAlign w:val="bottom"/>
            <w:shd w:val="clear" w:color="auto" w:fill="000000"/>
          </w:tcPr>
          <w:p>
            <w:pPr>
              <w:spacing w:after="0"/>
              <w:rPr>
                <w:sz w:val="2"/>
                <w:szCs w:val="2"/>
                <w:color w:val="auto"/>
              </w:rPr>
            </w:pPr>
          </w:p>
        </w:tc>
        <w:tc>
          <w:tcPr>
            <w:tcW w:w="20" w:type="dxa"/>
            <w:vAlign w:val="bottom"/>
            <w:vMerge w:val="restart"/>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33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Total</w:t>
            </w:r>
          </w:p>
        </w:tc>
        <w:tc>
          <w:tcPr>
            <w:tcW w:w="18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20"/>
                <w:szCs w:val="20"/>
                <w:color w:val="auto"/>
              </w:rPr>
            </w:pPr>
            <w:r>
              <w:rPr>
                <w:rFonts w:ascii="Arial" w:cs="Arial" w:eastAsia="Arial" w:hAnsi="Arial"/>
                <w:sz w:val="18"/>
                <w:szCs w:val="18"/>
                <w:color w:val="auto"/>
                <w:w w:val="79"/>
              </w:rPr>
              <w:t>$</w:t>
            </w:r>
          </w:p>
        </w:tc>
        <w:tc>
          <w:tcPr>
            <w:tcW w:w="4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270</w:t>
            </w:r>
          </w:p>
        </w:tc>
        <w:tc>
          <w:tcPr>
            <w:tcW w:w="7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6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(250)</w:t>
            </w:r>
          </w:p>
        </w:tc>
        <w:tc>
          <w:tcPr>
            <w:tcW w:w="400" w:type="dxa"/>
            <w:vAlign w:val="bottom"/>
            <w:gridSpan w:val="2"/>
            <w:shd w:val="clear" w:color="auto" w:fill="CCEEFF"/>
          </w:tcPr>
          <w:p>
            <w:pPr>
              <w:ind w:left="280"/>
              <w:spacing w:after="0"/>
              <w:rPr>
                <w:sz w:val="20"/>
                <w:szCs w:val="20"/>
                <w:color w:val="auto"/>
              </w:rPr>
            </w:pPr>
            <w:r>
              <w:rPr>
                <w:rFonts w:ascii="Arial" w:cs="Arial" w:eastAsia="Arial" w:hAnsi="Arial"/>
                <w:sz w:val="18"/>
                <w:szCs w:val="18"/>
                <w:color w:val="auto"/>
                <w:w w:val="99"/>
              </w:rPr>
              <w:t>$</w:t>
            </w:r>
          </w:p>
        </w:tc>
        <w:tc>
          <w:tcPr>
            <w:tcW w:w="1120" w:type="dxa"/>
            <w:vAlign w:val="bottom"/>
            <w:gridSpan w:val="2"/>
            <w:shd w:val="clear" w:color="auto" w:fill="CCEEFF"/>
          </w:tcPr>
          <w:p>
            <w:pPr>
              <w:ind w:left="620"/>
              <w:spacing w:after="0"/>
              <w:rPr>
                <w:sz w:val="20"/>
                <w:szCs w:val="20"/>
                <w:color w:val="auto"/>
              </w:rPr>
            </w:pPr>
            <w:r>
              <w:rPr>
                <w:rFonts w:ascii="Arial" w:cs="Arial" w:eastAsia="Arial" w:hAnsi="Arial"/>
                <w:sz w:val="18"/>
                <w:szCs w:val="18"/>
                <w:color w:val="auto"/>
              </w:rPr>
              <w:t>(8)</w:t>
            </w:r>
          </w:p>
        </w:tc>
        <w:tc>
          <w:tcPr>
            <w:tcW w:w="420" w:type="dxa"/>
            <w:vAlign w:val="bottom"/>
            <w:gridSpan w:val="2"/>
            <w:shd w:val="clear" w:color="auto" w:fill="CCEEFF"/>
          </w:tcPr>
          <w:p>
            <w:pPr>
              <w:ind w:left="280"/>
              <w:spacing w:after="0"/>
              <w:rPr>
                <w:sz w:val="20"/>
                <w:szCs w:val="20"/>
                <w:color w:val="auto"/>
              </w:rPr>
            </w:pPr>
            <w:r>
              <w:rPr>
                <w:rFonts w:ascii="Arial" w:cs="Arial" w:eastAsia="Arial" w:hAnsi="Arial"/>
                <w:sz w:val="18"/>
                <w:szCs w:val="18"/>
                <w:color w:val="auto"/>
              </w:rPr>
              <w:t>$</w:t>
            </w:r>
          </w:p>
        </w:tc>
        <w:tc>
          <w:tcPr>
            <w:tcW w:w="1080" w:type="dxa"/>
            <w:vAlign w:val="bottom"/>
            <w:gridSpan w:val="2"/>
            <w:shd w:val="clear" w:color="auto" w:fill="CCEEFF"/>
          </w:tcPr>
          <w:p>
            <w:pPr>
              <w:ind w:left="600"/>
              <w:spacing w:after="0"/>
              <w:rPr>
                <w:sz w:val="20"/>
                <w:szCs w:val="20"/>
                <w:color w:val="auto"/>
              </w:rPr>
            </w:pPr>
            <w:r>
              <w:rPr>
                <w:rFonts w:ascii="Arial" w:cs="Arial" w:eastAsia="Arial" w:hAnsi="Arial"/>
                <w:sz w:val="18"/>
                <w:szCs w:val="18"/>
                <w:color w:val="auto"/>
              </w:rPr>
              <w:t>(9)</w:t>
            </w:r>
          </w:p>
        </w:tc>
        <w:tc>
          <w:tcPr>
            <w:tcW w:w="380" w:type="dxa"/>
            <w:vAlign w:val="bottom"/>
            <w:gridSpan w:val="2"/>
            <w:shd w:val="clear" w:color="auto" w:fill="CCEEFF"/>
          </w:tcPr>
          <w:p>
            <w:pPr>
              <w:ind w:left="280"/>
              <w:spacing w:after="0"/>
              <w:rPr>
                <w:sz w:val="20"/>
                <w:szCs w:val="20"/>
                <w:color w:val="auto"/>
              </w:rPr>
            </w:pPr>
            <w:r>
              <w:rPr>
                <w:rFonts w:ascii="Arial" w:cs="Arial" w:eastAsia="Arial" w:hAnsi="Arial"/>
                <w:sz w:val="18"/>
                <w:szCs w:val="18"/>
                <w:color w:val="auto"/>
                <w:w w:val="79"/>
              </w:rPr>
              <w:t>$</w:t>
            </w: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340" w:type="dxa"/>
            <w:vAlign w:val="bottom"/>
          </w:tcPr>
          <w:p>
            <w:pPr>
              <w:spacing w:after="0" w:line="20" w:lineRule="exact"/>
              <w:rPr>
                <w:sz w:val="1"/>
                <w:szCs w:val="1"/>
                <w:color w:val="auto"/>
              </w:rPr>
            </w:pPr>
          </w:p>
        </w:tc>
        <w:tc>
          <w:tcPr>
            <w:tcW w:w="1980" w:type="dxa"/>
            <w:vAlign w:val="bottom"/>
          </w:tcPr>
          <w:p>
            <w:pPr>
              <w:spacing w:after="0" w:line="20" w:lineRule="exact"/>
              <w:rPr>
                <w:sz w:val="1"/>
                <w:szCs w:val="1"/>
                <w:color w:val="auto"/>
              </w:rPr>
            </w:pPr>
          </w:p>
        </w:tc>
        <w:tc>
          <w:tcPr>
            <w:tcW w:w="18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4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8: Derivative Instruments and Hedging Activities</w:t>
      </w:r>
    </w:p>
    <w:p>
      <w:pPr>
        <w:spacing w:after="0" w:line="96" w:lineRule="exact"/>
        <w:rPr>
          <w:sz w:val="20"/>
          <w:szCs w:val="20"/>
          <w:color w:val="auto"/>
        </w:rPr>
      </w:pPr>
    </w:p>
    <w:p>
      <w:pPr>
        <w:ind w:right="40" w:firstLine="456"/>
        <w:spacing w:after="0" w:line="294" w:lineRule="auto"/>
        <w:rPr>
          <w:sz w:val="20"/>
          <w:szCs w:val="20"/>
          <w:color w:val="auto"/>
        </w:rPr>
      </w:pPr>
      <w:r>
        <w:rPr>
          <w:rFonts w:ascii="Arial" w:cs="Arial" w:eastAsia="Arial" w:hAnsi="Arial"/>
          <w:sz w:val="16"/>
          <w:szCs w:val="16"/>
          <w:color w:val="auto"/>
        </w:rPr>
        <w:t>We have used derivative instruments, including swaps, forward contracts and options to manage certain foreign currency, interest rate and commodity price exposures. We view derivative instruments as risk management tools and do not use them for trading or speculative purposes. Derivatives used for hedging purposes may be designated and effective as a hedge of the identified risk exposure at the inception of the contract. Accordingly, changes in the fair value of derivative contracts must be highly correlated with changes in the fair value of the underlying hedged item at inception of the hedge and over the life of the hedge contract. Changes in the fair value of derivatives not designated as hedging instruments are recorded currently in earnings.</w:t>
      </w:r>
    </w:p>
    <w:p>
      <w:pPr>
        <w:spacing w:after="0" w:line="116" w:lineRule="exact"/>
        <w:rPr>
          <w:sz w:val="20"/>
          <w:szCs w:val="20"/>
          <w:color w:val="auto"/>
        </w:rPr>
      </w:pPr>
    </w:p>
    <w:p>
      <w:pPr>
        <w:ind w:right="20" w:firstLine="456"/>
        <w:spacing w:after="0" w:line="294" w:lineRule="auto"/>
        <w:rPr>
          <w:sz w:val="20"/>
          <w:szCs w:val="20"/>
          <w:color w:val="auto"/>
        </w:rPr>
      </w:pPr>
      <w:r>
        <w:rPr>
          <w:rFonts w:ascii="Arial" w:cs="Arial" w:eastAsia="Arial" w:hAnsi="Arial"/>
          <w:sz w:val="16"/>
          <w:szCs w:val="16"/>
          <w:color w:val="auto"/>
        </w:rPr>
        <w:t>At June 30, 2008 and December 31, 2007, the fair value of derivatives recorded as assets was $226 million and $365 million, respectively, and the fair value of derivatives recorded as liabilities was $47 million and $43 million, respectively. Based upon current market conditions, of the amount recorded in shareowners’ equity, a $135 million pre-tax gain is expected to be reclassified into sales or cost of products sold to reflect the fixed prices obtained from hedging within the next 12 months. Gains and losses recognized in earnings related to the ineffectiveness of cash flow hedges during the quarter ended June 30, 2008 were not significant. All open derivative contracts accounted for as cash flow hedges mature by December 2011.</w:t>
      </w:r>
    </w:p>
    <w:p>
      <w:pPr>
        <w:spacing w:after="0" w:line="10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13</w:t>
      </w:r>
    </w:p>
    <w:p>
      <w:pPr>
        <w:sectPr>
          <w:pgSz w:w="11900" w:h="16838" w:orient="portrait"/>
          <w:cols w:equalWidth="0" w:num="1">
            <w:col w:w="11420"/>
          </w:cols>
          <w:pgMar w:left="240" w:top="459" w:right="239" w:bottom="1440" w:gutter="0" w:footer="0" w:header="0"/>
        </w:sectPr>
      </w:pPr>
    </w:p>
    <w:bookmarkStart w:id="13" w:name="page14"/>
    <w:bookmarkEnd w:id="1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9: Shareowners’ Equity</w:t>
      </w:r>
    </w:p>
    <w:p>
      <w:pPr>
        <w:spacing w:after="0" w:line="96" w:lineRule="exact"/>
        <w:rPr>
          <w:sz w:val="20"/>
          <w:szCs w:val="20"/>
          <w:color w:val="auto"/>
        </w:rPr>
      </w:pPr>
    </w:p>
    <w:p>
      <w:pPr>
        <w:ind w:left="460"/>
        <w:spacing w:after="0"/>
        <w:rPr>
          <w:sz w:val="20"/>
          <w:szCs w:val="20"/>
          <w:color w:val="auto"/>
        </w:rPr>
      </w:pPr>
      <w:r>
        <w:rPr>
          <w:rFonts w:ascii="Arial" w:cs="Arial" w:eastAsia="Arial" w:hAnsi="Arial"/>
          <w:sz w:val="18"/>
          <w:szCs w:val="18"/>
          <w:color w:val="auto"/>
        </w:rPr>
        <w:t>A summary of the changes in shareowners’ equity for the quarters and six months ended June 30, 2008 and 2007 is provided below:</w:t>
      </w:r>
    </w:p>
    <w:p>
      <w:pPr>
        <w:spacing w:after="0" w:line="195"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6820" w:type="dxa"/>
            <w:vAlign w:val="bottom"/>
          </w:tcPr>
          <w:p>
            <w:pPr>
              <w:spacing w:after="0"/>
              <w:rPr>
                <w:sz w:val="14"/>
                <w:szCs w:val="14"/>
                <w:color w:val="auto"/>
              </w:rPr>
            </w:pPr>
          </w:p>
        </w:tc>
        <w:tc>
          <w:tcPr>
            <w:tcW w:w="1720" w:type="dxa"/>
            <w:vAlign w:val="bottom"/>
            <w:gridSpan w:val="5"/>
          </w:tcPr>
          <w:p>
            <w:pPr>
              <w:jc w:val="right"/>
              <w:ind w:right="560"/>
              <w:spacing w:after="0"/>
              <w:rPr>
                <w:sz w:val="20"/>
                <w:szCs w:val="20"/>
                <w:color w:val="auto"/>
              </w:rPr>
            </w:pPr>
            <w:r>
              <w:rPr>
                <w:rFonts w:ascii="Arial" w:cs="Arial" w:eastAsia="Arial" w:hAnsi="Arial"/>
                <w:sz w:val="14"/>
                <w:szCs w:val="14"/>
                <w:b w:val="1"/>
                <w:bCs w:val="1"/>
                <w:color w:val="auto"/>
              </w:rPr>
              <w:t>Quarter Ended</w:t>
            </w:r>
          </w:p>
        </w:tc>
        <w:tc>
          <w:tcPr>
            <w:tcW w:w="1520" w:type="dxa"/>
            <w:vAlign w:val="bottom"/>
            <w:gridSpan w:val="4"/>
          </w:tcPr>
          <w:p>
            <w:pPr>
              <w:jc w:val="right"/>
              <w:ind w:right="260"/>
              <w:spacing w:after="0"/>
              <w:rPr>
                <w:sz w:val="20"/>
                <w:szCs w:val="20"/>
                <w:color w:val="auto"/>
              </w:rPr>
            </w:pPr>
            <w:r>
              <w:rPr>
                <w:rFonts w:ascii="Arial" w:cs="Arial" w:eastAsia="Arial" w:hAnsi="Arial"/>
                <w:sz w:val="14"/>
                <w:szCs w:val="14"/>
                <w:b w:val="1"/>
                <w:bCs w:val="1"/>
                <w:color w:val="auto"/>
              </w:rPr>
              <w:t>Six Months Ended</w:t>
            </w:r>
          </w:p>
        </w:tc>
        <w:tc>
          <w:tcPr>
            <w:tcW w:w="0" w:type="dxa"/>
            <w:vAlign w:val="bottom"/>
          </w:tcPr>
          <w:p>
            <w:pPr>
              <w:spacing w:after="0"/>
              <w:rPr>
                <w:sz w:val="1"/>
                <w:szCs w:val="1"/>
                <w:color w:val="auto"/>
              </w:rPr>
            </w:pPr>
          </w:p>
        </w:tc>
      </w:tr>
      <w:tr>
        <w:trPr>
          <w:trHeight w:val="161"/>
        </w:trPr>
        <w:tc>
          <w:tcPr>
            <w:tcW w:w="8180" w:type="dxa"/>
            <w:vAlign w:val="bottom"/>
            <w:gridSpan w:val="3"/>
            <w:vMerge w:val="restart"/>
          </w:tcPr>
          <w:p>
            <w:pPr>
              <w:spacing w:after="0"/>
              <w:rPr>
                <w:sz w:val="20"/>
                <w:szCs w:val="20"/>
                <w:color w:val="auto"/>
              </w:rPr>
            </w:pPr>
            <w:r>
              <w:rPr>
                <w:rFonts w:ascii="Arial" w:cs="Arial" w:eastAsia="Arial" w:hAnsi="Arial"/>
                <w:sz w:val="14"/>
                <w:szCs w:val="14"/>
                <w:b w:val="1"/>
                <w:bCs w:val="1"/>
                <w:color w:val="auto"/>
              </w:rPr>
              <w:t>(in millions of dollars)</w:t>
            </w:r>
          </w:p>
        </w:tc>
        <w:tc>
          <w:tcPr>
            <w:tcW w:w="1720" w:type="dxa"/>
            <w:vAlign w:val="bottom"/>
            <w:gridSpan w:val="5"/>
          </w:tcPr>
          <w:p>
            <w:pPr>
              <w:jc w:val="right"/>
              <w:ind w:right="760"/>
              <w:spacing w:after="0"/>
              <w:rPr>
                <w:sz w:val="20"/>
                <w:szCs w:val="20"/>
                <w:color w:val="auto"/>
              </w:rPr>
            </w:pPr>
            <w:r>
              <w:rPr>
                <w:rFonts w:ascii="Arial" w:cs="Arial" w:eastAsia="Arial" w:hAnsi="Arial"/>
                <w:sz w:val="14"/>
                <w:szCs w:val="14"/>
                <w:b w:val="1"/>
                <w:bCs w:val="1"/>
                <w:color w:val="auto"/>
              </w:rPr>
              <w:t>June 30,</w:t>
            </w:r>
          </w:p>
        </w:tc>
        <w:tc>
          <w:tcPr>
            <w:tcW w:w="1520" w:type="dxa"/>
            <w:vAlign w:val="bottom"/>
            <w:gridSpan w:val="4"/>
          </w:tcPr>
          <w:p>
            <w:pPr>
              <w:jc w:val="right"/>
              <w:ind w:right="540"/>
              <w:spacing w:after="0"/>
              <w:rPr>
                <w:sz w:val="20"/>
                <w:szCs w:val="20"/>
                <w:color w:val="auto"/>
              </w:rPr>
            </w:pPr>
            <w:r>
              <w:rPr>
                <w:rFonts w:ascii="Arial" w:cs="Arial" w:eastAsia="Arial" w:hAnsi="Arial"/>
                <w:sz w:val="14"/>
                <w:szCs w:val="14"/>
                <w:b w:val="1"/>
                <w:bCs w:val="1"/>
                <w:color w:val="auto"/>
              </w:rPr>
              <w:t>June 30,</w:t>
            </w:r>
          </w:p>
        </w:tc>
        <w:tc>
          <w:tcPr>
            <w:tcW w:w="0" w:type="dxa"/>
            <w:vAlign w:val="bottom"/>
          </w:tcPr>
          <w:p>
            <w:pPr>
              <w:spacing w:after="0"/>
              <w:rPr>
                <w:sz w:val="1"/>
                <w:szCs w:val="1"/>
                <w:color w:val="auto"/>
              </w:rPr>
            </w:pPr>
          </w:p>
        </w:tc>
      </w:tr>
      <w:tr>
        <w:trPr>
          <w:trHeight w:val="142"/>
        </w:trPr>
        <w:tc>
          <w:tcPr>
            <w:tcW w:w="8180" w:type="dxa"/>
            <w:vAlign w:val="bottom"/>
            <w:gridSpan w:val="3"/>
            <w:vMerge w:val="continue"/>
          </w:tcPr>
          <w:p>
            <w:pPr>
              <w:spacing w:after="0"/>
              <w:rPr>
                <w:sz w:val="12"/>
                <w:szCs w:val="12"/>
                <w:color w:val="auto"/>
              </w:rPr>
            </w:pPr>
          </w:p>
        </w:tc>
        <w:tc>
          <w:tcPr>
            <w:tcW w:w="580" w:type="dxa"/>
            <w:vAlign w:val="bottom"/>
            <w:tcBorders>
              <w:top w:val="single" w:sz="8" w:color="auto"/>
            </w:tcBorders>
          </w:tcPr>
          <w:p>
            <w:pPr>
              <w:jc w:val="right"/>
              <w:ind w:right="76"/>
              <w:spacing w:after="0" w:line="142" w:lineRule="exact"/>
              <w:rPr>
                <w:sz w:val="20"/>
                <w:szCs w:val="20"/>
                <w:color w:val="auto"/>
              </w:rPr>
            </w:pPr>
            <w:r>
              <w:rPr>
                <w:rFonts w:ascii="Arial" w:cs="Arial" w:eastAsia="Arial" w:hAnsi="Arial"/>
                <w:sz w:val="14"/>
                <w:szCs w:val="14"/>
                <w:b w:val="1"/>
                <w:bCs w:val="1"/>
                <w:color w:val="auto"/>
              </w:rPr>
              <w:t>2008</w:t>
            </w:r>
          </w:p>
        </w:tc>
        <w:tc>
          <w:tcPr>
            <w:tcW w:w="180" w:type="dxa"/>
            <w:vAlign w:val="bottom"/>
            <w:tcBorders>
              <w:top w:val="single" w:sz="8" w:color="auto"/>
            </w:tcBorders>
          </w:tcPr>
          <w:p>
            <w:pPr>
              <w:spacing w:after="0"/>
              <w:rPr>
                <w:sz w:val="12"/>
                <w:szCs w:val="12"/>
                <w:color w:val="auto"/>
              </w:rPr>
            </w:pPr>
          </w:p>
        </w:tc>
        <w:tc>
          <w:tcPr>
            <w:tcW w:w="680" w:type="dxa"/>
            <w:vAlign w:val="bottom"/>
            <w:tcBorders>
              <w:top w:val="single" w:sz="8" w:color="auto"/>
            </w:tcBorders>
            <w:gridSpan w:val="2"/>
          </w:tcPr>
          <w:p>
            <w:pPr>
              <w:jc w:val="right"/>
              <w:ind w:right="72"/>
              <w:spacing w:after="0" w:line="142" w:lineRule="exact"/>
              <w:rPr>
                <w:sz w:val="20"/>
                <w:szCs w:val="20"/>
                <w:color w:val="auto"/>
              </w:rPr>
            </w:pPr>
            <w:r>
              <w:rPr>
                <w:rFonts w:ascii="Arial" w:cs="Arial" w:eastAsia="Arial" w:hAnsi="Arial"/>
                <w:sz w:val="14"/>
                <w:szCs w:val="14"/>
                <w:b w:val="1"/>
                <w:bCs w:val="1"/>
                <w:color w:val="auto"/>
              </w:rPr>
              <w:t>2007</w:t>
            </w:r>
          </w:p>
        </w:tc>
        <w:tc>
          <w:tcPr>
            <w:tcW w:w="280" w:type="dxa"/>
            <w:vAlign w:val="bottom"/>
          </w:tcPr>
          <w:p>
            <w:pPr>
              <w:spacing w:after="0"/>
              <w:rPr>
                <w:sz w:val="12"/>
                <w:szCs w:val="12"/>
                <w:color w:val="auto"/>
              </w:rPr>
            </w:pPr>
          </w:p>
        </w:tc>
        <w:tc>
          <w:tcPr>
            <w:tcW w:w="580" w:type="dxa"/>
            <w:vAlign w:val="bottom"/>
            <w:tcBorders>
              <w:top w:val="single" w:sz="8" w:color="auto"/>
            </w:tcBorders>
          </w:tcPr>
          <w:p>
            <w:pPr>
              <w:jc w:val="right"/>
              <w:ind w:right="56"/>
              <w:spacing w:after="0" w:line="142" w:lineRule="exact"/>
              <w:rPr>
                <w:sz w:val="20"/>
                <w:szCs w:val="20"/>
                <w:color w:val="auto"/>
              </w:rPr>
            </w:pPr>
            <w:r>
              <w:rPr>
                <w:rFonts w:ascii="Arial" w:cs="Arial" w:eastAsia="Arial" w:hAnsi="Arial"/>
                <w:sz w:val="14"/>
                <w:szCs w:val="14"/>
                <w:b w:val="1"/>
                <w:bCs w:val="1"/>
                <w:color w:val="auto"/>
              </w:rPr>
              <w:t>2008</w:t>
            </w:r>
          </w:p>
        </w:tc>
        <w:tc>
          <w:tcPr>
            <w:tcW w:w="300" w:type="dxa"/>
            <w:vAlign w:val="bottom"/>
            <w:tcBorders>
              <w:top w:val="single" w:sz="8" w:color="auto"/>
            </w:tcBorders>
          </w:tcPr>
          <w:p>
            <w:pPr>
              <w:spacing w:after="0"/>
              <w:rPr>
                <w:sz w:val="12"/>
                <w:szCs w:val="12"/>
                <w:color w:val="auto"/>
              </w:rPr>
            </w:pPr>
          </w:p>
        </w:tc>
        <w:tc>
          <w:tcPr>
            <w:tcW w:w="580" w:type="dxa"/>
            <w:vAlign w:val="bottom"/>
            <w:tcBorders>
              <w:top w:val="single" w:sz="8" w:color="auto"/>
            </w:tcBorders>
          </w:tcPr>
          <w:p>
            <w:pPr>
              <w:jc w:val="right"/>
              <w:ind w:right="73"/>
              <w:spacing w:after="0" w:line="142" w:lineRule="exact"/>
              <w:rPr>
                <w:sz w:val="20"/>
                <w:szCs w:val="20"/>
                <w:color w:val="auto"/>
              </w:rPr>
            </w:pPr>
            <w:r>
              <w:rPr>
                <w:rFonts w:ascii="Arial" w:cs="Arial" w:eastAsia="Arial" w:hAnsi="Arial"/>
                <w:sz w:val="14"/>
                <w:szCs w:val="14"/>
                <w:b w:val="1"/>
                <w:bCs w:val="1"/>
                <w:color w:val="auto"/>
              </w:rPr>
              <w:t>2007</w:t>
            </w: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0"/>
        </w:trPr>
        <w:tc>
          <w:tcPr>
            <w:tcW w:w="20" w:type="dxa"/>
            <w:vAlign w:val="bottom"/>
            <w:vMerge w:val="restart"/>
          </w:tcPr>
          <w:p>
            <w:pPr>
              <w:spacing w:after="0" w:line="20" w:lineRule="exact"/>
              <w:rPr>
                <w:sz w:val="1"/>
                <w:szCs w:val="1"/>
                <w:color w:val="auto"/>
              </w:rPr>
            </w:pPr>
          </w:p>
        </w:tc>
        <w:tc>
          <w:tcPr>
            <w:tcW w:w="1340" w:type="dxa"/>
            <w:vAlign w:val="bottom"/>
            <w:shd w:val="clear" w:color="auto" w:fill="000000"/>
          </w:tcPr>
          <w:p>
            <w:pPr>
              <w:spacing w:after="0" w:line="20" w:lineRule="exact"/>
              <w:rPr>
                <w:sz w:val="1"/>
                <w:szCs w:val="1"/>
                <w:color w:val="auto"/>
              </w:rPr>
            </w:pPr>
          </w:p>
        </w:tc>
        <w:tc>
          <w:tcPr>
            <w:tcW w:w="6820" w:type="dxa"/>
            <w:vAlign w:val="bottom"/>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vMerge w:val="continue"/>
          </w:tcPr>
          <w:p>
            <w:pPr>
              <w:spacing w:after="0"/>
              <w:rPr>
                <w:sz w:val="18"/>
                <w:szCs w:val="18"/>
                <w:color w:val="auto"/>
              </w:rPr>
            </w:pPr>
          </w:p>
        </w:tc>
        <w:tc>
          <w:tcPr>
            <w:tcW w:w="81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Shareowners’ Equity, beginning of period</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6"/>
              </w:rPr>
              <w:t>$21,586</w:t>
            </w:r>
          </w:p>
        </w:tc>
        <w:tc>
          <w:tcPr>
            <w:tcW w:w="180" w:type="dxa"/>
            <w:vAlign w:val="bottom"/>
            <w:shd w:val="clear" w:color="auto" w:fill="CCEEFF"/>
          </w:tcPr>
          <w:p>
            <w:pPr>
              <w:spacing w:after="0"/>
              <w:rPr>
                <w:sz w:val="18"/>
                <w:szCs w:val="18"/>
                <w:color w:val="auto"/>
              </w:rPr>
            </w:pPr>
          </w:p>
        </w:tc>
        <w:tc>
          <w:tcPr>
            <w:tcW w:w="960" w:type="dxa"/>
            <w:vAlign w:val="bottom"/>
            <w:gridSpan w:val="3"/>
            <w:shd w:val="clear" w:color="auto" w:fill="CCEEFF"/>
          </w:tcPr>
          <w:p>
            <w:pPr>
              <w:jc w:val="right"/>
              <w:ind w:right="280"/>
              <w:spacing w:after="0"/>
              <w:rPr>
                <w:sz w:val="20"/>
                <w:szCs w:val="20"/>
                <w:color w:val="auto"/>
              </w:rPr>
            </w:pPr>
            <w:r>
              <w:rPr>
                <w:rFonts w:ascii="Arial" w:cs="Arial" w:eastAsia="Arial" w:hAnsi="Arial"/>
                <w:sz w:val="18"/>
                <w:szCs w:val="18"/>
                <w:color w:val="auto"/>
              </w:rPr>
              <w:t>$18,106</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6"/>
              </w:rPr>
              <w:t>$21,355</w:t>
            </w:r>
          </w:p>
        </w:tc>
        <w:tc>
          <w:tcPr>
            <w:tcW w:w="30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6"/>
              </w:rPr>
              <w:t>$17,297</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160" w:type="dxa"/>
            <w:vAlign w:val="bottom"/>
            <w:gridSpan w:val="2"/>
          </w:tcPr>
          <w:p>
            <w:pPr>
              <w:spacing w:after="0"/>
              <w:rPr>
                <w:sz w:val="20"/>
                <w:szCs w:val="20"/>
                <w:color w:val="auto"/>
              </w:rPr>
            </w:pPr>
            <w:r>
              <w:rPr>
                <w:rFonts w:ascii="Arial" w:cs="Arial" w:eastAsia="Arial" w:hAnsi="Arial"/>
                <w:sz w:val="18"/>
                <w:szCs w:val="18"/>
                <w:color w:val="auto"/>
              </w:rPr>
              <w:t>Effects of changing pension plan measurement dates pursuant to SFAS No. 158, net of taxes</w:t>
            </w:r>
          </w:p>
        </w:tc>
        <w:tc>
          <w:tcPr>
            <w:tcW w:w="760" w:type="dxa"/>
            <w:vAlign w:val="bottom"/>
            <w:gridSpan w:val="2"/>
          </w:tcPr>
          <w:p>
            <w:pPr>
              <w:jc w:val="right"/>
              <w:ind w:right="26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860" w:type="dxa"/>
            <w:vAlign w:val="bottom"/>
            <w:gridSpan w:val="2"/>
          </w:tcPr>
          <w:p>
            <w:pPr>
              <w:jc w:val="right"/>
              <w:ind w:right="360"/>
              <w:spacing w:after="0"/>
              <w:rPr>
                <w:sz w:val="20"/>
                <w:szCs w:val="20"/>
                <w:color w:val="auto"/>
              </w:rPr>
            </w:pPr>
            <w:r>
              <w:rPr>
                <w:rFonts w:ascii="Arial" w:cs="Arial" w:eastAsia="Arial" w:hAnsi="Arial"/>
                <w:sz w:val="18"/>
                <w:szCs w:val="18"/>
                <w:color w:val="auto"/>
              </w:rPr>
              <w:t>—</w:t>
            </w:r>
          </w:p>
        </w:tc>
        <w:tc>
          <w:tcPr>
            <w:tcW w:w="880" w:type="dxa"/>
            <w:vAlign w:val="bottom"/>
            <w:gridSpan w:val="2"/>
          </w:tcPr>
          <w:p>
            <w:pPr>
              <w:jc w:val="right"/>
              <w:ind w:right="380"/>
              <w:spacing w:after="0"/>
              <w:rPr>
                <w:sz w:val="20"/>
                <w:szCs w:val="20"/>
                <w:color w:val="auto"/>
              </w:rPr>
            </w:pPr>
            <w:r>
              <w:rPr>
                <w:rFonts w:ascii="Arial" w:cs="Arial" w:eastAsia="Arial" w:hAnsi="Arial"/>
                <w:sz w:val="18"/>
                <w:szCs w:val="18"/>
                <w:color w:val="auto"/>
              </w:rPr>
              <w:t>—</w:t>
            </w:r>
          </w:p>
        </w:tc>
        <w:tc>
          <w:tcPr>
            <w:tcW w:w="580" w:type="dxa"/>
            <w:vAlign w:val="bottom"/>
          </w:tcPr>
          <w:p>
            <w:pPr>
              <w:jc w:val="right"/>
              <w:spacing w:after="0"/>
              <w:rPr>
                <w:sz w:val="20"/>
                <w:szCs w:val="20"/>
                <w:color w:val="auto"/>
              </w:rPr>
            </w:pPr>
            <w:r>
              <w:rPr>
                <w:rFonts w:ascii="Arial" w:cs="Arial" w:eastAsia="Arial" w:hAnsi="Arial"/>
                <w:sz w:val="18"/>
                <w:szCs w:val="18"/>
                <w:color w:val="auto"/>
              </w:rPr>
              <w:t>425</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1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Adoption of FASB Interpretation No. 48</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8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30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(19)</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340" w:type="dxa"/>
            <w:vAlign w:val="bottom"/>
          </w:tcPr>
          <w:p>
            <w:pPr>
              <w:spacing w:after="0" w:line="20" w:lineRule="exact"/>
              <w:rPr>
                <w:sz w:val="1"/>
                <w:szCs w:val="1"/>
                <w:color w:val="auto"/>
              </w:rPr>
            </w:pPr>
          </w:p>
        </w:tc>
        <w:tc>
          <w:tcPr>
            <w:tcW w:w="6820" w:type="dxa"/>
            <w:vAlign w:val="bottom"/>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2"/>
        </w:trPr>
        <w:tc>
          <w:tcPr>
            <w:tcW w:w="20" w:type="dxa"/>
            <w:vAlign w:val="bottom"/>
          </w:tcPr>
          <w:p>
            <w:pPr>
              <w:spacing w:after="0"/>
              <w:rPr>
                <w:sz w:val="19"/>
                <w:szCs w:val="19"/>
                <w:color w:val="auto"/>
              </w:rPr>
            </w:pPr>
          </w:p>
        </w:tc>
        <w:tc>
          <w:tcPr>
            <w:tcW w:w="1340" w:type="dxa"/>
            <w:vAlign w:val="bottom"/>
          </w:tcPr>
          <w:p>
            <w:pPr>
              <w:spacing w:after="0"/>
              <w:rPr>
                <w:sz w:val="19"/>
                <w:szCs w:val="19"/>
                <w:color w:val="auto"/>
              </w:rPr>
            </w:pPr>
          </w:p>
        </w:tc>
        <w:tc>
          <w:tcPr>
            <w:tcW w:w="6820" w:type="dxa"/>
            <w:vAlign w:val="bottom"/>
          </w:tcPr>
          <w:p>
            <w:pPr>
              <w:spacing w:after="0"/>
              <w:rPr>
                <w:sz w:val="19"/>
                <w:szCs w:val="19"/>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21,586</w:t>
            </w:r>
          </w:p>
        </w:tc>
        <w:tc>
          <w:tcPr>
            <w:tcW w:w="1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60" w:type="dxa"/>
            <w:vAlign w:val="bottom"/>
            <w:gridSpan w:val="2"/>
          </w:tcPr>
          <w:p>
            <w:pPr>
              <w:jc w:val="right"/>
              <w:ind w:right="280"/>
              <w:spacing w:after="0"/>
              <w:rPr>
                <w:sz w:val="20"/>
                <w:szCs w:val="20"/>
                <w:color w:val="auto"/>
              </w:rPr>
            </w:pPr>
            <w:r>
              <w:rPr>
                <w:rFonts w:ascii="Arial" w:cs="Arial" w:eastAsia="Arial" w:hAnsi="Arial"/>
                <w:sz w:val="18"/>
                <w:szCs w:val="18"/>
                <w:color w:val="auto"/>
              </w:rPr>
              <w:t>18,106</w:t>
            </w:r>
          </w:p>
        </w:tc>
        <w:tc>
          <w:tcPr>
            <w:tcW w:w="580" w:type="dxa"/>
            <w:vAlign w:val="bottom"/>
          </w:tcPr>
          <w:p>
            <w:pPr>
              <w:jc w:val="right"/>
              <w:spacing w:after="0"/>
              <w:rPr>
                <w:sz w:val="20"/>
                <w:szCs w:val="20"/>
                <w:color w:val="auto"/>
              </w:rPr>
            </w:pPr>
            <w:r>
              <w:rPr>
                <w:rFonts w:ascii="Arial" w:cs="Arial" w:eastAsia="Arial" w:hAnsi="Arial"/>
                <w:sz w:val="18"/>
                <w:szCs w:val="18"/>
                <w:color w:val="auto"/>
              </w:rPr>
              <w:t>21,355</w:t>
            </w:r>
          </w:p>
        </w:tc>
        <w:tc>
          <w:tcPr>
            <w:tcW w:w="300" w:type="dxa"/>
            <w:vAlign w:val="bottom"/>
          </w:tcPr>
          <w:p>
            <w:pPr>
              <w:spacing w:after="0"/>
              <w:rPr>
                <w:sz w:val="19"/>
                <w:szCs w:val="19"/>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17,703</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7"/>
        </w:trPr>
        <w:tc>
          <w:tcPr>
            <w:tcW w:w="20" w:type="dxa"/>
            <w:vAlign w:val="bottom"/>
          </w:tcPr>
          <w:p>
            <w:pPr>
              <w:spacing w:after="0"/>
              <w:rPr>
                <w:sz w:val="18"/>
                <w:szCs w:val="18"/>
                <w:color w:val="auto"/>
              </w:rPr>
            </w:pPr>
          </w:p>
        </w:tc>
        <w:tc>
          <w:tcPr>
            <w:tcW w:w="8160" w:type="dxa"/>
            <w:vAlign w:val="bottom"/>
            <w:gridSpan w:val="2"/>
            <w:shd w:val="clear" w:color="auto" w:fill="CCEEFF"/>
          </w:tcPr>
          <w:p>
            <w:pPr>
              <w:ind w:left="420"/>
              <w:spacing w:after="0"/>
              <w:rPr>
                <w:sz w:val="20"/>
                <w:szCs w:val="20"/>
                <w:color w:val="auto"/>
              </w:rPr>
            </w:pPr>
            <w:r>
              <w:rPr>
                <w:rFonts w:ascii="Arial" w:cs="Arial" w:eastAsia="Arial" w:hAnsi="Arial"/>
                <w:sz w:val="18"/>
                <w:szCs w:val="18"/>
                <w:color w:val="auto"/>
              </w:rPr>
              <w:t>Common Stock issued under employee plans</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160</w:t>
            </w:r>
          </w:p>
        </w:tc>
        <w:tc>
          <w:tcPr>
            <w:tcW w:w="180" w:type="dxa"/>
            <w:vAlign w:val="bottom"/>
            <w:shd w:val="clear" w:color="auto" w:fill="CCEEFF"/>
          </w:tcPr>
          <w:p>
            <w:pPr>
              <w:spacing w:after="0"/>
              <w:rPr>
                <w:sz w:val="18"/>
                <w:szCs w:val="18"/>
                <w:color w:val="auto"/>
              </w:rPr>
            </w:pPr>
          </w:p>
        </w:tc>
        <w:tc>
          <w:tcPr>
            <w:tcW w:w="960" w:type="dxa"/>
            <w:vAlign w:val="bottom"/>
            <w:gridSpan w:val="3"/>
            <w:shd w:val="clear" w:color="auto" w:fill="CCEEFF"/>
          </w:tcPr>
          <w:p>
            <w:pPr>
              <w:jc w:val="right"/>
              <w:ind w:right="280"/>
              <w:spacing w:after="0"/>
              <w:rPr>
                <w:sz w:val="20"/>
                <w:szCs w:val="20"/>
                <w:color w:val="auto"/>
              </w:rPr>
            </w:pPr>
            <w:r>
              <w:rPr>
                <w:rFonts w:ascii="Arial" w:cs="Arial" w:eastAsia="Arial" w:hAnsi="Arial"/>
                <w:sz w:val="18"/>
                <w:szCs w:val="18"/>
                <w:color w:val="auto"/>
              </w:rPr>
              <w:t>240</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295</w:t>
            </w:r>
          </w:p>
        </w:tc>
        <w:tc>
          <w:tcPr>
            <w:tcW w:w="30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489</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160" w:type="dxa"/>
            <w:vAlign w:val="bottom"/>
            <w:gridSpan w:val="2"/>
          </w:tcPr>
          <w:p>
            <w:pPr>
              <w:ind w:left="420"/>
              <w:spacing w:after="0"/>
              <w:rPr>
                <w:sz w:val="20"/>
                <w:szCs w:val="20"/>
                <w:color w:val="auto"/>
              </w:rPr>
            </w:pPr>
            <w:r>
              <w:rPr>
                <w:rFonts w:ascii="Arial" w:cs="Arial" w:eastAsia="Arial" w:hAnsi="Arial"/>
                <w:sz w:val="18"/>
                <w:szCs w:val="18"/>
                <w:color w:val="auto"/>
              </w:rPr>
              <w:t>Common Stock repurchased</w:t>
            </w:r>
          </w:p>
        </w:tc>
        <w:tc>
          <w:tcPr>
            <w:tcW w:w="760" w:type="dxa"/>
            <w:vAlign w:val="bottom"/>
            <w:gridSpan w:val="2"/>
          </w:tcPr>
          <w:p>
            <w:pPr>
              <w:jc w:val="right"/>
              <w:ind w:right="120"/>
              <w:spacing w:after="0"/>
              <w:rPr>
                <w:sz w:val="20"/>
                <w:szCs w:val="20"/>
                <w:color w:val="auto"/>
              </w:rPr>
            </w:pPr>
            <w:r>
              <w:rPr>
                <w:rFonts w:ascii="Arial" w:cs="Arial" w:eastAsia="Arial" w:hAnsi="Arial"/>
                <w:sz w:val="18"/>
                <w:szCs w:val="18"/>
                <w:color w:val="auto"/>
              </w:rPr>
              <w:t>(747)</w:t>
            </w:r>
          </w:p>
        </w:tc>
        <w:tc>
          <w:tcPr>
            <w:tcW w:w="960" w:type="dxa"/>
            <w:vAlign w:val="bottom"/>
            <w:gridSpan w:val="3"/>
          </w:tcPr>
          <w:p>
            <w:pPr>
              <w:jc w:val="right"/>
              <w:ind w:right="220"/>
              <w:spacing w:after="0"/>
              <w:rPr>
                <w:sz w:val="20"/>
                <w:szCs w:val="20"/>
                <w:color w:val="auto"/>
              </w:rPr>
            </w:pPr>
            <w:r>
              <w:rPr>
                <w:rFonts w:ascii="Arial" w:cs="Arial" w:eastAsia="Arial" w:hAnsi="Arial"/>
                <w:sz w:val="18"/>
                <w:szCs w:val="18"/>
                <w:color w:val="auto"/>
              </w:rPr>
              <w:t>(485)</w:t>
            </w:r>
          </w:p>
        </w:tc>
        <w:tc>
          <w:tcPr>
            <w:tcW w:w="880" w:type="dxa"/>
            <w:vAlign w:val="bottom"/>
            <w:gridSpan w:val="2"/>
          </w:tcPr>
          <w:p>
            <w:pPr>
              <w:jc w:val="right"/>
              <w:ind w:right="240"/>
              <w:spacing w:after="0"/>
              <w:rPr>
                <w:sz w:val="20"/>
                <w:szCs w:val="20"/>
                <w:color w:val="auto"/>
              </w:rPr>
            </w:pPr>
            <w:r>
              <w:rPr>
                <w:rFonts w:ascii="Arial" w:cs="Arial" w:eastAsia="Arial" w:hAnsi="Arial"/>
                <w:sz w:val="18"/>
                <w:szCs w:val="18"/>
                <w:color w:val="auto"/>
              </w:rPr>
              <w:t>(1,567)</w:t>
            </w:r>
          </w:p>
        </w:tc>
        <w:tc>
          <w:tcPr>
            <w:tcW w:w="640" w:type="dxa"/>
            <w:vAlign w:val="bottom"/>
            <w:gridSpan w:val="2"/>
          </w:tcPr>
          <w:p>
            <w:pPr>
              <w:jc w:val="right"/>
              <w:spacing w:after="0"/>
              <w:rPr>
                <w:sz w:val="20"/>
                <w:szCs w:val="20"/>
                <w:color w:val="auto"/>
              </w:rPr>
            </w:pPr>
            <w:r>
              <w:rPr>
                <w:rFonts w:ascii="Arial" w:cs="Arial" w:eastAsia="Arial" w:hAnsi="Arial"/>
                <w:sz w:val="18"/>
                <w:szCs w:val="18"/>
                <w:color w:val="auto"/>
              </w:rPr>
              <w:t>(1,000)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160" w:type="dxa"/>
            <w:vAlign w:val="bottom"/>
            <w:gridSpan w:val="2"/>
            <w:shd w:val="clear" w:color="auto" w:fill="CCEEFF"/>
          </w:tcPr>
          <w:p>
            <w:pPr>
              <w:ind w:left="420"/>
              <w:spacing w:after="0"/>
              <w:rPr>
                <w:sz w:val="20"/>
                <w:szCs w:val="20"/>
                <w:color w:val="auto"/>
              </w:rPr>
            </w:pPr>
            <w:r>
              <w:rPr>
                <w:rFonts w:ascii="Arial" w:cs="Arial" w:eastAsia="Arial" w:hAnsi="Arial"/>
                <w:sz w:val="18"/>
                <w:szCs w:val="18"/>
                <w:color w:val="auto"/>
              </w:rPr>
              <w:t>Common Stock contributed to pension plans</w:t>
            </w:r>
          </w:p>
        </w:tc>
        <w:tc>
          <w:tcPr>
            <w:tcW w:w="76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w:t>
            </w:r>
          </w:p>
        </w:tc>
        <w:tc>
          <w:tcPr>
            <w:tcW w:w="88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150</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160" w:type="dxa"/>
            <w:vAlign w:val="bottom"/>
            <w:gridSpan w:val="2"/>
          </w:tcPr>
          <w:p>
            <w:pPr>
              <w:ind w:left="420"/>
              <w:spacing w:after="0"/>
              <w:rPr>
                <w:sz w:val="20"/>
                <w:szCs w:val="20"/>
                <w:color w:val="auto"/>
              </w:rPr>
            </w:pPr>
            <w:r>
              <w:rPr>
                <w:rFonts w:ascii="Arial" w:cs="Arial" w:eastAsia="Arial" w:hAnsi="Arial"/>
                <w:sz w:val="18"/>
                <w:szCs w:val="18"/>
                <w:color w:val="auto"/>
              </w:rPr>
              <w:t>Dividends paid on Common Stock</w:t>
            </w:r>
          </w:p>
        </w:tc>
        <w:tc>
          <w:tcPr>
            <w:tcW w:w="760" w:type="dxa"/>
            <w:vAlign w:val="bottom"/>
            <w:gridSpan w:val="2"/>
          </w:tcPr>
          <w:p>
            <w:pPr>
              <w:jc w:val="right"/>
              <w:ind w:right="120"/>
              <w:spacing w:after="0"/>
              <w:rPr>
                <w:sz w:val="20"/>
                <w:szCs w:val="20"/>
                <w:color w:val="auto"/>
              </w:rPr>
            </w:pPr>
            <w:r>
              <w:rPr>
                <w:rFonts w:ascii="Arial" w:cs="Arial" w:eastAsia="Arial" w:hAnsi="Arial"/>
                <w:sz w:val="18"/>
                <w:szCs w:val="18"/>
                <w:color w:val="auto"/>
              </w:rPr>
              <w:t>(290)</w:t>
            </w:r>
          </w:p>
        </w:tc>
        <w:tc>
          <w:tcPr>
            <w:tcW w:w="960" w:type="dxa"/>
            <w:vAlign w:val="bottom"/>
            <w:gridSpan w:val="3"/>
          </w:tcPr>
          <w:p>
            <w:pPr>
              <w:jc w:val="right"/>
              <w:ind w:right="220"/>
              <w:spacing w:after="0"/>
              <w:rPr>
                <w:sz w:val="20"/>
                <w:szCs w:val="20"/>
                <w:color w:val="auto"/>
              </w:rPr>
            </w:pPr>
            <w:r>
              <w:rPr>
                <w:rFonts w:ascii="Arial" w:cs="Arial" w:eastAsia="Arial" w:hAnsi="Arial"/>
                <w:sz w:val="18"/>
                <w:szCs w:val="18"/>
                <w:color w:val="auto"/>
              </w:rPr>
              <w:t>(245)</w:t>
            </w:r>
          </w:p>
        </w:tc>
        <w:tc>
          <w:tcPr>
            <w:tcW w:w="880" w:type="dxa"/>
            <w:vAlign w:val="bottom"/>
            <w:gridSpan w:val="2"/>
          </w:tcPr>
          <w:p>
            <w:pPr>
              <w:jc w:val="right"/>
              <w:ind w:right="240"/>
              <w:spacing w:after="0"/>
              <w:rPr>
                <w:sz w:val="20"/>
                <w:szCs w:val="20"/>
                <w:color w:val="auto"/>
              </w:rPr>
            </w:pPr>
            <w:r>
              <w:rPr>
                <w:rFonts w:ascii="Arial" w:cs="Arial" w:eastAsia="Arial" w:hAnsi="Arial"/>
                <w:sz w:val="18"/>
                <w:szCs w:val="18"/>
                <w:color w:val="auto"/>
              </w:rPr>
              <w:t>(583)</w:t>
            </w:r>
          </w:p>
        </w:tc>
        <w:tc>
          <w:tcPr>
            <w:tcW w:w="640" w:type="dxa"/>
            <w:vAlign w:val="bottom"/>
            <w:gridSpan w:val="2"/>
          </w:tcPr>
          <w:p>
            <w:pPr>
              <w:jc w:val="right"/>
              <w:spacing w:after="0"/>
              <w:rPr>
                <w:sz w:val="20"/>
                <w:szCs w:val="20"/>
                <w:color w:val="auto"/>
              </w:rPr>
            </w:pPr>
            <w:r>
              <w:rPr>
                <w:rFonts w:ascii="Arial" w:cs="Arial" w:eastAsia="Arial" w:hAnsi="Arial"/>
                <w:sz w:val="18"/>
                <w:szCs w:val="18"/>
                <w:color w:val="auto"/>
              </w:rPr>
              <w:t>(490)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160" w:type="dxa"/>
            <w:vAlign w:val="bottom"/>
            <w:gridSpan w:val="2"/>
            <w:shd w:val="clear" w:color="auto" w:fill="CCEEFF"/>
          </w:tcPr>
          <w:p>
            <w:pPr>
              <w:ind w:left="420"/>
              <w:spacing w:after="0"/>
              <w:rPr>
                <w:sz w:val="20"/>
                <w:szCs w:val="20"/>
                <w:color w:val="auto"/>
              </w:rPr>
            </w:pPr>
            <w:r>
              <w:rPr>
                <w:rFonts w:ascii="Arial" w:cs="Arial" w:eastAsia="Arial" w:hAnsi="Arial"/>
                <w:sz w:val="18"/>
                <w:szCs w:val="18"/>
                <w:color w:val="auto"/>
              </w:rPr>
              <w:t>Dividends paid on ESOP Common Stock</w:t>
            </w:r>
          </w:p>
        </w:tc>
        <w:tc>
          <w:tcPr>
            <w:tcW w:w="7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(13)</w:t>
            </w:r>
          </w:p>
        </w:tc>
        <w:tc>
          <w:tcPr>
            <w:tcW w:w="960" w:type="dxa"/>
            <w:vAlign w:val="bottom"/>
            <w:gridSpan w:val="3"/>
            <w:shd w:val="clear" w:color="auto" w:fill="CCEEFF"/>
          </w:tcPr>
          <w:p>
            <w:pPr>
              <w:jc w:val="right"/>
              <w:ind w:right="220"/>
              <w:spacing w:after="0"/>
              <w:rPr>
                <w:sz w:val="20"/>
                <w:szCs w:val="20"/>
                <w:color w:val="auto"/>
              </w:rPr>
            </w:pPr>
            <w:r>
              <w:rPr>
                <w:rFonts w:ascii="Arial" w:cs="Arial" w:eastAsia="Arial" w:hAnsi="Arial"/>
                <w:sz w:val="18"/>
                <w:szCs w:val="18"/>
                <w:color w:val="auto"/>
              </w:rPr>
              <w:t>(11)</w:t>
            </w:r>
          </w:p>
        </w:tc>
        <w:tc>
          <w:tcPr>
            <w:tcW w:w="88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(25)</w:t>
            </w:r>
          </w:p>
        </w:tc>
        <w:tc>
          <w:tcPr>
            <w:tcW w:w="6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160" w:type="dxa"/>
            <w:vAlign w:val="bottom"/>
            <w:gridSpan w:val="2"/>
          </w:tcPr>
          <w:p>
            <w:pPr>
              <w:spacing w:after="0"/>
              <w:rPr>
                <w:sz w:val="20"/>
                <w:szCs w:val="20"/>
                <w:color w:val="auto"/>
              </w:rPr>
            </w:pPr>
            <w:r>
              <w:rPr>
                <w:rFonts w:ascii="Arial" w:cs="Arial" w:eastAsia="Arial" w:hAnsi="Arial"/>
                <w:sz w:val="18"/>
                <w:szCs w:val="18"/>
                <w:color w:val="auto"/>
              </w:rPr>
              <w:t>Non-shareowners’ Changes in Equity:</w:t>
            </w:r>
          </w:p>
        </w:tc>
        <w:tc>
          <w:tcPr>
            <w:tcW w:w="5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160" w:type="dxa"/>
            <w:vAlign w:val="bottom"/>
            <w:gridSpan w:val="2"/>
            <w:shd w:val="clear" w:color="auto" w:fill="CCEEFF"/>
          </w:tcPr>
          <w:p>
            <w:pPr>
              <w:ind w:left="420"/>
              <w:spacing w:after="0"/>
              <w:rPr>
                <w:sz w:val="20"/>
                <w:szCs w:val="20"/>
                <w:color w:val="auto"/>
              </w:rPr>
            </w:pPr>
            <w:r>
              <w:rPr>
                <w:rFonts w:ascii="Arial" w:cs="Arial" w:eastAsia="Arial" w:hAnsi="Arial"/>
                <w:sz w:val="18"/>
                <w:szCs w:val="18"/>
                <w:color w:val="auto"/>
              </w:rPr>
              <w:t>Net income</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1,275</w:t>
            </w:r>
          </w:p>
        </w:tc>
        <w:tc>
          <w:tcPr>
            <w:tcW w:w="180" w:type="dxa"/>
            <w:vAlign w:val="bottom"/>
            <w:shd w:val="clear" w:color="auto" w:fill="CCEEFF"/>
          </w:tcPr>
          <w:p>
            <w:pPr>
              <w:spacing w:after="0"/>
              <w:rPr>
                <w:sz w:val="18"/>
                <w:szCs w:val="18"/>
                <w:color w:val="auto"/>
              </w:rPr>
            </w:pPr>
          </w:p>
        </w:tc>
        <w:tc>
          <w:tcPr>
            <w:tcW w:w="960" w:type="dxa"/>
            <w:vAlign w:val="bottom"/>
            <w:gridSpan w:val="3"/>
            <w:shd w:val="clear" w:color="auto" w:fill="CCEEFF"/>
          </w:tcPr>
          <w:p>
            <w:pPr>
              <w:jc w:val="right"/>
              <w:ind w:right="280"/>
              <w:spacing w:after="0"/>
              <w:rPr>
                <w:sz w:val="20"/>
                <w:szCs w:val="20"/>
                <w:color w:val="auto"/>
              </w:rPr>
            </w:pPr>
            <w:r>
              <w:rPr>
                <w:rFonts w:ascii="Arial" w:cs="Arial" w:eastAsia="Arial" w:hAnsi="Arial"/>
                <w:sz w:val="18"/>
                <w:szCs w:val="18"/>
                <w:color w:val="auto"/>
              </w:rPr>
              <w:t>1,148</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2,275</w:t>
            </w:r>
          </w:p>
        </w:tc>
        <w:tc>
          <w:tcPr>
            <w:tcW w:w="30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1,967</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160" w:type="dxa"/>
            <w:vAlign w:val="bottom"/>
            <w:gridSpan w:val="2"/>
          </w:tcPr>
          <w:p>
            <w:pPr>
              <w:ind w:left="420"/>
              <w:spacing w:after="0"/>
              <w:rPr>
                <w:sz w:val="20"/>
                <w:szCs w:val="20"/>
                <w:color w:val="auto"/>
              </w:rPr>
            </w:pPr>
            <w:r>
              <w:rPr>
                <w:rFonts w:ascii="Arial" w:cs="Arial" w:eastAsia="Arial" w:hAnsi="Arial"/>
                <w:sz w:val="18"/>
                <w:szCs w:val="18"/>
                <w:color w:val="auto"/>
              </w:rPr>
              <w:t>Foreign currency translation, net</w:t>
            </w:r>
          </w:p>
        </w:tc>
        <w:tc>
          <w:tcPr>
            <w:tcW w:w="760" w:type="dxa"/>
            <w:vAlign w:val="bottom"/>
            <w:gridSpan w:val="2"/>
          </w:tcPr>
          <w:p>
            <w:pPr>
              <w:jc w:val="right"/>
              <w:ind w:right="120"/>
              <w:spacing w:after="0"/>
              <w:rPr>
                <w:sz w:val="20"/>
                <w:szCs w:val="20"/>
                <w:color w:val="auto"/>
              </w:rPr>
            </w:pPr>
            <w:r>
              <w:rPr>
                <w:rFonts w:ascii="Arial" w:cs="Arial" w:eastAsia="Arial" w:hAnsi="Arial"/>
                <w:sz w:val="18"/>
                <w:szCs w:val="18"/>
                <w:color w:val="auto"/>
              </w:rPr>
              <w:t>(51)</w:t>
            </w:r>
          </w:p>
        </w:tc>
        <w:tc>
          <w:tcPr>
            <w:tcW w:w="960" w:type="dxa"/>
            <w:vAlign w:val="bottom"/>
            <w:gridSpan w:val="3"/>
          </w:tcPr>
          <w:p>
            <w:pPr>
              <w:jc w:val="right"/>
              <w:ind w:right="280"/>
              <w:spacing w:after="0"/>
              <w:rPr>
                <w:sz w:val="20"/>
                <w:szCs w:val="20"/>
                <w:color w:val="auto"/>
              </w:rPr>
            </w:pPr>
            <w:r>
              <w:rPr>
                <w:rFonts w:ascii="Arial" w:cs="Arial" w:eastAsia="Arial" w:hAnsi="Arial"/>
                <w:sz w:val="18"/>
                <w:szCs w:val="18"/>
                <w:color w:val="auto"/>
              </w:rPr>
              <w:t>312</w:t>
            </w:r>
          </w:p>
        </w:tc>
        <w:tc>
          <w:tcPr>
            <w:tcW w:w="580" w:type="dxa"/>
            <w:vAlign w:val="bottom"/>
          </w:tcPr>
          <w:p>
            <w:pPr>
              <w:jc w:val="right"/>
              <w:spacing w:after="0"/>
              <w:rPr>
                <w:sz w:val="20"/>
                <w:szCs w:val="20"/>
                <w:color w:val="auto"/>
              </w:rPr>
            </w:pPr>
            <w:r>
              <w:rPr>
                <w:rFonts w:ascii="Arial" w:cs="Arial" w:eastAsia="Arial" w:hAnsi="Arial"/>
                <w:sz w:val="18"/>
                <w:szCs w:val="18"/>
                <w:color w:val="auto"/>
              </w:rPr>
              <w:t>165</w:t>
            </w:r>
          </w:p>
        </w:tc>
        <w:tc>
          <w:tcPr>
            <w:tcW w:w="30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334</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160" w:type="dxa"/>
            <w:vAlign w:val="bottom"/>
            <w:gridSpan w:val="2"/>
            <w:shd w:val="clear" w:color="auto" w:fill="CCEEFF"/>
          </w:tcPr>
          <w:p>
            <w:pPr>
              <w:ind w:left="420"/>
              <w:spacing w:after="0"/>
              <w:rPr>
                <w:sz w:val="20"/>
                <w:szCs w:val="20"/>
                <w:color w:val="auto"/>
              </w:rPr>
            </w:pPr>
            <w:r>
              <w:rPr>
                <w:rFonts w:ascii="Arial" w:cs="Arial" w:eastAsia="Arial" w:hAnsi="Arial"/>
                <w:sz w:val="18"/>
                <w:szCs w:val="18"/>
                <w:color w:val="auto"/>
              </w:rPr>
              <w:t>(Decreases) increases in unrealized gains and losses from available-for-sale investments, net</w:t>
            </w:r>
          </w:p>
        </w:tc>
        <w:tc>
          <w:tcPr>
            <w:tcW w:w="7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(21)</w:t>
            </w:r>
          </w:p>
        </w:tc>
        <w:tc>
          <w:tcPr>
            <w:tcW w:w="960" w:type="dxa"/>
            <w:vAlign w:val="bottom"/>
            <w:gridSpan w:val="3"/>
            <w:shd w:val="clear" w:color="auto" w:fill="CCEEFF"/>
          </w:tcPr>
          <w:p>
            <w:pPr>
              <w:jc w:val="right"/>
              <w:ind w:right="280"/>
              <w:spacing w:after="0"/>
              <w:rPr>
                <w:sz w:val="20"/>
                <w:szCs w:val="20"/>
                <w:color w:val="auto"/>
              </w:rPr>
            </w:pPr>
            <w:r>
              <w:rPr>
                <w:rFonts w:ascii="Arial" w:cs="Arial" w:eastAsia="Arial" w:hAnsi="Arial"/>
                <w:sz w:val="18"/>
                <w:szCs w:val="18"/>
                <w:color w:val="auto"/>
              </w:rPr>
              <w:t>2</w:t>
            </w:r>
          </w:p>
        </w:tc>
        <w:tc>
          <w:tcPr>
            <w:tcW w:w="88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(15)</w:t>
            </w:r>
          </w:p>
        </w:tc>
        <w:tc>
          <w:tcPr>
            <w:tcW w:w="6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(84)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160" w:type="dxa"/>
            <w:vAlign w:val="bottom"/>
            <w:gridSpan w:val="2"/>
          </w:tcPr>
          <w:p>
            <w:pPr>
              <w:ind w:left="420"/>
              <w:spacing w:after="0"/>
              <w:rPr>
                <w:sz w:val="20"/>
                <w:szCs w:val="20"/>
                <w:color w:val="auto"/>
              </w:rPr>
            </w:pPr>
            <w:r>
              <w:rPr>
                <w:rFonts w:ascii="Arial" w:cs="Arial" w:eastAsia="Arial" w:hAnsi="Arial"/>
                <w:sz w:val="18"/>
                <w:szCs w:val="18"/>
                <w:color w:val="auto"/>
              </w:rPr>
              <w:t>Cash flow hedging (loss) gain, net</w:t>
            </w:r>
          </w:p>
        </w:tc>
        <w:tc>
          <w:tcPr>
            <w:tcW w:w="760" w:type="dxa"/>
            <w:vAlign w:val="bottom"/>
            <w:gridSpan w:val="2"/>
          </w:tcPr>
          <w:p>
            <w:pPr>
              <w:jc w:val="right"/>
              <w:ind w:right="120"/>
              <w:spacing w:after="0"/>
              <w:rPr>
                <w:sz w:val="20"/>
                <w:szCs w:val="20"/>
                <w:color w:val="auto"/>
              </w:rPr>
            </w:pPr>
            <w:r>
              <w:rPr>
                <w:rFonts w:ascii="Arial" w:cs="Arial" w:eastAsia="Arial" w:hAnsi="Arial"/>
                <w:sz w:val="18"/>
                <w:szCs w:val="18"/>
                <w:color w:val="auto"/>
              </w:rPr>
              <w:t>(9)</w:t>
            </w:r>
          </w:p>
        </w:tc>
        <w:tc>
          <w:tcPr>
            <w:tcW w:w="960" w:type="dxa"/>
            <w:vAlign w:val="bottom"/>
            <w:gridSpan w:val="3"/>
          </w:tcPr>
          <w:p>
            <w:pPr>
              <w:jc w:val="right"/>
              <w:ind w:right="280"/>
              <w:spacing w:after="0"/>
              <w:rPr>
                <w:sz w:val="20"/>
                <w:szCs w:val="20"/>
                <w:color w:val="auto"/>
              </w:rPr>
            </w:pPr>
            <w:r>
              <w:rPr>
                <w:rFonts w:ascii="Arial" w:cs="Arial" w:eastAsia="Arial" w:hAnsi="Arial"/>
                <w:sz w:val="18"/>
                <w:szCs w:val="18"/>
                <w:color w:val="auto"/>
              </w:rPr>
              <w:t>108</w:t>
            </w:r>
          </w:p>
        </w:tc>
        <w:tc>
          <w:tcPr>
            <w:tcW w:w="880" w:type="dxa"/>
            <w:vAlign w:val="bottom"/>
            <w:gridSpan w:val="2"/>
          </w:tcPr>
          <w:p>
            <w:pPr>
              <w:jc w:val="right"/>
              <w:ind w:right="240"/>
              <w:spacing w:after="0"/>
              <w:rPr>
                <w:sz w:val="20"/>
                <w:szCs w:val="20"/>
                <w:color w:val="auto"/>
              </w:rPr>
            </w:pPr>
            <w:r>
              <w:rPr>
                <w:rFonts w:ascii="Arial" w:cs="Arial" w:eastAsia="Arial" w:hAnsi="Arial"/>
                <w:sz w:val="18"/>
                <w:szCs w:val="18"/>
                <w:color w:val="auto"/>
              </w:rPr>
              <w:t>(35)</w:t>
            </w:r>
          </w:p>
        </w:tc>
        <w:tc>
          <w:tcPr>
            <w:tcW w:w="580" w:type="dxa"/>
            <w:vAlign w:val="bottom"/>
          </w:tcPr>
          <w:p>
            <w:pPr>
              <w:jc w:val="right"/>
              <w:spacing w:after="0"/>
              <w:rPr>
                <w:sz w:val="20"/>
                <w:szCs w:val="20"/>
                <w:color w:val="auto"/>
              </w:rPr>
            </w:pPr>
            <w:r>
              <w:rPr>
                <w:rFonts w:ascii="Arial" w:cs="Arial" w:eastAsia="Arial" w:hAnsi="Arial"/>
                <w:sz w:val="18"/>
                <w:szCs w:val="18"/>
                <w:color w:val="auto"/>
              </w:rPr>
              <w:t>81</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160" w:type="dxa"/>
            <w:vAlign w:val="bottom"/>
            <w:gridSpan w:val="2"/>
            <w:shd w:val="clear" w:color="auto" w:fill="CCEEFF"/>
          </w:tcPr>
          <w:p>
            <w:pPr>
              <w:ind w:left="420"/>
              <w:spacing w:after="0"/>
              <w:rPr>
                <w:sz w:val="20"/>
                <w:szCs w:val="20"/>
                <w:color w:val="auto"/>
              </w:rPr>
            </w:pPr>
            <w:r>
              <w:rPr>
                <w:rFonts w:ascii="Arial" w:cs="Arial" w:eastAsia="Arial" w:hAnsi="Arial"/>
                <w:sz w:val="18"/>
                <w:szCs w:val="18"/>
                <w:color w:val="auto"/>
              </w:rPr>
              <w:t>Change in pension and post-retirement benefit plans, net</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w:t>
            </w: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20</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47</w:t>
            </w:r>
          </w:p>
        </w:tc>
        <w:tc>
          <w:tcPr>
            <w:tcW w:w="30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67</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8180" w:type="dxa"/>
            <w:vAlign w:val="bottom"/>
            <w:gridSpan w:val="3"/>
            <w:vMerge w:val="restart"/>
          </w:tcPr>
          <w:p>
            <w:pPr>
              <w:spacing w:after="0"/>
              <w:rPr>
                <w:sz w:val="20"/>
                <w:szCs w:val="20"/>
                <w:color w:val="auto"/>
              </w:rPr>
            </w:pPr>
            <w:r>
              <w:rPr>
                <w:rFonts w:ascii="Arial" w:cs="Arial" w:eastAsia="Arial" w:hAnsi="Arial"/>
                <w:sz w:val="18"/>
                <w:szCs w:val="18"/>
                <w:color w:val="auto"/>
              </w:rPr>
              <w:t>Shareowners’ Equity, end of period</w:t>
            </w:r>
          </w:p>
        </w:tc>
        <w:tc>
          <w:tcPr>
            <w:tcW w:w="58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2"/>
        </w:trPr>
        <w:tc>
          <w:tcPr>
            <w:tcW w:w="8180" w:type="dxa"/>
            <w:vAlign w:val="bottom"/>
            <w:gridSpan w:val="3"/>
            <w:vMerge w:val="continue"/>
          </w:tcPr>
          <w:p>
            <w:pPr>
              <w:spacing w:after="0"/>
              <w:rPr>
                <w:sz w:val="19"/>
                <w:szCs w:val="19"/>
                <w:color w:val="auto"/>
              </w:rPr>
            </w:pPr>
          </w:p>
        </w:tc>
        <w:tc>
          <w:tcPr>
            <w:tcW w:w="580" w:type="dxa"/>
            <w:vAlign w:val="bottom"/>
          </w:tcPr>
          <w:p>
            <w:pPr>
              <w:jc w:val="right"/>
              <w:spacing w:after="0"/>
              <w:rPr>
                <w:sz w:val="20"/>
                <w:szCs w:val="20"/>
                <w:color w:val="auto"/>
              </w:rPr>
            </w:pPr>
            <w:r>
              <w:rPr>
                <w:rFonts w:ascii="Arial" w:cs="Arial" w:eastAsia="Arial" w:hAnsi="Arial"/>
                <w:sz w:val="18"/>
                <w:szCs w:val="18"/>
                <w:u w:val="single" w:color="auto"/>
                <w:color w:val="auto"/>
                <w:w w:val="86"/>
              </w:rPr>
              <w:t>$</w:t>
            </w:r>
            <w:r>
              <w:rPr>
                <w:rFonts w:ascii="Arial" w:cs="Arial" w:eastAsia="Arial" w:hAnsi="Arial"/>
                <w:sz w:val="18"/>
                <w:szCs w:val="18"/>
                <w:color w:val="auto"/>
                <w:w w:val="86"/>
              </w:rPr>
              <w:t>21,912</w:t>
            </w:r>
          </w:p>
        </w:tc>
        <w:tc>
          <w:tcPr>
            <w:tcW w:w="1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60" w:type="dxa"/>
            <w:vAlign w:val="bottom"/>
            <w:gridSpan w:val="2"/>
          </w:tcPr>
          <w:p>
            <w:pPr>
              <w:jc w:val="right"/>
              <w:ind w:right="280"/>
              <w:spacing w:after="0"/>
              <w:rPr>
                <w:sz w:val="20"/>
                <w:szCs w:val="20"/>
                <w:color w:val="auto"/>
              </w:rPr>
            </w:pPr>
            <w:r>
              <w:rPr>
                <w:rFonts w:ascii="Arial" w:cs="Arial" w:eastAsia="Arial" w:hAnsi="Arial"/>
                <w:sz w:val="18"/>
                <w:szCs w:val="18"/>
                <w:u w:val="single" w:color="auto"/>
                <w:color w:val="auto"/>
                <w:w w:val="86"/>
              </w:rPr>
              <w:t>$</w:t>
            </w:r>
            <w:r>
              <w:rPr>
                <w:rFonts w:ascii="Arial" w:cs="Arial" w:eastAsia="Arial" w:hAnsi="Arial"/>
                <w:sz w:val="18"/>
                <w:szCs w:val="18"/>
                <w:color w:val="auto"/>
                <w:w w:val="86"/>
              </w:rPr>
              <w:t>19,195</w:t>
            </w:r>
          </w:p>
        </w:tc>
        <w:tc>
          <w:tcPr>
            <w:tcW w:w="580" w:type="dxa"/>
            <w:vAlign w:val="bottom"/>
          </w:tcPr>
          <w:p>
            <w:pPr>
              <w:jc w:val="right"/>
              <w:spacing w:after="0"/>
              <w:rPr>
                <w:sz w:val="20"/>
                <w:szCs w:val="20"/>
                <w:color w:val="auto"/>
              </w:rPr>
            </w:pPr>
            <w:r>
              <w:rPr>
                <w:rFonts w:ascii="Arial" w:cs="Arial" w:eastAsia="Arial" w:hAnsi="Arial"/>
                <w:sz w:val="18"/>
                <w:szCs w:val="18"/>
                <w:u w:val="single" w:color="auto"/>
                <w:color w:val="auto"/>
                <w:w w:val="86"/>
              </w:rPr>
              <w:t>$</w:t>
            </w:r>
            <w:r>
              <w:rPr>
                <w:rFonts w:ascii="Arial" w:cs="Arial" w:eastAsia="Arial" w:hAnsi="Arial"/>
                <w:sz w:val="18"/>
                <w:szCs w:val="18"/>
                <w:color w:val="auto"/>
                <w:w w:val="86"/>
              </w:rPr>
              <w:t>21,912</w:t>
            </w:r>
          </w:p>
        </w:tc>
        <w:tc>
          <w:tcPr>
            <w:tcW w:w="300" w:type="dxa"/>
            <w:vAlign w:val="bottom"/>
          </w:tcPr>
          <w:p>
            <w:pPr>
              <w:spacing w:after="0"/>
              <w:rPr>
                <w:sz w:val="19"/>
                <w:szCs w:val="19"/>
                <w:color w:val="auto"/>
              </w:rPr>
            </w:pPr>
          </w:p>
        </w:tc>
        <w:tc>
          <w:tcPr>
            <w:tcW w:w="580" w:type="dxa"/>
            <w:vAlign w:val="bottom"/>
          </w:tcPr>
          <w:p>
            <w:pPr>
              <w:jc w:val="right"/>
              <w:spacing w:after="0"/>
              <w:rPr>
                <w:sz w:val="20"/>
                <w:szCs w:val="20"/>
                <w:color w:val="auto"/>
              </w:rPr>
            </w:pPr>
            <w:r>
              <w:rPr>
                <w:rFonts w:ascii="Arial" w:cs="Arial" w:eastAsia="Arial" w:hAnsi="Arial"/>
                <w:sz w:val="18"/>
                <w:szCs w:val="18"/>
                <w:u w:val="single" w:color="auto"/>
                <w:color w:val="auto"/>
                <w:w w:val="86"/>
              </w:rPr>
              <w:t>$</w:t>
            </w:r>
            <w:r>
              <w:rPr>
                <w:rFonts w:ascii="Arial" w:cs="Arial" w:eastAsia="Arial" w:hAnsi="Arial"/>
                <w:sz w:val="18"/>
                <w:szCs w:val="18"/>
                <w:color w:val="auto"/>
                <w:w w:val="86"/>
              </w:rPr>
              <w:t>19,195</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340" w:type="dxa"/>
            <w:vAlign w:val="bottom"/>
          </w:tcPr>
          <w:p>
            <w:pPr>
              <w:spacing w:after="0" w:line="20" w:lineRule="exact"/>
              <w:rPr>
                <w:sz w:val="1"/>
                <w:szCs w:val="1"/>
                <w:color w:val="auto"/>
              </w:rPr>
            </w:pPr>
          </w:p>
        </w:tc>
        <w:tc>
          <w:tcPr>
            <w:tcW w:w="6820" w:type="dxa"/>
            <w:vAlign w:val="bottom"/>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4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10: Guarantees</w:t>
      </w:r>
    </w:p>
    <w:p>
      <w:pPr>
        <w:spacing w:after="0" w:line="96" w:lineRule="exact"/>
        <w:rPr>
          <w:sz w:val="20"/>
          <w:szCs w:val="20"/>
          <w:color w:val="auto"/>
        </w:rPr>
      </w:pPr>
    </w:p>
    <w:p>
      <w:pPr>
        <w:ind w:right="380" w:firstLine="456"/>
        <w:spacing w:after="0" w:line="268" w:lineRule="auto"/>
        <w:rPr>
          <w:sz w:val="20"/>
          <w:szCs w:val="20"/>
          <w:color w:val="auto"/>
        </w:rPr>
      </w:pPr>
      <w:r>
        <w:rPr>
          <w:rFonts w:ascii="Arial" w:cs="Arial" w:eastAsia="Arial" w:hAnsi="Arial"/>
          <w:sz w:val="18"/>
          <w:szCs w:val="18"/>
          <w:color w:val="auto"/>
        </w:rPr>
        <w:t>We extend a variety of financial, market value and product performance guarantees to third parties. There have been no material changes to guarantees outstanding since December 31, 2007.</w:t>
      </w:r>
    </w:p>
    <w:p>
      <w:pPr>
        <w:spacing w:after="0" w:line="132" w:lineRule="exact"/>
        <w:rPr>
          <w:sz w:val="20"/>
          <w:szCs w:val="20"/>
          <w:color w:val="auto"/>
        </w:rPr>
      </w:pPr>
    </w:p>
    <w:p>
      <w:pPr>
        <w:ind w:right="340" w:firstLine="456"/>
        <w:spacing w:after="0" w:line="268" w:lineRule="auto"/>
        <w:rPr>
          <w:sz w:val="20"/>
          <w:szCs w:val="20"/>
          <w:color w:val="auto"/>
        </w:rPr>
      </w:pPr>
      <w:r>
        <w:rPr>
          <w:rFonts w:ascii="Arial" w:cs="Arial" w:eastAsia="Arial" w:hAnsi="Arial"/>
          <w:sz w:val="18"/>
          <w:szCs w:val="18"/>
          <w:color w:val="auto"/>
        </w:rPr>
        <w:t>The changes in the carrying amount of service and product warranties and product performance guarantees for the six months ended June 30, 2008 and 2007 are as follows:</w:t>
      </w:r>
    </w:p>
    <w:p>
      <w:pPr>
        <w:spacing w:after="0" w:line="16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6660" w:type="dxa"/>
            <w:vAlign w:val="bottom"/>
            <w:gridSpan w:val="3"/>
          </w:tcPr>
          <w:p>
            <w:pPr>
              <w:spacing w:after="0"/>
              <w:rPr>
                <w:sz w:val="20"/>
                <w:szCs w:val="20"/>
                <w:color w:val="auto"/>
              </w:rPr>
            </w:pPr>
            <w:r>
              <w:rPr>
                <w:rFonts w:ascii="Arial" w:cs="Arial" w:eastAsia="Arial" w:hAnsi="Arial"/>
                <w:sz w:val="14"/>
                <w:szCs w:val="14"/>
                <w:b w:val="1"/>
                <w:bCs w:val="1"/>
                <w:color w:val="auto"/>
              </w:rPr>
              <w:t>(in millions of dollars)</w:t>
            </w:r>
          </w:p>
        </w:tc>
        <w:tc>
          <w:tcPr>
            <w:tcW w:w="3900" w:type="dxa"/>
            <w:vAlign w:val="bottom"/>
            <w:gridSpan w:val="2"/>
          </w:tcPr>
          <w:p>
            <w:pPr>
              <w:jc w:val="right"/>
              <w:ind w:right="12"/>
              <w:spacing w:after="0"/>
              <w:rPr>
                <w:sz w:val="20"/>
                <w:szCs w:val="20"/>
                <w:color w:val="auto"/>
              </w:rPr>
            </w:pPr>
            <w:r>
              <w:rPr>
                <w:rFonts w:ascii="Arial" w:cs="Arial" w:eastAsia="Arial" w:hAnsi="Arial"/>
                <w:sz w:val="14"/>
                <w:szCs w:val="14"/>
                <w:b w:val="1"/>
                <w:bCs w:val="1"/>
                <w:color w:val="auto"/>
              </w:rPr>
              <w:t>2008</w:t>
            </w:r>
          </w:p>
        </w:tc>
        <w:tc>
          <w:tcPr>
            <w:tcW w:w="300" w:type="dxa"/>
            <w:vAlign w:val="bottom"/>
          </w:tcPr>
          <w:p>
            <w:pPr>
              <w:spacing w:after="0"/>
              <w:rPr>
                <w:sz w:val="14"/>
                <w:szCs w:val="14"/>
                <w:color w:val="auto"/>
              </w:rPr>
            </w:pPr>
          </w:p>
        </w:tc>
        <w:tc>
          <w:tcPr>
            <w:tcW w:w="500" w:type="dxa"/>
            <w:vAlign w:val="bottom"/>
          </w:tcPr>
          <w:p>
            <w:pPr>
              <w:jc w:val="right"/>
              <w:ind w:right="36"/>
              <w:spacing w:after="0"/>
              <w:rPr>
                <w:sz w:val="20"/>
                <w:szCs w:val="20"/>
                <w:color w:val="auto"/>
              </w:rPr>
            </w:pPr>
            <w:r>
              <w:rPr>
                <w:rFonts w:ascii="Arial" w:cs="Arial" w:eastAsia="Arial" w:hAnsi="Arial"/>
                <w:sz w:val="14"/>
                <w:szCs w:val="14"/>
                <w:b w:val="1"/>
                <w:bCs w:val="1"/>
                <w:color w:val="auto"/>
              </w:rPr>
              <w:t>2007</w:t>
            </w: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20" w:type="dxa"/>
            <w:vAlign w:val="bottom"/>
            <w:vMerge w:val="restart"/>
          </w:tcPr>
          <w:p>
            <w:pPr>
              <w:spacing w:after="0" w:line="20" w:lineRule="exact"/>
              <w:rPr>
                <w:sz w:val="1"/>
                <w:szCs w:val="1"/>
                <w:color w:val="auto"/>
              </w:rPr>
            </w:pPr>
          </w:p>
        </w:tc>
        <w:tc>
          <w:tcPr>
            <w:tcW w:w="1340" w:type="dxa"/>
            <w:vAlign w:val="bottom"/>
            <w:shd w:val="clear" w:color="auto" w:fill="000000"/>
          </w:tcPr>
          <w:p>
            <w:pPr>
              <w:spacing w:after="0" w:line="20" w:lineRule="exact"/>
              <w:rPr>
                <w:sz w:val="1"/>
                <w:szCs w:val="1"/>
                <w:color w:val="auto"/>
              </w:rPr>
            </w:pPr>
          </w:p>
        </w:tc>
        <w:tc>
          <w:tcPr>
            <w:tcW w:w="5300" w:type="dxa"/>
            <w:vAlign w:val="bottom"/>
          </w:tcPr>
          <w:p>
            <w:pPr>
              <w:spacing w:after="0" w:line="20" w:lineRule="exact"/>
              <w:rPr>
                <w:sz w:val="1"/>
                <w:szCs w:val="1"/>
                <w:color w:val="auto"/>
              </w:rPr>
            </w:pPr>
          </w:p>
        </w:tc>
        <w:tc>
          <w:tcPr>
            <w:tcW w:w="3400" w:type="dxa"/>
            <w:vAlign w:val="bottom"/>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vMerge w:val="continue"/>
          </w:tcPr>
          <w:p>
            <w:pPr>
              <w:spacing w:after="0"/>
              <w:rPr>
                <w:sz w:val="18"/>
                <w:szCs w:val="18"/>
                <w:color w:val="auto"/>
              </w:rPr>
            </w:pPr>
          </w:p>
        </w:tc>
        <w:tc>
          <w:tcPr>
            <w:tcW w:w="66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Balance as of January 1</w:t>
            </w:r>
          </w:p>
        </w:tc>
        <w:tc>
          <w:tcPr>
            <w:tcW w:w="4200" w:type="dxa"/>
            <w:vAlign w:val="bottom"/>
            <w:gridSpan w:val="3"/>
            <w:shd w:val="clear" w:color="auto" w:fill="CCEEFF"/>
          </w:tcPr>
          <w:p>
            <w:pPr>
              <w:jc w:val="right"/>
              <w:ind w:right="300"/>
              <w:spacing w:after="0"/>
              <w:rPr>
                <w:sz w:val="20"/>
                <w:szCs w:val="20"/>
                <w:color w:val="auto"/>
              </w:rPr>
            </w:pPr>
            <w:r>
              <w:rPr>
                <w:rFonts w:ascii="Arial" w:cs="Arial" w:eastAsia="Arial" w:hAnsi="Arial"/>
                <w:sz w:val="18"/>
                <w:szCs w:val="18"/>
                <w:color w:val="auto"/>
              </w:rPr>
              <w:t>$1,252</w:t>
            </w: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7"/>
              </w:rPr>
              <w:t>$1,321</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640" w:type="dxa"/>
            <w:vAlign w:val="bottom"/>
            <w:gridSpan w:val="2"/>
          </w:tcPr>
          <w:p>
            <w:pPr>
              <w:spacing w:after="0"/>
              <w:rPr>
                <w:sz w:val="20"/>
                <w:szCs w:val="20"/>
                <w:color w:val="auto"/>
              </w:rPr>
            </w:pPr>
            <w:r>
              <w:rPr>
                <w:rFonts w:ascii="Arial" w:cs="Arial" w:eastAsia="Arial" w:hAnsi="Arial"/>
                <w:sz w:val="18"/>
                <w:szCs w:val="18"/>
                <w:color w:val="auto"/>
              </w:rPr>
              <w:t>Warranties and performance guarantees issued</w:t>
            </w:r>
          </w:p>
        </w:tc>
        <w:tc>
          <w:tcPr>
            <w:tcW w:w="4200" w:type="dxa"/>
            <w:vAlign w:val="bottom"/>
            <w:gridSpan w:val="3"/>
          </w:tcPr>
          <w:p>
            <w:pPr>
              <w:jc w:val="right"/>
              <w:ind w:right="300"/>
              <w:spacing w:after="0"/>
              <w:rPr>
                <w:sz w:val="20"/>
                <w:szCs w:val="20"/>
                <w:color w:val="auto"/>
              </w:rPr>
            </w:pPr>
            <w:r>
              <w:rPr>
                <w:rFonts w:ascii="Arial" w:cs="Arial" w:eastAsia="Arial" w:hAnsi="Arial"/>
                <w:sz w:val="18"/>
                <w:szCs w:val="18"/>
                <w:color w:val="auto"/>
              </w:rPr>
              <w:t>285</w:t>
            </w:r>
          </w:p>
        </w:tc>
        <w:tc>
          <w:tcPr>
            <w:tcW w:w="500" w:type="dxa"/>
            <w:vAlign w:val="bottom"/>
          </w:tcPr>
          <w:p>
            <w:pPr>
              <w:jc w:val="right"/>
              <w:spacing w:after="0"/>
              <w:rPr>
                <w:sz w:val="20"/>
                <w:szCs w:val="20"/>
                <w:color w:val="auto"/>
              </w:rPr>
            </w:pPr>
            <w:r>
              <w:rPr>
                <w:rFonts w:ascii="Arial" w:cs="Arial" w:eastAsia="Arial" w:hAnsi="Arial"/>
                <w:sz w:val="18"/>
                <w:szCs w:val="18"/>
                <w:color w:val="auto"/>
              </w:rPr>
              <w:t>172</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6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Settlements made</w:t>
            </w:r>
          </w:p>
        </w:tc>
        <w:tc>
          <w:tcPr>
            <w:tcW w:w="4200" w:type="dxa"/>
            <w:vAlign w:val="bottom"/>
            <w:gridSpan w:val="3"/>
            <w:shd w:val="clear" w:color="auto" w:fill="CCEEFF"/>
          </w:tcPr>
          <w:p>
            <w:pPr>
              <w:jc w:val="right"/>
              <w:ind w:right="240"/>
              <w:spacing w:after="0"/>
              <w:rPr>
                <w:sz w:val="20"/>
                <w:szCs w:val="20"/>
                <w:color w:val="auto"/>
              </w:rPr>
            </w:pPr>
            <w:r>
              <w:rPr>
                <w:rFonts w:ascii="Arial" w:cs="Arial" w:eastAsia="Arial" w:hAnsi="Arial"/>
                <w:sz w:val="18"/>
                <w:szCs w:val="18"/>
                <w:color w:val="auto"/>
              </w:rPr>
              <w:t>(318)</w:t>
            </w:r>
          </w:p>
        </w:tc>
        <w:tc>
          <w:tcPr>
            <w:tcW w:w="5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(255)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640" w:type="dxa"/>
            <w:vAlign w:val="bottom"/>
            <w:gridSpan w:val="2"/>
          </w:tcPr>
          <w:p>
            <w:pPr>
              <w:spacing w:after="0"/>
              <w:rPr>
                <w:sz w:val="20"/>
                <w:szCs w:val="20"/>
                <w:color w:val="auto"/>
              </w:rPr>
            </w:pPr>
            <w:r>
              <w:rPr>
                <w:rFonts w:ascii="Arial" w:cs="Arial" w:eastAsia="Arial" w:hAnsi="Arial"/>
                <w:sz w:val="18"/>
                <w:szCs w:val="18"/>
                <w:color w:val="auto"/>
              </w:rPr>
              <w:t>Other</w:t>
            </w:r>
          </w:p>
        </w:tc>
        <w:tc>
          <w:tcPr>
            <w:tcW w:w="3400" w:type="dxa"/>
            <w:vAlign w:val="bottom"/>
          </w:tcPr>
          <w:p>
            <w:pPr>
              <w:spacing w:after="0"/>
              <w:rPr>
                <w:sz w:val="18"/>
                <w:szCs w:val="18"/>
                <w:color w:val="auto"/>
              </w:rPr>
            </w:pPr>
          </w:p>
        </w:tc>
        <w:tc>
          <w:tcPr>
            <w:tcW w:w="800" w:type="dxa"/>
            <w:vAlign w:val="bottom"/>
            <w:gridSpan w:val="2"/>
          </w:tcPr>
          <w:p>
            <w:pPr>
              <w:jc w:val="right"/>
              <w:ind w:right="300"/>
              <w:spacing w:after="0"/>
              <w:rPr>
                <w:sz w:val="20"/>
                <w:szCs w:val="20"/>
                <w:color w:val="auto"/>
              </w:rPr>
            </w:pPr>
            <w:r>
              <w:rPr>
                <w:rFonts w:ascii="Arial" w:cs="Arial" w:eastAsia="Arial" w:hAnsi="Arial"/>
                <w:sz w:val="18"/>
                <w:szCs w:val="18"/>
                <w:color w:val="auto"/>
              </w:rPr>
              <w:t>18</w:t>
            </w:r>
          </w:p>
        </w:tc>
        <w:tc>
          <w:tcPr>
            <w:tcW w:w="500" w:type="dxa"/>
            <w:vAlign w:val="bottom"/>
          </w:tcPr>
          <w:p>
            <w:pPr>
              <w:jc w:val="right"/>
              <w:spacing w:after="0"/>
              <w:rPr>
                <w:sz w:val="20"/>
                <w:szCs w:val="20"/>
                <w:color w:val="auto"/>
              </w:rPr>
            </w:pPr>
            <w:r>
              <w:rPr>
                <w:rFonts w:ascii="Arial" w:cs="Arial" w:eastAsia="Arial" w:hAnsi="Arial"/>
                <w:sz w:val="18"/>
                <w:szCs w:val="18"/>
                <w:color w:val="auto"/>
              </w:rPr>
              <w:t>6</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1340" w:type="dxa"/>
            <w:vAlign w:val="bottom"/>
          </w:tcPr>
          <w:p>
            <w:pPr>
              <w:spacing w:after="0"/>
              <w:rPr>
                <w:sz w:val="2"/>
                <w:szCs w:val="2"/>
                <w:color w:val="auto"/>
              </w:rPr>
            </w:pPr>
          </w:p>
        </w:tc>
        <w:tc>
          <w:tcPr>
            <w:tcW w:w="5300" w:type="dxa"/>
            <w:vAlign w:val="bottom"/>
          </w:tcPr>
          <w:p>
            <w:pPr>
              <w:spacing w:after="0"/>
              <w:rPr>
                <w:sz w:val="2"/>
                <w:szCs w:val="2"/>
                <w:color w:val="auto"/>
              </w:rPr>
            </w:pPr>
          </w:p>
        </w:tc>
        <w:tc>
          <w:tcPr>
            <w:tcW w:w="3400" w:type="dxa"/>
            <w:vAlign w:val="bottom"/>
          </w:tcPr>
          <w:p>
            <w:pPr>
              <w:spacing w:after="0"/>
              <w:rPr>
                <w:sz w:val="2"/>
                <w:szCs w:val="2"/>
                <w:color w:val="auto"/>
              </w:rPr>
            </w:pPr>
          </w:p>
        </w:tc>
        <w:tc>
          <w:tcPr>
            <w:tcW w:w="500" w:type="dxa"/>
            <w:vAlign w:val="bottom"/>
            <w:shd w:val="clear" w:color="auto" w:fill="000000"/>
          </w:tcPr>
          <w:p>
            <w:pPr>
              <w:spacing w:after="0"/>
              <w:rPr>
                <w:sz w:val="2"/>
                <w:szCs w:val="2"/>
                <w:color w:val="auto"/>
              </w:rPr>
            </w:pPr>
          </w:p>
        </w:tc>
        <w:tc>
          <w:tcPr>
            <w:tcW w:w="300" w:type="dxa"/>
            <w:vAlign w:val="bottom"/>
          </w:tcPr>
          <w:p>
            <w:pPr>
              <w:spacing w:after="0"/>
              <w:rPr>
                <w:sz w:val="2"/>
                <w:szCs w:val="2"/>
                <w:color w:val="auto"/>
              </w:rPr>
            </w:pPr>
          </w:p>
        </w:tc>
        <w:tc>
          <w:tcPr>
            <w:tcW w:w="500" w:type="dxa"/>
            <w:vAlign w:val="bottom"/>
            <w:shd w:val="clear" w:color="auto" w:fill="000000"/>
          </w:tcPr>
          <w:p>
            <w:pPr>
              <w:spacing w:after="0"/>
              <w:rPr>
                <w:sz w:val="2"/>
                <w:szCs w:val="2"/>
                <w:color w:val="auto"/>
              </w:rPr>
            </w:pPr>
          </w:p>
        </w:tc>
        <w:tc>
          <w:tcPr>
            <w:tcW w:w="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66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Balance as of June 30</w:t>
            </w:r>
          </w:p>
        </w:tc>
        <w:tc>
          <w:tcPr>
            <w:tcW w:w="340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u w:val="single" w:color="auto"/>
                <w:color w:val="auto"/>
                <w:w w:val="87"/>
              </w:rPr>
              <w:t>$</w:t>
            </w:r>
            <w:r>
              <w:rPr>
                <w:rFonts w:ascii="Arial" w:cs="Arial" w:eastAsia="Arial" w:hAnsi="Arial"/>
                <w:sz w:val="18"/>
                <w:szCs w:val="18"/>
                <w:color w:val="auto"/>
                <w:w w:val="87"/>
              </w:rPr>
              <w:t>1,237</w:t>
            </w: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u w:val="single" w:color="auto"/>
                <w:color w:val="auto"/>
                <w:w w:val="87"/>
              </w:rPr>
              <w:t>$</w:t>
            </w:r>
            <w:r>
              <w:rPr>
                <w:rFonts w:ascii="Arial" w:cs="Arial" w:eastAsia="Arial" w:hAnsi="Arial"/>
                <w:sz w:val="18"/>
                <w:szCs w:val="18"/>
                <w:color w:val="auto"/>
                <w:w w:val="87"/>
              </w:rPr>
              <w:t>1,244</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340" w:type="dxa"/>
            <w:vAlign w:val="bottom"/>
          </w:tcPr>
          <w:p>
            <w:pPr>
              <w:spacing w:after="0" w:line="20" w:lineRule="exact"/>
              <w:rPr>
                <w:sz w:val="1"/>
                <w:szCs w:val="1"/>
                <w:color w:val="auto"/>
              </w:rPr>
            </w:pPr>
          </w:p>
        </w:tc>
        <w:tc>
          <w:tcPr>
            <w:tcW w:w="5300" w:type="dxa"/>
            <w:vAlign w:val="bottom"/>
          </w:tcPr>
          <w:p>
            <w:pPr>
              <w:spacing w:after="0" w:line="20" w:lineRule="exact"/>
              <w:rPr>
                <w:sz w:val="1"/>
                <w:szCs w:val="1"/>
                <w:color w:val="auto"/>
              </w:rPr>
            </w:pPr>
          </w:p>
        </w:tc>
        <w:tc>
          <w:tcPr>
            <w:tcW w:w="3400" w:type="dxa"/>
            <w:vAlign w:val="bottom"/>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4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11: Fair Value Measurement</w:t>
      </w:r>
    </w:p>
    <w:p>
      <w:pPr>
        <w:spacing w:after="0" w:line="96" w:lineRule="exact"/>
        <w:rPr>
          <w:sz w:val="20"/>
          <w:szCs w:val="20"/>
          <w:color w:val="auto"/>
        </w:rPr>
      </w:pPr>
    </w:p>
    <w:p>
      <w:pPr>
        <w:ind w:right="60" w:firstLine="456"/>
        <w:spacing w:after="0" w:line="254" w:lineRule="auto"/>
        <w:rPr>
          <w:sz w:val="20"/>
          <w:szCs w:val="20"/>
          <w:color w:val="auto"/>
        </w:rPr>
      </w:pPr>
      <w:r>
        <w:rPr>
          <w:rFonts w:ascii="Arial" w:cs="Arial" w:eastAsia="Arial" w:hAnsi="Arial"/>
          <w:sz w:val="18"/>
          <w:szCs w:val="18"/>
          <w:color w:val="auto"/>
        </w:rPr>
        <w:t>In September 2006, the FASB issued SFAS No. 157, “Fair Value Measurements” (SFAS 157), which is effective for fiscal years beginning after November 15, 2007 and for interim periods within those years. This statement defines fair value, establishes a framework for measuring fair value and expands the related disclosure requirements. This statement applies under other accounting pronouncements that require or permit fair value measurements. The statement indicates, among other things, that a fair value measurement assumes that the transaction to sell an asset or transfer a liability occurs in the principal market for the asset or liability or, in the absence of a principal market, the most advantageous market for the asset or liability. SFAS 157 defines fair value based upon an exit price model.</w:t>
      </w:r>
    </w:p>
    <w:p>
      <w:pPr>
        <w:spacing w:after="0" w:line="144" w:lineRule="exact"/>
        <w:rPr>
          <w:sz w:val="20"/>
          <w:szCs w:val="20"/>
          <w:color w:val="auto"/>
        </w:rPr>
      </w:pPr>
    </w:p>
    <w:p>
      <w:pPr>
        <w:jc w:val="both"/>
        <w:ind w:right="80" w:firstLine="456"/>
        <w:spacing w:after="0" w:line="256" w:lineRule="auto"/>
        <w:rPr>
          <w:sz w:val="20"/>
          <w:szCs w:val="20"/>
          <w:color w:val="auto"/>
        </w:rPr>
      </w:pPr>
      <w:r>
        <w:rPr>
          <w:rFonts w:ascii="Arial" w:cs="Arial" w:eastAsia="Arial" w:hAnsi="Arial"/>
          <w:sz w:val="18"/>
          <w:szCs w:val="18"/>
          <w:color w:val="auto"/>
        </w:rPr>
        <w:t>Relative to SFAS 157, the FASB issued FASB Staff Positions (FSP) 157-1 and 157-2. FSP 157-1 amends SFAS 157 to exclude SFAS No. 13, “Accounting for Leases” (SFAS 13), and its related interpretive accounting pronouncements that address leasing transactions, while FSP 157-2 delays the effective date of the application of SFAS 157 to fiscal years beginning after November 15, 2008 for all nonfinancial assets and nonfinancial liabilities that are recognized or disclosed at fair value in the financial statements on a nonrecurring basis.</w:t>
      </w:r>
    </w:p>
    <w:p>
      <w:pPr>
        <w:spacing w:after="0" w:line="13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14</w:t>
      </w:r>
    </w:p>
    <w:p>
      <w:pPr>
        <w:sectPr>
          <w:pgSz w:w="11900" w:h="16838" w:orient="portrait"/>
          <w:cols w:equalWidth="0" w:num="1">
            <w:col w:w="11420"/>
          </w:cols>
          <w:pgMar w:left="240" w:top="459" w:right="239" w:bottom="1440" w:gutter="0" w:footer="0" w:header="0"/>
        </w:sectPr>
      </w:pPr>
    </w:p>
    <w:bookmarkStart w:id="14" w:name="page15"/>
    <w:bookmarkEnd w:id="1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60" w:firstLine="456"/>
        <w:spacing w:after="0" w:line="298" w:lineRule="auto"/>
        <w:rPr>
          <w:sz w:val="20"/>
          <w:szCs w:val="20"/>
          <w:color w:val="auto"/>
        </w:rPr>
      </w:pPr>
      <w:r>
        <w:rPr>
          <w:rFonts w:ascii="Arial" w:cs="Arial" w:eastAsia="Arial" w:hAnsi="Arial"/>
          <w:sz w:val="16"/>
          <w:szCs w:val="16"/>
          <w:color w:val="auto"/>
        </w:rPr>
        <w:t>We adopted SFAS 157 as of January 1, 2008, with the exception of the application of the statement to non-recurring nonfinancial assets and nonfinancial liabilities. Non-recurring nonfinancial assets and nonfinancial liabilities for which we have not applied the provisions of SFAS 157 include those measured at fair value in goodwill impairment testing, indefinite lived intangible assets measured at fair value for impairment testing, asset retirement obligations initially measured at fair value, and those non-recurring nonfinancial assets and nonfinancial liabilities initially measured at fair value in a business combination.</w:t>
      </w:r>
    </w:p>
    <w:p>
      <w:pPr>
        <w:spacing w:after="0" w:line="107" w:lineRule="exact"/>
        <w:rPr>
          <w:sz w:val="20"/>
          <w:szCs w:val="20"/>
          <w:color w:val="auto"/>
        </w:rPr>
      </w:pPr>
    </w:p>
    <w:p>
      <w:pPr>
        <w:ind w:firstLine="456"/>
        <w:spacing w:after="0" w:line="255" w:lineRule="auto"/>
        <w:rPr>
          <w:sz w:val="20"/>
          <w:szCs w:val="20"/>
          <w:color w:val="auto"/>
        </w:rPr>
      </w:pPr>
      <w:r>
        <w:rPr>
          <w:rFonts w:ascii="Arial" w:cs="Arial" w:eastAsia="Arial" w:hAnsi="Arial"/>
          <w:sz w:val="18"/>
          <w:szCs w:val="18"/>
          <w:b w:val="1"/>
          <w:bCs w:val="1"/>
          <w:color w:val="auto"/>
        </w:rPr>
        <w:t xml:space="preserve">Valuation Hierarchy. </w:t>
      </w:r>
      <w:r>
        <w:rPr>
          <w:rFonts w:ascii="Arial" w:cs="Arial" w:eastAsia="Arial" w:hAnsi="Arial"/>
          <w:sz w:val="18"/>
          <w:szCs w:val="18"/>
          <w:color w:val="auto"/>
        </w:rPr>
        <w:t>SFAS 157 establishes a valuation hierarchy for disclosure of the inputs to valuation used to measure fair value. This hierarchy</w:t>
      </w:r>
      <w:r>
        <w:rPr>
          <w:rFonts w:ascii="Arial" w:cs="Arial" w:eastAsia="Arial" w:hAnsi="Arial"/>
          <w:sz w:val="18"/>
          <w:szCs w:val="18"/>
          <w:b w:val="1"/>
          <w:bCs w:val="1"/>
          <w:color w:val="auto"/>
        </w:rPr>
        <w:t xml:space="preserve"> </w:t>
      </w:r>
      <w:r>
        <w:rPr>
          <w:rFonts w:ascii="Arial" w:cs="Arial" w:eastAsia="Arial" w:hAnsi="Arial"/>
          <w:sz w:val="18"/>
          <w:szCs w:val="18"/>
          <w:color w:val="auto"/>
        </w:rPr>
        <w:t>prioritizes the inputs into three broad levels as follows. Level 1 inputs are quoted prices (unadjusted) in active markets for identical assets or liabilities. Level 2 inputs are quoted prices for similar assets and liabilities in active markets or inputs that are observable for the asset or liability, either directly or indirectly through market corroboration, for substantially the full term of the financial instrument. Level 3 inputs are unobservable inputs based on our own assumptions used to measure assets and liabilities at fair value. A financial asset or liability’s classification within the hierarchy is determined based on the lowest level input that is significant to the fair value measurement.</w:t>
      </w:r>
    </w:p>
    <w:p>
      <w:pPr>
        <w:spacing w:after="0" w:line="145"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following table provides the assets and liabilities carried at fair value as measured on a recurring basis as of June 30, 2008:</w:t>
      </w:r>
    </w:p>
    <w:p>
      <w:pPr>
        <w:spacing w:after="0" w:line="195"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2540" w:type="dxa"/>
            <w:vAlign w:val="bottom"/>
          </w:tcPr>
          <w:p>
            <w:pPr>
              <w:spacing w:after="0"/>
              <w:rPr>
                <w:sz w:val="14"/>
                <w:szCs w:val="14"/>
                <w:color w:val="auto"/>
              </w:rPr>
            </w:pPr>
          </w:p>
        </w:tc>
        <w:tc>
          <w:tcPr>
            <w:tcW w:w="19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980" w:type="dxa"/>
            <w:vAlign w:val="bottom"/>
            <w:gridSpan w:val="2"/>
          </w:tcPr>
          <w:p>
            <w:pPr>
              <w:jc w:val="center"/>
              <w:spacing w:after="0"/>
              <w:rPr>
                <w:sz w:val="20"/>
                <w:szCs w:val="20"/>
                <w:color w:val="auto"/>
              </w:rPr>
            </w:pPr>
            <w:r>
              <w:rPr>
                <w:rFonts w:ascii="Arial" w:cs="Arial" w:eastAsia="Arial" w:hAnsi="Arial"/>
                <w:sz w:val="14"/>
                <w:szCs w:val="14"/>
                <w:b w:val="1"/>
                <w:bCs w:val="1"/>
                <w:color w:val="auto"/>
                <w:w w:val="88"/>
              </w:rPr>
              <w:t>Significant other</w:t>
            </w:r>
          </w:p>
        </w:tc>
        <w:tc>
          <w:tcPr>
            <w:tcW w:w="660" w:type="dxa"/>
            <w:vAlign w:val="bottom"/>
          </w:tcPr>
          <w:p>
            <w:pPr>
              <w:spacing w:after="0"/>
              <w:rPr>
                <w:sz w:val="14"/>
                <w:szCs w:val="14"/>
                <w:color w:val="auto"/>
              </w:rPr>
            </w:pPr>
          </w:p>
        </w:tc>
        <w:tc>
          <w:tcPr>
            <w:tcW w:w="780" w:type="dxa"/>
            <w:vAlign w:val="bottom"/>
            <w:gridSpan w:val="2"/>
          </w:tcPr>
          <w:p>
            <w:pPr>
              <w:jc w:val="center"/>
              <w:spacing w:after="0"/>
              <w:rPr>
                <w:sz w:val="20"/>
                <w:szCs w:val="20"/>
                <w:color w:val="auto"/>
              </w:rPr>
            </w:pPr>
            <w:r>
              <w:rPr>
                <w:rFonts w:ascii="Arial" w:cs="Arial" w:eastAsia="Arial" w:hAnsi="Arial"/>
                <w:sz w:val="14"/>
                <w:szCs w:val="14"/>
                <w:b w:val="1"/>
                <w:bCs w:val="1"/>
                <w:color w:val="auto"/>
                <w:w w:val="86"/>
              </w:rPr>
              <w:t>Significant</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340" w:type="dxa"/>
            <w:vAlign w:val="bottom"/>
          </w:tcPr>
          <w:p>
            <w:pPr>
              <w:spacing w:after="0"/>
              <w:rPr>
                <w:sz w:val="12"/>
                <w:szCs w:val="12"/>
                <w:color w:val="auto"/>
              </w:rPr>
            </w:pPr>
          </w:p>
        </w:tc>
        <w:tc>
          <w:tcPr>
            <w:tcW w:w="2540" w:type="dxa"/>
            <w:vAlign w:val="bottom"/>
          </w:tcPr>
          <w:p>
            <w:pPr>
              <w:spacing w:after="0"/>
              <w:rPr>
                <w:sz w:val="12"/>
                <w:szCs w:val="12"/>
                <w:color w:val="auto"/>
              </w:rPr>
            </w:pPr>
          </w:p>
        </w:tc>
        <w:tc>
          <w:tcPr>
            <w:tcW w:w="1960" w:type="dxa"/>
            <w:vAlign w:val="bottom"/>
          </w:tcPr>
          <w:p>
            <w:pPr>
              <w:spacing w:after="0"/>
              <w:rPr>
                <w:sz w:val="12"/>
                <w:szCs w:val="12"/>
                <w:color w:val="auto"/>
              </w:rPr>
            </w:pPr>
          </w:p>
        </w:tc>
        <w:tc>
          <w:tcPr>
            <w:tcW w:w="1200" w:type="dxa"/>
            <w:vAlign w:val="bottom"/>
            <w:gridSpan w:val="3"/>
          </w:tcPr>
          <w:p>
            <w:pPr>
              <w:jc w:val="center"/>
              <w:ind w:right="340"/>
              <w:spacing w:after="0" w:line="149" w:lineRule="exact"/>
              <w:rPr>
                <w:sz w:val="20"/>
                <w:szCs w:val="20"/>
                <w:color w:val="auto"/>
              </w:rPr>
            </w:pPr>
            <w:r>
              <w:rPr>
                <w:rFonts w:ascii="Arial" w:cs="Arial" w:eastAsia="Arial" w:hAnsi="Arial"/>
                <w:sz w:val="14"/>
                <w:szCs w:val="14"/>
                <w:b w:val="1"/>
                <w:bCs w:val="1"/>
                <w:color w:val="auto"/>
                <w:w w:val="90"/>
              </w:rPr>
              <w:t>Total Carrying</w:t>
            </w:r>
          </w:p>
        </w:tc>
        <w:tc>
          <w:tcPr>
            <w:tcW w:w="320" w:type="dxa"/>
            <w:vAlign w:val="bottom"/>
          </w:tcPr>
          <w:p>
            <w:pPr>
              <w:spacing w:after="0"/>
              <w:rPr>
                <w:sz w:val="12"/>
                <w:szCs w:val="12"/>
                <w:color w:val="auto"/>
              </w:rPr>
            </w:pPr>
          </w:p>
        </w:tc>
        <w:tc>
          <w:tcPr>
            <w:tcW w:w="1620" w:type="dxa"/>
            <w:vAlign w:val="bottom"/>
            <w:gridSpan w:val="3"/>
          </w:tcPr>
          <w:p>
            <w:pPr>
              <w:jc w:val="center"/>
              <w:ind w:right="660"/>
              <w:spacing w:after="0" w:line="149" w:lineRule="exact"/>
              <w:rPr>
                <w:sz w:val="20"/>
                <w:szCs w:val="20"/>
                <w:color w:val="auto"/>
              </w:rPr>
            </w:pPr>
            <w:r>
              <w:rPr>
                <w:rFonts w:ascii="Arial" w:cs="Arial" w:eastAsia="Arial" w:hAnsi="Arial"/>
                <w:sz w:val="14"/>
                <w:szCs w:val="14"/>
                <w:b w:val="1"/>
                <w:bCs w:val="1"/>
                <w:color w:val="auto"/>
                <w:w w:val="86"/>
              </w:rPr>
              <w:t>Quoted prices in</w:t>
            </w:r>
          </w:p>
        </w:tc>
        <w:tc>
          <w:tcPr>
            <w:tcW w:w="140" w:type="dxa"/>
            <w:vAlign w:val="bottom"/>
          </w:tcPr>
          <w:p>
            <w:pPr>
              <w:spacing w:after="0"/>
              <w:rPr>
                <w:sz w:val="12"/>
                <w:szCs w:val="12"/>
                <w:color w:val="auto"/>
              </w:rPr>
            </w:pPr>
          </w:p>
        </w:tc>
        <w:tc>
          <w:tcPr>
            <w:tcW w:w="840" w:type="dxa"/>
            <w:vAlign w:val="bottom"/>
          </w:tcPr>
          <w:p>
            <w:pPr>
              <w:jc w:val="center"/>
              <w:ind w:right="62"/>
              <w:spacing w:after="0" w:line="149" w:lineRule="exact"/>
              <w:rPr>
                <w:sz w:val="20"/>
                <w:szCs w:val="20"/>
                <w:color w:val="auto"/>
              </w:rPr>
            </w:pPr>
            <w:r>
              <w:rPr>
                <w:rFonts w:ascii="Arial" w:cs="Arial" w:eastAsia="Arial" w:hAnsi="Arial"/>
                <w:sz w:val="14"/>
                <w:szCs w:val="14"/>
                <w:b w:val="1"/>
                <w:bCs w:val="1"/>
                <w:color w:val="auto"/>
                <w:w w:val="83"/>
              </w:rPr>
              <w:t>observable</w:t>
            </w:r>
          </w:p>
        </w:tc>
        <w:tc>
          <w:tcPr>
            <w:tcW w:w="660" w:type="dxa"/>
            <w:vAlign w:val="bottom"/>
          </w:tcPr>
          <w:p>
            <w:pPr>
              <w:spacing w:after="0"/>
              <w:rPr>
                <w:sz w:val="12"/>
                <w:szCs w:val="12"/>
                <w:color w:val="auto"/>
              </w:rPr>
            </w:pPr>
          </w:p>
        </w:tc>
        <w:tc>
          <w:tcPr>
            <w:tcW w:w="780" w:type="dxa"/>
            <w:vAlign w:val="bottom"/>
            <w:gridSpan w:val="2"/>
          </w:tcPr>
          <w:p>
            <w:pPr>
              <w:jc w:val="center"/>
              <w:spacing w:after="0" w:line="149" w:lineRule="exact"/>
              <w:rPr>
                <w:sz w:val="20"/>
                <w:szCs w:val="20"/>
                <w:color w:val="auto"/>
              </w:rPr>
            </w:pPr>
            <w:r>
              <w:rPr>
                <w:rFonts w:ascii="Arial" w:cs="Arial" w:eastAsia="Arial" w:hAnsi="Arial"/>
                <w:sz w:val="14"/>
                <w:szCs w:val="14"/>
                <w:b w:val="1"/>
                <w:bCs w:val="1"/>
                <w:color w:val="auto"/>
                <w:w w:val="85"/>
              </w:rPr>
              <w:t>unobservable</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340" w:type="dxa"/>
            <w:vAlign w:val="bottom"/>
          </w:tcPr>
          <w:p>
            <w:pPr>
              <w:spacing w:after="0"/>
              <w:rPr>
                <w:sz w:val="12"/>
                <w:szCs w:val="12"/>
                <w:color w:val="auto"/>
              </w:rPr>
            </w:pPr>
          </w:p>
        </w:tc>
        <w:tc>
          <w:tcPr>
            <w:tcW w:w="2540" w:type="dxa"/>
            <w:vAlign w:val="bottom"/>
          </w:tcPr>
          <w:p>
            <w:pPr>
              <w:spacing w:after="0"/>
              <w:rPr>
                <w:sz w:val="12"/>
                <w:szCs w:val="12"/>
                <w:color w:val="auto"/>
              </w:rPr>
            </w:pPr>
          </w:p>
        </w:tc>
        <w:tc>
          <w:tcPr>
            <w:tcW w:w="19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060" w:type="dxa"/>
            <w:vAlign w:val="bottom"/>
            <w:gridSpan w:val="2"/>
          </w:tcPr>
          <w:p>
            <w:pPr>
              <w:jc w:val="center"/>
              <w:ind w:right="480"/>
              <w:spacing w:after="0" w:line="149" w:lineRule="exact"/>
              <w:rPr>
                <w:sz w:val="20"/>
                <w:szCs w:val="20"/>
                <w:color w:val="auto"/>
              </w:rPr>
            </w:pPr>
            <w:r>
              <w:rPr>
                <w:rFonts w:ascii="Arial" w:cs="Arial" w:eastAsia="Arial" w:hAnsi="Arial"/>
                <w:sz w:val="14"/>
                <w:szCs w:val="14"/>
                <w:b w:val="1"/>
                <w:bCs w:val="1"/>
                <w:color w:val="auto"/>
                <w:w w:val="85"/>
              </w:rPr>
              <w:t>Value at</w:t>
            </w:r>
          </w:p>
        </w:tc>
        <w:tc>
          <w:tcPr>
            <w:tcW w:w="320" w:type="dxa"/>
            <w:vAlign w:val="bottom"/>
          </w:tcPr>
          <w:p>
            <w:pPr>
              <w:spacing w:after="0"/>
              <w:rPr>
                <w:sz w:val="12"/>
                <w:szCs w:val="12"/>
                <w:color w:val="auto"/>
              </w:rPr>
            </w:pPr>
          </w:p>
        </w:tc>
        <w:tc>
          <w:tcPr>
            <w:tcW w:w="1620" w:type="dxa"/>
            <w:vAlign w:val="bottom"/>
            <w:gridSpan w:val="3"/>
          </w:tcPr>
          <w:p>
            <w:pPr>
              <w:jc w:val="center"/>
              <w:ind w:right="660"/>
              <w:spacing w:after="0" w:line="149" w:lineRule="exact"/>
              <w:rPr>
                <w:sz w:val="20"/>
                <w:szCs w:val="20"/>
                <w:color w:val="auto"/>
              </w:rPr>
            </w:pPr>
            <w:r>
              <w:rPr>
                <w:rFonts w:ascii="Arial" w:cs="Arial" w:eastAsia="Arial" w:hAnsi="Arial"/>
                <w:sz w:val="14"/>
                <w:szCs w:val="14"/>
                <w:b w:val="1"/>
                <w:bCs w:val="1"/>
                <w:color w:val="auto"/>
                <w:w w:val="86"/>
              </w:rPr>
              <w:t>active markets</w:t>
            </w:r>
          </w:p>
        </w:tc>
        <w:tc>
          <w:tcPr>
            <w:tcW w:w="140" w:type="dxa"/>
            <w:vAlign w:val="bottom"/>
          </w:tcPr>
          <w:p>
            <w:pPr>
              <w:spacing w:after="0"/>
              <w:rPr>
                <w:sz w:val="12"/>
                <w:szCs w:val="12"/>
                <w:color w:val="auto"/>
              </w:rPr>
            </w:pPr>
          </w:p>
        </w:tc>
        <w:tc>
          <w:tcPr>
            <w:tcW w:w="840" w:type="dxa"/>
            <w:vAlign w:val="bottom"/>
          </w:tcPr>
          <w:p>
            <w:pPr>
              <w:jc w:val="center"/>
              <w:ind w:right="82"/>
              <w:spacing w:after="0" w:line="149" w:lineRule="exact"/>
              <w:rPr>
                <w:sz w:val="20"/>
                <w:szCs w:val="20"/>
                <w:color w:val="auto"/>
              </w:rPr>
            </w:pPr>
            <w:r>
              <w:rPr>
                <w:rFonts w:ascii="Arial" w:cs="Arial" w:eastAsia="Arial" w:hAnsi="Arial"/>
                <w:sz w:val="14"/>
                <w:szCs w:val="14"/>
                <w:b w:val="1"/>
                <w:bCs w:val="1"/>
                <w:color w:val="auto"/>
                <w:w w:val="85"/>
              </w:rPr>
              <w:t>inputs</w:t>
            </w:r>
          </w:p>
        </w:tc>
        <w:tc>
          <w:tcPr>
            <w:tcW w:w="6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80" w:type="dxa"/>
            <w:vAlign w:val="bottom"/>
          </w:tcPr>
          <w:p>
            <w:pPr>
              <w:jc w:val="center"/>
              <w:ind w:right="40"/>
              <w:spacing w:after="0" w:line="149" w:lineRule="exact"/>
              <w:rPr>
                <w:sz w:val="20"/>
                <w:szCs w:val="20"/>
                <w:color w:val="auto"/>
              </w:rPr>
            </w:pPr>
            <w:r>
              <w:rPr>
                <w:rFonts w:ascii="Arial" w:cs="Arial" w:eastAsia="Arial" w:hAnsi="Arial"/>
                <w:sz w:val="14"/>
                <w:szCs w:val="14"/>
                <w:b w:val="1"/>
                <w:bCs w:val="1"/>
                <w:color w:val="auto"/>
                <w:w w:val="85"/>
              </w:rPr>
              <w:t>inputs</w:t>
            </w:r>
          </w:p>
        </w:tc>
        <w:tc>
          <w:tcPr>
            <w:tcW w:w="0" w:type="dxa"/>
            <w:vAlign w:val="bottom"/>
          </w:tcPr>
          <w:p>
            <w:pPr>
              <w:spacing w:after="0"/>
              <w:rPr>
                <w:sz w:val="1"/>
                <w:szCs w:val="1"/>
                <w:color w:val="auto"/>
              </w:rPr>
            </w:pPr>
          </w:p>
        </w:tc>
      </w:tr>
      <w:tr>
        <w:trPr>
          <w:trHeight w:val="161"/>
        </w:trPr>
        <w:tc>
          <w:tcPr>
            <w:tcW w:w="3900" w:type="dxa"/>
            <w:vAlign w:val="bottom"/>
            <w:gridSpan w:val="3"/>
          </w:tcPr>
          <w:p>
            <w:pPr>
              <w:spacing w:after="0"/>
              <w:rPr>
                <w:sz w:val="20"/>
                <w:szCs w:val="20"/>
                <w:color w:val="auto"/>
              </w:rPr>
            </w:pPr>
            <w:r>
              <w:rPr>
                <w:rFonts w:ascii="Arial" w:cs="Arial" w:eastAsia="Arial" w:hAnsi="Arial"/>
                <w:sz w:val="14"/>
                <w:szCs w:val="14"/>
                <w:b w:val="1"/>
                <w:bCs w:val="1"/>
                <w:color w:val="auto"/>
              </w:rPr>
              <w:t>(in millions of dollars)</w:t>
            </w:r>
          </w:p>
        </w:tc>
        <w:tc>
          <w:tcPr>
            <w:tcW w:w="1960" w:type="dxa"/>
            <w:vAlign w:val="bottom"/>
          </w:tcPr>
          <w:p>
            <w:pPr>
              <w:spacing w:after="0"/>
              <w:rPr>
                <w:sz w:val="14"/>
                <w:szCs w:val="14"/>
                <w:color w:val="auto"/>
              </w:rPr>
            </w:pPr>
          </w:p>
        </w:tc>
        <w:tc>
          <w:tcPr>
            <w:tcW w:w="1200" w:type="dxa"/>
            <w:vAlign w:val="bottom"/>
            <w:gridSpan w:val="3"/>
          </w:tcPr>
          <w:p>
            <w:pPr>
              <w:jc w:val="center"/>
              <w:ind w:right="340"/>
              <w:spacing w:after="0"/>
              <w:rPr>
                <w:sz w:val="20"/>
                <w:szCs w:val="20"/>
                <w:color w:val="auto"/>
              </w:rPr>
            </w:pPr>
            <w:r>
              <w:rPr>
                <w:rFonts w:ascii="Arial" w:cs="Arial" w:eastAsia="Arial" w:hAnsi="Arial"/>
                <w:sz w:val="14"/>
                <w:szCs w:val="14"/>
                <w:b w:val="1"/>
                <w:bCs w:val="1"/>
                <w:color w:val="auto"/>
                <w:w w:val="85"/>
              </w:rPr>
              <w:t>June 30, 2008</w:t>
            </w:r>
          </w:p>
        </w:tc>
        <w:tc>
          <w:tcPr>
            <w:tcW w:w="3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460" w:type="dxa"/>
            <w:vAlign w:val="bottom"/>
            <w:gridSpan w:val="2"/>
          </w:tcPr>
          <w:p>
            <w:pPr>
              <w:jc w:val="center"/>
              <w:ind w:right="820"/>
              <w:spacing w:after="0"/>
              <w:rPr>
                <w:sz w:val="20"/>
                <w:szCs w:val="20"/>
                <w:color w:val="auto"/>
              </w:rPr>
            </w:pPr>
            <w:r>
              <w:rPr>
                <w:rFonts w:ascii="Arial" w:cs="Arial" w:eastAsia="Arial" w:hAnsi="Arial"/>
                <w:sz w:val="14"/>
                <w:szCs w:val="14"/>
                <w:b w:val="1"/>
                <w:bCs w:val="1"/>
                <w:color w:val="auto"/>
                <w:w w:val="91"/>
              </w:rPr>
              <w:t>(Level 1)</w:t>
            </w:r>
          </w:p>
        </w:tc>
        <w:tc>
          <w:tcPr>
            <w:tcW w:w="140" w:type="dxa"/>
            <w:vAlign w:val="bottom"/>
          </w:tcPr>
          <w:p>
            <w:pPr>
              <w:spacing w:after="0"/>
              <w:rPr>
                <w:sz w:val="14"/>
                <w:szCs w:val="14"/>
                <w:color w:val="auto"/>
              </w:rPr>
            </w:pPr>
          </w:p>
        </w:tc>
        <w:tc>
          <w:tcPr>
            <w:tcW w:w="840" w:type="dxa"/>
            <w:vAlign w:val="bottom"/>
          </w:tcPr>
          <w:p>
            <w:pPr>
              <w:jc w:val="center"/>
              <w:ind w:right="62"/>
              <w:spacing w:after="0"/>
              <w:rPr>
                <w:sz w:val="20"/>
                <w:szCs w:val="20"/>
                <w:color w:val="auto"/>
              </w:rPr>
            </w:pPr>
            <w:r>
              <w:rPr>
                <w:rFonts w:ascii="Arial" w:cs="Arial" w:eastAsia="Arial" w:hAnsi="Arial"/>
                <w:sz w:val="14"/>
                <w:szCs w:val="14"/>
                <w:b w:val="1"/>
                <w:bCs w:val="1"/>
                <w:color w:val="auto"/>
                <w:w w:val="87"/>
              </w:rPr>
              <w:t>(Level 2)</w:t>
            </w:r>
          </w:p>
        </w:tc>
        <w:tc>
          <w:tcPr>
            <w:tcW w:w="6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80" w:type="dxa"/>
            <w:vAlign w:val="bottom"/>
          </w:tcPr>
          <w:p>
            <w:pPr>
              <w:jc w:val="center"/>
              <w:ind w:right="20"/>
              <w:spacing w:after="0"/>
              <w:rPr>
                <w:sz w:val="20"/>
                <w:szCs w:val="20"/>
                <w:color w:val="auto"/>
              </w:rPr>
            </w:pPr>
            <w:r>
              <w:rPr>
                <w:rFonts w:ascii="Arial" w:cs="Arial" w:eastAsia="Arial" w:hAnsi="Arial"/>
                <w:sz w:val="14"/>
                <w:szCs w:val="14"/>
                <w:b w:val="1"/>
                <w:bCs w:val="1"/>
                <w:color w:val="auto"/>
                <w:w w:val="87"/>
              </w:rPr>
              <w:t>(Level 3)</w:t>
            </w:r>
          </w:p>
        </w:tc>
        <w:tc>
          <w:tcPr>
            <w:tcW w:w="0" w:type="dxa"/>
            <w:vAlign w:val="bottom"/>
          </w:tcPr>
          <w:p>
            <w:pPr>
              <w:spacing w:after="0"/>
              <w:rPr>
                <w:sz w:val="1"/>
                <w:szCs w:val="1"/>
                <w:color w:val="auto"/>
              </w:rPr>
            </w:pPr>
          </w:p>
        </w:tc>
      </w:tr>
      <w:tr>
        <w:trPr>
          <w:trHeight w:val="20"/>
        </w:trPr>
        <w:tc>
          <w:tcPr>
            <w:tcW w:w="20" w:type="dxa"/>
            <w:vAlign w:val="bottom"/>
            <w:vMerge w:val="restart"/>
          </w:tcPr>
          <w:p>
            <w:pPr>
              <w:spacing w:after="0" w:line="20" w:lineRule="exact"/>
              <w:rPr>
                <w:sz w:val="1"/>
                <w:szCs w:val="1"/>
                <w:color w:val="auto"/>
              </w:rPr>
            </w:pPr>
          </w:p>
        </w:tc>
        <w:tc>
          <w:tcPr>
            <w:tcW w:w="1340" w:type="dxa"/>
            <w:vAlign w:val="bottom"/>
            <w:shd w:val="clear" w:color="auto" w:fill="000000"/>
          </w:tcPr>
          <w:p>
            <w:pPr>
              <w:spacing w:after="0" w:line="20" w:lineRule="exact"/>
              <w:rPr>
                <w:sz w:val="1"/>
                <w:szCs w:val="1"/>
                <w:color w:val="auto"/>
              </w:rPr>
            </w:pPr>
          </w:p>
        </w:tc>
        <w:tc>
          <w:tcPr>
            <w:tcW w:w="2540" w:type="dxa"/>
            <w:vAlign w:val="bottom"/>
          </w:tcPr>
          <w:p>
            <w:pPr>
              <w:spacing w:after="0" w:line="20" w:lineRule="exact"/>
              <w:rPr>
                <w:sz w:val="1"/>
                <w:szCs w:val="1"/>
                <w:color w:val="auto"/>
              </w:rPr>
            </w:pPr>
          </w:p>
        </w:tc>
        <w:tc>
          <w:tcPr>
            <w:tcW w:w="196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840" w:type="dxa"/>
            <w:vAlign w:val="bottom"/>
            <w:shd w:val="clear" w:color="auto" w:fill="000000"/>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vMerge w:val="continue"/>
          </w:tcPr>
          <w:p>
            <w:pPr>
              <w:spacing w:after="0"/>
              <w:rPr>
                <w:sz w:val="18"/>
                <w:szCs w:val="18"/>
                <w:color w:val="auto"/>
              </w:rPr>
            </w:pPr>
          </w:p>
        </w:tc>
        <w:tc>
          <w:tcPr>
            <w:tcW w:w="38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Available for sale securities</w:t>
            </w:r>
          </w:p>
        </w:tc>
        <w:tc>
          <w:tcPr>
            <w:tcW w:w="21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6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299</w:t>
            </w:r>
          </w:p>
        </w:tc>
        <w:tc>
          <w:tcPr>
            <w:tcW w:w="480" w:type="dxa"/>
            <w:vAlign w:val="bottom"/>
            <w:gridSpan w:val="2"/>
            <w:shd w:val="clear" w:color="auto" w:fill="CCEEFF"/>
          </w:tcPr>
          <w:p>
            <w:pPr>
              <w:jc w:val="right"/>
              <w:ind w:right="12"/>
              <w:spacing w:after="0"/>
              <w:rPr>
                <w:sz w:val="20"/>
                <w:szCs w:val="20"/>
                <w:color w:val="auto"/>
              </w:rPr>
            </w:pPr>
            <w:r>
              <w:rPr>
                <w:rFonts w:ascii="Arial" w:cs="Arial" w:eastAsia="Arial" w:hAnsi="Arial"/>
                <w:sz w:val="18"/>
                <w:szCs w:val="18"/>
                <w:color w:val="auto"/>
              </w:rPr>
              <w:t>$</w:t>
            </w:r>
          </w:p>
        </w:tc>
        <w:tc>
          <w:tcPr>
            <w:tcW w:w="1460" w:type="dxa"/>
            <w:vAlign w:val="bottom"/>
            <w:gridSpan w:val="2"/>
            <w:shd w:val="clear" w:color="auto" w:fill="CCEEFF"/>
          </w:tcPr>
          <w:p>
            <w:pPr>
              <w:jc w:val="right"/>
              <w:ind w:right="660"/>
              <w:spacing w:after="0"/>
              <w:rPr>
                <w:sz w:val="20"/>
                <w:szCs w:val="20"/>
                <w:color w:val="auto"/>
              </w:rPr>
            </w:pPr>
            <w:r>
              <w:rPr>
                <w:rFonts w:ascii="Arial" w:cs="Arial" w:eastAsia="Arial" w:hAnsi="Arial"/>
                <w:sz w:val="18"/>
                <w:szCs w:val="18"/>
                <w:color w:val="auto"/>
              </w:rPr>
              <w:t>299</w:t>
            </w: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840" w:type="dxa"/>
            <w:vAlign w:val="bottom"/>
            <w:shd w:val="clear" w:color="auto" w:fill="CCEEFF"/>
          </w:tcPr>
          <w:p>
            <w:pPr>
              <w:ind w:left="580"/>
              <w:spacing w:after="0"/>
              <w:rPr>
                <w:sz w:val="20"/>
                <w:szCs w:val="20"/>
                <w:color w:val="auto"/>
              </w:rPr>
            </w:pPr>
            <w:r>
              <w:rPr>
                <w:rFonts w:ascii="Arial" w:cs="Arial" w:eastAsia="Arial" w:hAnsi="Arial"/>
                <w:sz w:val="18"/>
                <w:szCs w:val="18"/>
                <w:color w:val="auto"/>
              </w:rPr>
              <w:t>—</w:t>
            </w:r>
          </w:p>
        </w:tc>
        <w:tc>
          <w:tcPr>
            <w:tcW w:w="7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80" w:type="dxa"/>
            <w:vAlign w:val="bottom"/>
            <w:shd w:val="clear" w:color="auto" w:fill="CCEEFF"/>
          </w:tcPr>
          <w:p>
            <w:pPr>
              <w:ind w:left="4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880" w:type="dxa"/>
            <w:vAlign w:val="bottom"/>
            <w:gridSpan w:val="2"/>
          </w:tcPr>
          <w:p>
            <w:pPr>
              <w:spacing w:after="0"/>
              <w:rPr>
                <w:sz w:val="20"/>
                <w:szCs w:val="20"/>
                <w:color w:val="auto"/>
              </w:rPr>
            </w:pPr>
            <w:r>
              <w:rPr>
                <w:rFonts w:ascii="Arial" w:cs="Arial" w:eastAsia="Arial" w:hAnsi="Arial"/>
                <w:sz w:val="18"/>
                <w:szCs w:val="18"/>
                <w:color w:val="auto"/>
              </w:rPr>
              <w:t>Derivative assets</w:t>
            </w:r>
          </w:p>
        </w:tc>
        <w:tc>
          <w:tcPr>
            <w:tcW w:w="19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60" w:type="dxa"/>
            <w:vAlign w:val="bottom"/>
            <w:gridSpan w:val="2"/>
          </w:tcPr>
          <w:p>
            <w:pPr>
              <w:jc w:val="right"/>
              <w:ind w:right="340"/>
              <w:spacing w:after="0"/>
              <w:rPr>
                <w:sz w:val="20"/>
                <w:szCs w:val="20"/>
                <w:color w:val="auto"/>
              </w:rPr>
            </w:pPr>
            <w:r>
              <w:rPr>
                <w:rFonts w:ascii="Arial" w:cs="Arial" w:eastAsia="Arial" w:hAnsi="Arial"/>
                <w:sz w:val="18"/>
                <w:szCs w:val="18"/>
                <w:color w:val="auto"/>
              </w:rPr>
              <w:t>226</w:t>
            </w:r>
          </w:p>
        </w:tc>
        <w:tc>
          <w:tcPr>
            <w:tcW w:w="3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60" w:type="dxa"/>
            <w:vAlign w:val="bottom"/>
            <w:gridSpan w:val="2"/>
          </w:tcPr>
          <w:p>
            <w:pPr>
              <w:jc w:val="right"/>
              <w:ind w:right="660"/>
              <w:spacing w:after="0"/>
              <w:rPr>
                <w:sz w:val="20"/>
                <w:szCs w:val="20"/>
                <w:color w:val="auto"/>
              </w:rPr>
            </w:pPr>
            <w:r>
              <w:rPr>
                <w:rFonts w:ascii="Arial" w:cs="Arial" w:eastAsia="Arial" w:hAnsi="Arial"/>
                <w:sz w:val="18"/>
                <w:szCs w:val="18"/>
                <w:color w:val="auto"/>
              </w:rPr>
              <w:t>226</w:t>
            </w:r>
          </w:p>
        </w:tc>
        <w:tc>
          <w:tcPr>
            <w:tcW w:w="140" w:type="dxa"/>
            <w:vAlign w:val="bottom"/>
          </w:tcPr>
          <w:p>
            <w:pPr>
              <w:spacing w:after="0"/>
              <w:rPr>
                <w:sz w:val="18"/>
                <w:szCs w:val="18"/>
                <w:color w:val="auto"/>
              </w:rPr>
            </w:pPr>
          </w:p>
        </w:tc>
        <w:tc>
          <w:tcPr>
            <w:tcW w:w="840" w:type="dxa"/>
            <w:vAlign w:val="bottom"/>
          </w:tcPr>
          <w:p>
            <w:pPr>
              <w:ind w:left="580"/>
              <w:spacing w:after="0"/>
              <w:rPr>
                <w:sz w:val="20"/>
                <w:szCs w:val="20"/>
                <w:color w:val="auto"/>
              </w:rPr>
            </w:pPr>
            <w:r>
              <w:rPr>
                <w:rFonts w:ascii="Arial" w:cs="Arial" w:eastAsia="Arial" w:hAnsi="Arial"/>
                <w:sz w:val="18"/>
                <w:szCs w:val="18"/>
                <w:color w:val="auto"/>
              </w:rPr>
              <w:t>—</w:t>
            </w:r>
          </w:p>
        </w:tc>
        <w:tc>
          <w:tcPr>
            <w:tcW w:w="6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80" w:type="dxa"/>
            <w:vAlign w:val="bottom"/>
          </w:tcPr>
          <w:p>
            <w:pPr>
              <w:ind w:left="4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8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Derivative liabilities</w:t>
            </w:r>
          </w:p>
        </w:tc>
        <w:tc>
          <w:tcPr>
            <w:tcW w:w="19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47</w:t>
            </w:r>
          </w:p>
        </w:tc>
        <w:tc>
          <w:tcPr>
            <w:tcW w:w="3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460" w:type="dxa"/>
            <w:vAlign w:val="bottom"/>
            <w:gridSpan w:val="2"/>
            <w:shd w:val="clear" w:color="auto" w:fill="CCEEFF"/>
          </w:tcPr>
          <w:p>
            <w:pPr>
              <w:jc w:val="right"/>
              <w:ind w:right="660"/>
              <w:spacing w:after="0"/>
              <w:rPr>
                <w:sz w:val="20"/>
                <w:szCs w:val="20"/>
                <w:color w:val="auto"/>
              </w:rPr>
            </w:pPr>
            <w:r>
              <w:rPr>
                <w:rFonts w:ascii="Arial" w:cs="Arial" w:eastAsia="Arial" w:hAnsi="Arial"/>
                <w:sz w:val="18"/>
                <w:szCs w:val="18"/>
                <w:color w:val="auto"/>
              </w:rPr>
              <w:t>47</w:t>
            </w:r>
          </w:p>
        </w:tc>
        <w:tc>
          <w:tcPr>
            <w:tcW w:w="140" w:type="dxa"/>
            <w:vAlign w:val="bottom"/>
            <w:shd w:val="clear" w:color="auto" w:fill="CCEEFF"/>
          </w:tcPr>
          <w:p>
            <w:pPr>
              <w:spacing w:after="0"/>
              <w:rPr>
                <w:sz w:val="18"/>
                <w:szCs w:val="18"/>
                <w:color w:val="auto"/>
              </w:rPr>
            </w:pPr>
          </w:p>
        </w:tc>
        <w:tc>
          <w:tcPr>
            <w:tcW w:w="840" w:type="dxa"/>
            <w:vAlign w:val="bottom"/>
            <w:shd w:val="clear" w:color="auto" w:fill="CCEEFF"/>
          </w:tcPr>
          <w:p>
            <w:pPr>
              <w:ind w:left="580"/>
              <w:spacing w:after="0"/>
              <w:rPr>
                <w:sz w:val="20"/>
                <w:szCs w:val="20"/>
                <w:color w:val="auto"/>
              </w:rPr>
            </w:pPr>
            <w:r>
              <w:rPr>
                <w:rFonts w:ascii="Arial" w:cs="Arial" w:eastAsia="Arial" w:hAnsi="Arial"/>
                <w:sz w:val="18"/>
                <w:szCs w:val="18"/>
                <w:color w:val="auto"/>
              </w:rPr>
              <w:t>—</w:t>
            </w:r>
          </w:p>
        </w:tc>
        <w:tc>
          <w:tcPr>
            <w:tcW w:w="6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80" w:type="dxa"/>
            <w:vAlign w:val="bottom"/>
            <w:shd w:val="clear" w:color="auto" w:fill="CCEEFF"/>
          </w:tcPr>
          <w:p>
            <w:pPr>
              <w:ind w:left="4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bl>
    <w:p>
      <w:pPr>
        <w:spacing w:after="0" w:line="148" w:lineRule="exact"/>
        <w:rPr>
          <w:sz w:val="20"/>
          <w:szCs w:val="20"/>
          <w:color w:val="auto"/>
        </w:rPr>
      </w:pPr>
    </w:p>
    <w:p>
      <w:pPr>
        <w:jc w:val="both"/>
        <w:ind w:right="40" w:firstLine="456"/>
        <w:spacing w:after="0" w:line="378" w:lineRule="auto"/>
        <w:rPr>
          <w:sz w:val="20"/>
          <w:szCs w:val="20"/>
          <w:color w:val="auto"/>
        </w:rPr>
      </w:pPr>
      <w:r>
        <w:rPr>
          <w:rFonts w:ascii="Arial" w:cs="Arial" w:eastAsia="Arial" w:hAnsi="Arial"/>
          <w:sz w:val="15"/>
          <w:szCs w:val="15"/>
          <w:b w:val="1"/>
          <w:bCs w:val="1"/>
          <w:color w:val="auto"/>
        </w:rPr>
        <w:t xml:space="preserve">Valuation Techniques. </w:t>
      </w:r>
      <w:r>
        <w:rPr>
          <w:rFonts w:ascii="Arial" w:cs="Arial" w:eastAsia="Arial" w:hAnsi="Arial"/>
          <w:sz w:val="15"/>
          <w:szCs w:val="15"/>
          <w:color w:val="auto"/>
        </w:rPr>
        <w:t>Available for sale securities are measured at fair value using quoted market prices and are classified within Level 1 of the valuation</w:t>
      </w:r>
      <w:r>
        <w:rPr>
          <w:rFonts w:ascii="Arial" w:cs="Arial" w:eastAsia="Arial" w:hAnsi="Arial"/>
          <w:sz w:val="15"/>
          <w:szCs w:val="15"/>
          <w:b w:val="1"/>
          <w:bCs w:val="1"/>
          <w:color w:val="auto"/>
        </w:rPr>
        <w:t xml:space="preserve"> </w:t>
      </w:r>
      <w:r>
        <w:rPr>
          <w:rFonts w:ascii="Arial" w:cs="Arial" w:eastAsia="Arial" w:hAnsi="Arial"/>
          <w:sz w:val="15"/>
          <w:szCs w:val="15"/>
          <w:color w:val="auto"/>
        </w:rPr>
        <w:t>hierarchy. Derivatives that are exchange-traded are measured at fair value using quoted market prices and are classified within Level 1 of the valuation hierarchy.</w:t>
      </w:r>
    </w:p>
    <w:p>
      <w:pPr>
        <w:spacing w:after="0" w:line="57" w:lineRule="exact"/>
        <w:rPr>
          <w:sz w:val="20"/>
          <w:szCs w:val="20"/>
          <w:color w:val="auto"/>
        </w:rPr>
      </w:pPr>
    </w:p>
    <w:p>
      <w:pPr>
        <w:ind w:right="20" w:firstLine="456"/>
        <w:spacing w:after="0" w:line="254" w:lineRule="auto"/>
        <w:rPr>
          <w:sz w:val="20"/>
          <w:szCs w:val="20"/>
          <w:color w:val="auto"/>
        </w:rPr>
      </w:pPr>
      <w:r>
        <w:rPr>
          <w:rFonts w:ascii="Arial" w:cs="Arial" w:eastAsia="Arial" w:hAnsi="Arial"/>
          <w:sz w:val="18"/>
          <w:szCs w:val="18"/>
          <w:color w:val="auto"/>
        </w:rPr>
        <w:t>In February 2007, the FASB issued SFAS No. 159, “The Fair Value Option for Financial Assets and Financial Liabilities – Including an amendment of FASB Statement No. 115” (SFAS 159), which is effective for fiscal years beginning after November 15, 2007. This statement permits entities to choose to measure many financial instruments and certain other items at fair value. This statement also establishes presentation and disclosure requirements designed to facilitate comparisons between entities that choose different measurement attributes for similar types of assets and liabilities. Unrealized gains and losses on items for which the fair value option is elected would be reported in earnings. We have adopted SFAS 159 and have elected not to measure any additional financial instruments and other items at fair value.</w:t>
      </w:r>
    </w:p>
    <w:p>
      <w:pPr>
        <w:spacing w:after="0" w:line="21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12: Contingent Liabilities</w:t>
      </w:r>
    </w:p>
    <w:p>
      <w:pPr>
        <w:spacing w:after="0" w:line="96" w:lineRule="exact"/>
        <w:rPr>
          <w:sz w:val="20"/>
          <w:szCs w:val="20"/>
          <w:color w:val="auto"/>
        </w:rPr>
      </w:pPr>
    </w:p>
    <w:p>
      <w:pPr>
        <w:ind w:left="460"/>
        <w:spacing w:after="0"/>
        <w:rPr>
          <w:sz w:val="20"/>
          <w:szCs w:val="20"/>
          <w:color w:val="auto"/>
        </w:rPr>
      </w:pPr>
      <w:r>
        <w:rPr>
          <w:rFonts w:ascii="Arial" w:cs="Arial" w:eastAsia="Arial" w:hAnsi="Arial"/>
          <w:sz w:val="16"/>
          <w:szCs w:val="16"/>
          <w:color w:val="auto"/>
        </w:rPr>
        <w:t>Summarized below are the matters previously described in Note 14 of the Notes to the Consolidated Financial Statements in our 2007 Form 10-K.</w:t>
      </w:r>
    </w:p>
    <w:p>
      <w:pPr>
        <w:spacing w:after="0" w:line="188" w:lineRule="exact"/>
        <w:rPr>
          <w:sz w:val="20"/>
          <w:szCs w:val="20"/>
          <w:color w:val="auto"/>
        </w:rPr>
      </w:pPr>
    </w:p>
    <w:p>
      <w:pPr>
        <w:ind w:right="100"/>
        <w:spacing w:after="0" w:line="275" w:lineRule="auto"/>
        <w:rPr>
          <w:sz w:val="20"/>
          <w:szCs w:val="20"/>
          <w:color w:val="auto"/>
        </w:rPr>
      </w:pPr>
      <w:r>
        <w:rPr>
          <w:rFonts w:ascii="Arial" w:cs="Arial" w:eastAsia="Arial" w:hAnsi="Arial"/>
          <w:sz w:val="18"/>
          <w:szCs w:val="18"/>
          <w:b w:val="1"/>
          <w:bCs w:val="1"/>
          <w:color w:val="auto"/>
        </w:rPr>
        <w:t>Environmental</w:t>
      </w:r>
      <w:r>
        <w:rPr>
          <w:rFonts w:ascii="Arial" w:cs="Arial" w:eastAsia="Arial" w:hAnsi="Arial"/>
          <w:sz w:val="18"/>
          <w:szCs w:val="18"/>
          <w:color w:val="auto"/>
        </w:rPr>
        <w:t>. Our operations are subject to environmental regulation by federal, state and local authorities in the United States and regulatory authorities with</w:t>
      </w:r>
      <w:r>
        <w:rPr>
          <w:rFonts w:ascii="Arial" w:cs="Arial" w:eastAsia="Arial" w:hAnsi="Arial"/>
          <w:sz w:val="18"/>
          <w:szCs w:val="18"/>
          <w:b w:val="1"/>
          <w:bCs w:val="1"/>
          <w:color w:val="auto"/>
        </w:rPr>
        <w:t xml:space="preserve"> </w:t>
      </w:r>
      <w:r>
        <w:rPr>
          <w:rFonts w:ascii="Arial" w:cs="Arial" w:eastAsia="Arial" w:hAnsi="Arial"/>
          <w:sz w:val="18"/>
          <w:szCs w:val="18"/>
          <w:color w:val="auto"/>
        </w:rPr>
        <w:t>jurisdiction over our foreign operations.</w:t>
      </w:r>
    </w:p>
    <w:p>
      <w:pPr>
        <w:spacing w:after="0" w:line="126" w:lineRule="exact"/>
        <w:rPr>
          <w:sz w:val="20"/>
          <w:szCs w:val="20"/>
          <w:color w:val="auto"/>
        </w:rPr>
      </w:pPr>
    </w:p>
    <w:p>
      <w:pPr>
        <w:ind w:right="20" w:firstLine="456"/>
        <w:spacing w:after="0" w:line="290" w:lineRule="auto"/>
        <w:rPr>
          <w:sz w:val="20"/>
          <w:szCs w:val="20"/>
          <w:color w:val="auto"/>
        </w:rPr>
      </w:pPr>
      <w:r>
        <w:rPr>
          <w:rFonts w:ascii="Arial" w:cs="Arial" w:eastAsia="Arial" w:hAnsi="Arial"/>
          <w:sz w:val="16"/>
          <w:szCs w:val="16"/>
          <w:color w:val="auto"/>
        </w:rPr>
        <w:t>We accrue for environmental investigatory, remediation, operating and maintenance costs when it is probable that a liability has been incurred and the amount can be reasonably estimated. The most likely cost to be incurred is accrued based on an evaluation of currently available facts with respect to each individual site, including existing technology, current laws and regulations and prior remediation experience. Where no amount within a range of estimates is more likely, we accrue the minimum. For sites with multiple responsible parties, we consider our likely proportionate share of the anticipated remediation costs and the ability of the other parties to fulfill their obligations in establishing a provision for those costs. We discount liabilities with fixed or reliably determinable future cash payments. We do not reduce accrued environmental liabilities by potential insurance reimbursements. We periodically reassess these accrued amounts. We believe that the likelihood of incurring losses materially in excess of amounts accrued is remote.</w:t>
      </w:r>
    </w:p>
    <w:p>
      <w:pPr>
        <w:spacing w:after="0" w:line="112" w:lineRule="exact"/>
        <w:rPr>
          <w:sz w:val="20"/>
          <w:szCs w:val="20"/>
          <w:color w:val="auto"/>
        </w:rPr>
      </w:pPr>
    </w:p>
    <w:p>
      <w:pPr>
        <w:ind w:right="280"/>
        <w:spacing w:after="0" w:line="275" w:lineRule="auto"/>
        <w:rPr>
          <w:sz w:val="20"/>
          <w:szCs w:val="20"/>
          <w:color w:val="auto"/>
        </w:rPr>
      </w:pPr>
      <w:r>
        <w:rPr>
          <w:rFonts w:ascii="Arial" w:cs="Arial" w:eastAsia="Arial" w:hAnsi="Arial"/>
          <w:sz w:val="18"/>
          <w:szCs w:val="18"/>
          <w:b w:val="1"/>
          <w:bCs w:val="1"/>
          <w:color w:val="auto"/>
        </w:rPr>
        <w:t>Government</w:t>
      </w:r>
      <w:r>
        <w:rPr>
          <w:rFonts w:ascii="Arial" w:cs="Arial" w:eastAsia="Arial" w:hAnsi="Arial"/>
          <w:sz w:val="18"/>
          <w:szCs w:val="18"/>
          <w:color w:val="auto"/>
        </w:rPr>
        <w:t>. We are now, and believe that in light of the current U.S. government contracting environment we will continue to be, the subject of one or more</w:t>
      </w:r>
      <w:r>
        <w:rPr>
          <w:rFonts w:ascii="Arial" w:cs="Arial" w:eastAsia="Arial" w:hAnsi="Arial"/>
          <w:sz w:val="18"/>
          <w:szCs w:val="18"/>
          <w:b w:val="1"/>
          <w:bCs w:val="1"/>
          <w:color w:val="auto"/>
        </w:rPr>
        <w:t xml:space="preserve"> </w:t>
      </w:r>
      <w:r>
        <w:rPr>
          <w:rFonts w:ascii="Arial" w:cs="Arial" w:eastAsia="Arial" w:hAnsi="Arial"/>
          <w:sz w:val="18"/>
          <w:szCs w:val="18"/>
          <w:color w:val="auto"/>
        </w:rPr>
        <w:t>U.S. government investigations. If we or one of our business units were charged with</w:t>
      </w:r>
    </w:p>
    <w:p>
      <w:pPr>
        <w:spacing w:after="0" w:line="11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15</w:t>
      </w:r>
    </w:p>
    <w:p>
      <w:pPr>
        <w:sectPr>
          <w:pgSz w:w="11900" w:h="16838" w:orient="portrait"/>
          <w:cols w:equalWidth="0" w:num="1">
            <w:col w:w="11420"/>
          </w:cols>
          <w:pgMar w:left="240" w:top="459" w:right="239" w:bottom="1440" w:gutter="0" w:footer="0" w:header="0"/>
        </w:sectPr>
      </w:pPr>
    </w:p>
    <w:bookmarkStart w:id="15" w:name="page16"/>
    <w:bookmarkEnd w:id="1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180"/>
        <w:spacing w:after="0" w:line="256" w:lineRule="auto"/>
        <w:rPr>
          <w:sz w:val="20"/>
          <w:szCs w:val="20"/>
          <w:color w:val="auto"/>
        </w:rPr>
      </w:pPr>
      <w:r>
        <w:rPr>
          <w:rFonts w:ascii="Arial" w:cs="Arial" w:eastAsia="Arial" w:hAnsi="Arial"/>
          <w:sz w:val="18"/>
          <w:szCs w:val="18"/>
          <w:color w:val="auto"/>
        </w:rPr>
        <w:t>wrongdoing as a result of any of these investigations or other government investigations (including violations of certain environmental or export laws), the U.S. government could suspend us from bidding on or receiving awards of new U.S. government contracts pending the completion of legal proceedings. If convicted or found liable, the U.S. government could fine and debar us from new U.S. government contracting for a period generally not to exceed three years. The U.S. government could void any contracts found to be tainted by fraud.</w:t>
      </w:r>
    </w:p>
    <w:p>
      <w:pPr>
        <w:spacing w:after="0" w:line="143" w:lineRule="exact"/>
        <w:rPr>
          <w:sz w:val="20"/>
          <w:szCs w:val="20"/>
          <w:color w:val="auto"/>
        </w:rPr>
      </w:pPr>
    </w:p>
    <w:p>
      <w:pPr>
        <w:ind w:firstLine="456"/>
        <w:spacing w:after="0" w:line="294" w:lineRule="auto"/>
        <w:rPr>
          <w:sz w:val="20"/>
          <w:szCs w:val="20"/>
          <w:color w:val="auto"/>
        </w:rPr>
      </w:pPr>
      <w:r>
        <w:rPr>
          <w:rFonts w:ascii="Arial" w:cs="Arial" w:eastAsia="Arial" w:hAnsi="Arial"/>
          <w:sz w:val="16"/>
          <w:szCs w:val="16"/>
          <w:color w:val="auto"/>
        </w:rPr>
        <w:t>Our contracts with the U.S. government are also subject to audits. Like many defense contractors, we have received audit reports, which recommend that certain contract prices should be reduced to comply with various government regulations. Some of these audit reports involve substantial amounts. We have made voluntary refunds in those cases we believe appropriate and continue to litigate certain other cases. In addition, we accrue for liabilities associated with those matters that are probable and can be reasonably estimated. The most likely settlement amount to be incurred is accrued based upon a range of estimates. Where no amount within a range of estimates is more likely, we accrue the minimum amount.</w:t>
      </w:r>
    </w:p>
    <w:p>
      <w:pPr>
        <w:spacing w:after="0" w:line="116" w:lineRule="exact"/>
        <w:rPr>
          <w:sz w:val="20"/>
          <w:szCs w:val="20"/>
          <w:color w:val="auto"/>
        </w:rPr>
      </w:pPr>
    </w:p>
    <w:p>
      <w:pPr>
        <w:ind w:firstLine="456"/>
        <w:spacing w:after="0" w:line="288" w:lineRule="auto"/>
        <w:rPr>
          <w:sz w:val="20"/>
          <w:szCs w:val="20"/>
          <w:color w:val="auto"/>
        </w:rPr>
      </w:pPr>
      <w:r>
        <w:rPr>
          <w:rFonts w:ascii="Arial" w:cs="Arial" w:eastAsia="Arial" w:hAnsi="Arial"/>
          <w:sz w:val="16"/>
          <w:szCs w:val="16"/>
          <w:color w:val="auto"/>
        </w:rPr>
        <w:t>As previously disclosed, the Department of Justice (DOJ) sued us in 1999 in the U.S. District Court for the Southern District of Ohio, claiming that Pratt &amp; Whitney violated the civil False Claims Act and common law. This lawsuit relates to the “Fighter Engine Competition” between Pratt &amp; Whitney’s F100 engine and General Electric’s F110 engine. The DOJ alleges that the government overpaid for F100 engines under contracts awarded by the U.S. Air Force in fiscal years 1985 through 1990 because Pratt &amp; Whitney inflated its estimated costs for some purchased parts and withheld data that would have revealed the overstatements. Treble damages and penalties of up to $10,000 per false claim could be assessed if the court finds that Pratt &amp; Whitney violated the civil False Claims Act, and common law damages would accrue pre-judgment interest. Trial of this matter was completed in December 2004. At trial, the government claimed Pratt &amp; Whitney’s liability is $624 million. We believe that this estimate is substantially overstated, denied any liability and vigorously defended against the DOJ’s claims. A decision is pending. Should the government ultimately prevail, the outcome of this matter could result in a material effect on our results of operations in the period in which a liability would be recognized or cash flows for the period in which damages would be paid.</w:t>
      </w:r>
    </w:p>
    <w:p>
      <w:pPr>
        <w:spacing w:after="0" w:line="114" w:lineRule="exact"/>
        <w:rPr>
          <w:sz w:val="20"/>
          <w:szCs w:val="20"/>
          <w:color w:val="auto"/>
        </w:rPr>
      </w:pPr>
    </w:p>
    <w:p>
      <w:pPr>
        <w:ind w:right="80"/>
        <w:spacing w:after="0" w:line="289" w:lineRule="auto"/>
        <w:rPr>
          <w:sz w:val="20"/>
          <w:szCs w:val="20"/>
          <w:color w:val="auto"/>
        </w:rPr>
      </w:pPr>
      <w:r>
        <w:rPr>
          <w:rFonts w:ascii="Arial" w:cs="Arial" w:eastAsia="Arial" w:hAnsi="Arial"/>
          <w:sz w:val="16"/>
          <w:szCs w:val="16"/>
          <w:b w:val="1"/>
          <w:bCs w:val="1"/>
          <w:color w:val="auto"/>
        </w:rPr>
        <w:t>Other</w:t>
      </w:r>
      <w:r>
        <w:rPr>
          <w:rFonts w:ascii="Arial" w:cs="Arial" w:eastAsia="Arial" w:hAnsi="Arial"/>
          <w:sz w:val="16"/>
          <w:szCs w:val="16"/>
          <w:color w:val="auto"/>
        </w:rPr>
        <w:t>. As previously disclosed, class action consumer complaints have been filed against Carrier in Washington, Minnesota, Michigan, Wisconsin, Ontario and</w:t>
      </w:r>
      <w:r>
        <w:rPr>
          <w:rFonts w:ascii="Arial" w:cs="Arial" w:eastAsia="Arial" w:hAnsi="Arial"/>
          <w:sz w:val="16"/>
          <w:szCs w:val="16"/>
          <w:b w:val="1"/>
          <w:bCs w:val="1"/>
          <w:color w:val="auto"/>
        </w:rPr>
        <w:t xml:space="preserve"> </w:t>
      </w:r>
      <w:r>
        <w:rPr>
          <w:rFonts w:ascii="Arial" w:cs="Arial" w:eastAsia="Arial" w:hAnsi="Arial"/>
          <w:sz w:val="16"/>
          <w:szCs w:val="16"/>
          <w:color w:val="auto"/>
        </w:rPr>
        <w:t>British Columbia. The complaints allege Carrier engaged in deceptive and unfair trade practices by knowingly selling high-efficiency condensing furnaces containing secondary heat exchangers that corrode and fail prematurely, causing residential customers to incur labor costs for repair or replacement that are not covered by Carrier’s warranty. While Carrier denies liability and disputes the claims, Carrier and counsel for the class action plaintiffs have reached a comprehensive agreement to settle these actions. Under the settlement, Carrier agrees to (1) extend the labor warranty on the heat exchangers for current owners of affected furnaces, or provide an optional credit toward the purchase of new equipment, (2) reimburse owners who have already paid for repairs to their heat exchanger, and (3) pay the fees and costs incurred by the plaintiffs. We received final approvals of the settlement from the U.S. court in April 2008 and from the Canadian courts in June 2008 and July 2008. As of June 30, 2008, we have reserves of approximately $15 million for the remaining estimated future costs of this settlement.</w:t>
      </w:r>
    </w:p>
    <w:p>
      <w:pPr>
        <w:spacing w:after="0" w:line="119" w:lineRule="exact"/>
        <w:rPr>
          <w:sz w:val="20"/>
          <w:szCs w:val="20"/>
          <w:color w:val="auto"/>
        </w:rPr>
      </w:pPr>
    </w:p>
    <w:p>
      <w:pPr>
        <w:ind w:right="120" w:firstLine="456"/>
        <w:spacing w:after="0" w:line="332" w:lineRule="auto"/>
        <w:rPr>
          <w:sz w:val="20"/>
          <w:szCs w:val="20"/>
          <w:color w:val="auto"/>
        </w:rPr>
      </w:pPr>
      <w:r>
        <w:rPr>
          <w:rFonts w:ascii="Arial" w:cs="Arial" w:eastAsia="Arial" w:hAnsi="Arial"/>
          <w:sz w:val="16"/>
          <w:szCs w:val="16"/>
          <w:color w:val="auto"/>
        </w:rPr>
        <w:t>We extend performance and operating cost guarantees beyond our normal warranty and service policies for extended periods on some of our products. We have accrued our estimate of the liability that may result under these guarantees and for service costs that are probable and can be reasonably estimated.</w:t>
      </w:r>
    </w:p>
    <w:p>
      <w:pPr>
        <w:spacing w:after="0" w:line="85" w:lineRule="exact"/>
        <w:rPr>
          <w:sz w:val="20"/>
          <w:szCs w:val="20"/>
          <w:color w:val="auto"/>
        </w:rPr>
      </w:pPr>
    </w:p>
    <w:p>
      <w:pPr>
        <w:jc w:val="both"/>
        <w:ind w:right="220" w:firstLine="456"/>
        <w:spacing w:after="0" w:line="306" w:lineRule="auto"/>
        <w:rPr>
          <w:sz w:val="20"/>
          <w:szCs w:val="20"/>
          <w:color w:val="auto"/>
        </w:rPr>
      </w:pPr>
      <w:r>
        <w:rPr>
          <w:rFonts w:ascii="Arial" w:cs="Arial" w:eastAsia="Arial" w:hAnsi="Arial"/>
          <w:sz w:val="16"/>
          <w:szCs w:val="16"/>
          <w:color w:val="auto"/>
        </w:rPr>
        <w:t>We have accrued for environmental investigatory, remediation, operating and maintenance costs, performance guarantees and other litigation and claims based on our estimate of the probable outcome of these matters. While it is possible that the outcome of these matters may differ from the recorded liability, we believe that resolution of these matters will not have a material impact on our financial condition, results of operations or cash flows.</w:t>
      </w:r>
    </w:p>
    <w:p>
      <w:pPr>
        <w:spacing w:after="0" w:line="107" w:lineRule="exact"/>
        <w:rPr>
          <w:sz w:val="20"/>
          <w:szCs w:val="20"/>
          <w:color w:val="auto"/>
        </w:rPr>
      </w:pPr>
    </w:p>
    <w:p>
      <w:pPr>
        <w:ind w:right="120" w:firstLine="456"/>
        <w:spacing w:after="0" w:line="259" w:lineRule="auto"/>
        <w:rPr>
          <w:sz w:val="20"/>
          <w:szCs w:val="20"/>
          <w:color w:val="auto"/>
        </w:rPr>
      </w:pPr>
      <w:r>
        <w:rPr>
          <w:rFonts w:ascii="Arial" w:cs="Arial" w:eastAsia="Arial" w:hAnsi="Arial"/>
          <w:sz w:val="18"/>
          <w:szCs w:val="18"/>
          <w:color w:val="auto"/>
        </w:rPr>
        <w:t>We also have other commitments and contingent liabilities related to legal proceedings, self insurance programs and matters arising out of the normal course of business. We accrue contingencies based upon a range of possible outcomes. If no amount within this range is a better estimate than any other, then we accrue the minimum amount.</w:t>
      </w:r>
    </w:p>
    <w:p>
      <w:pPr>
        <w:spacing w:after="0" w:line="140" w:lineRule="exact"/>
        <w:rPr>
          <w:sz w:val="20"/>
          <w:szCs w:val="20"/>
          <w:color w:val="auto"/>
        </w:rPr>
      </w:pPr>
    </w:p>
    <w:p>
      <w:pPr>
        <w:ind w:right="620" w:firstLine="456"/>
        <w:spacing w:after="0" w:line="268" w:lineRule="auto"/>
        <w:rPr>
          <w:sz w:val="20"/>
          <w:szCs w:val="20"/>
          <w:color w:val="auto"/>
        </w:rPr>
      </w:pPr>
      <w:r>
        <w:rPr>
          <w:rFonts w:ascii="Arial" w:cs="Arial" w:eastAsia="Arial" w:hAnsi="Arial"/>
          <w:sz w:val="18"/>
          <w:szCs w:val="18"/>
          <w:color w:val="auto"/>
        </w:rPr>
        <w:t>Except as otherwise noted above, we do not believe that resolution of any of these matters will have a material adverse effect upon our competitive position, results of operations, cash flows or financial condition.</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13: Segment Financial Data</w:t>
      </w:r>
    </w:p>
    <w:p>
      <w:pPr>
        <w:spacing w:after="0" w:line="96" w:lineRule="exact"/>
        <w:rPr>
          <w:sz w:val="20"/>
          <w:szCs w:val="20"/>
          <w:color w:val="auto"/>
        </w:rPr>
      </w:pPr>
    </w:p>
    <w:p>
      <w:pPr>
        <w:ind w:right="340" w:firstLine="456"/>
        <w:spacing w:after="0" w:line="259" w:lineRule="auto"/>
        <w:rPr>
          <w:sz w:val="20"/>
          <w:szCs w:val="20"/>
          <w:color w:val="auto"/>
        </w:rPr>
      </w:pPr>
      <w:r>
        <w:rPr>
          <w:rFonts w:ascii="Arial" w:cs="Arial" w:eastAsia="Arial" w:hAnsi="Arial"/>
          <w:sz w:val="18"/>
          <w:szCs w:val="18"/>
          <w:color w:val="auto"/>
        </w:rPr>
        <w:t>Our operations are classified into six principal segments: Otis, Carrier, UTC Fire &amp; Security, Pratt &amp; Whitney, Hamilton Sundstrand and Sikorsky. The segments are generally based on the management structure of the businesses and the grouping of similar operating companies, where each management organization has general operating autonomy over diversified products and services.</w:t>
      </w:r>
    </w:p>
    <w:p>
      <w:pPr>
        <w:spacing w:after="0" w:line="12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16</w:t>
      </w:r>
    </w:p>
    <w:p>
      <w:pPr>
        <w:sectPr>
          <w:pgSz w:w="11900" w:h="16838" w:orient="portrait"/>
          <w:cols w:equalWidth="0" w:num="1">
            <w:col w:w="11420"/>
          </w:cols>
          <w:pgMar w:left="240" w:top="459" w:right="239" w:bottom="1440" w:gutter="0" w:footer="0" w:header="0"/>
        </w:sectPr>
      </w:pPr>
    </w:p>
    <w:bookmarkStart w:id="16" w:name="page17"/>
    <w:bookmarkEnd w:id="1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spacing w:after="0"/>
        <w:rPr>
          <w:sz w:val="20"/>
          <w:szCs w:val="20"/>
          <w:color w:val="auto"/>
        </w:rPr>
      </w:pPr>
      <w:r>
        <w:rPr>
          <w:rFonts w:ascii="Arial" w:cs="Arial" w:eastAsia="Arial" w:hAnsi="Arial"/>
          <w:sz w:val="18"/>
          <w:szCs w:val="18"/>
          <w:color w:val="auto"/>
        </w:rPr>
        <w:t>Results for the quarters and six months ended June 30, 2008 and 2007 are as follows:</w:t>
      </w:r>
    </w:p>
    <w:p>
      <w:pPr>
        <w:spacing w:after="0" w:line="207"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920" w:type="dxa"/>
            <w:vAlign w:val="bottom"/>
            <w:gridSpan w:val="4"/>
          </w:tcPr>
          <w:p>
            <w:pPr>
              <w:spacing w:after="0"/>
              <w:rPr>
                <w:sz w:val="20"/>
                <w:szCs w:val="20"/>
                <w:color w:val="auto"/>
              </w:rPr>
            </w:pPr>
            <w:r>
              <w:rPr>
                <w:rFonts w:ascii="Arial" w:cs="Arial" w:eastAsia="Arial" w:hAnsi="Arial"/>
                <w:sz w:val="14"/>
                <w:szCs w:val="14"/>
                <w:b w:val="1"/>
                <w:bCs w:val="1"/>
                <w:color w:val="auto"/>
              </w:rPr>
              <w:t>Quarter Ended June 30,</w:t>
            </w:r>
          </w:p>
        </w:tc>
        <w:tc>
          <w:tcPr>
            <w:tcW w:w="100" w:type="dxa"/>
            <w:vAlign w:val="bottom"/>
          </w:tcPr>
          <w:p>
            <w:pPr>
              <w:spacing w:after="0"/>
              <w:rPr>
                <w:sz w:val="14"/>
                <w:szCs w:val="14"/>
                <w:color w:val="auto"/>
              </w:rPr>
            </w:pPr>
          </w:p>
        </w:tc>
        <w:tc>
          <w:tcPr>
            <w:tcW w:w="960" w:type="dxa"/>
            <w:vAlign w:val="bottom"/>
            <w:gridSpan w:val="4"/>
          </w:tcPr>
          <w:p>
            <w:pPr>
              <w:jc w:val="right"/>
              <w:spacing w:after="0"/>
              <w:rPr>
                <w:sz w:val="20"/>
                <w:szCs w:val="20"/>
                <w:color w:val="auto"/>
              </w:rPr>
            </w:pPr>
            <w:r>
              <w:rPr>
                <w:rFonts w:ascii="Arial" w:cs="Arial" w:eastAsia="Arial" w:hAnsi="Arial"/>
                <w:sz w:val="14"/>
                <w:szCs w:val="14"/>
                <w:b w:val="1"/>
                <w:bCs w:val="1"/>
                <w:color w:val="auto"/>
              </w:rPr>
              <w:t>Revenues</w:t>
            </w:r>
          </w:p>
        </w:tc>
        <w:tc>
          <w:tcPr>
            <w:tcW w:w="4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760" w:type="dxa"/>
            <w:vAlign w:val="bottom"/>
            <w:gridSpan w:val="5"/>
          </w:tcPr>
          <w:p>
            <w:pPr>
              <w:jc w:val="right"/>
              <w:ind w:right="560"/>
              <w:spacing w:after="0"/>
              <w:rPr>
                <w:sz w:val="20"/>
                <w:szCs w:val="20"/>
                <w:color w:val="auto"/>
              </w:rPr>
            </w:pPr>
            <w:r>
              <w:rPr>
                <w:rFonts w:ascii="Arial" w:cs="Arial" w:eastAsia="Arial" w:hAnsi="Arial"/>
                <w:sz w:val="14"/>
                <w:szCs w:val="14"/>
                <w:b w:val="1"/>
                <w:bCs w:val="1"/>
                <w:color w:val="auto"/>
              </w:rPr>
              <w:t>Operating Profits</w:t>
            </w:r>
          </w:p>
        </w:tc>
        <w:tc>
          <w:tcPr>
            <w:tcW w:w="1820" w:type="dxa"/>
            <w:vAlign w:val="bottom"/>
            <w:gridSpan w:val="4"/>
          </w:tcPr>
          <w:p>
            <w:pPr>
              <w:ind w:left="120"/>
              <w:spacing w:after="0"/>
              <w:rPr>
                <w:sz w:val="20"/>
                <w:szCs w:val="20"/>
                <w:color w:val="auto"/>
              </w:rPr>
            </w:pPr>
            <w:r>
              <w:rPr>
                <w:rFonts w:ascii="Arial" w:cs="Arial" w:eastAsia="Arial" w:hAnsi="Arial"/>
                <w:sz w:val="14"/>
                <w:szCs w:val="14"/>
                <w:b w:val="1"/>
                <w:bCs w:val="1"/>
                <w:color w:val="auto"/>
              </w:rPr>
              <w:t>Operating Profit Margin</w:t>
            </w:r>
          </w:p>
        </w:tc>
        <w:tc>
          <w:tcPr>
            <w:tcW w:w="0" w:type="dxa"/>
            <w:vAlign w:val="bottom"/>
          </w:tcPr>
          <w:p>
            <w:pPr>
              <w:spacing w:after="0"/>
              <w:rPr>
                <w:sz w:val="1"/>
                <w:szCs w:val="1"/>
                <w:color w:val="auto"/>
              </w:rPr>
            </w:pPr>
          </w:p>
        </w:tc>
      </w:tr>
      <w:tr>
        <w:trPr>
          <w:trHeight w:val="129"/>
        </w:trPr>
        <w:tc>
          <w:tcPr>
            <w:tcW w:w="5920" w:type="dxa"/>
            <w:vAlign w:val="bottom"/>
            <w:gridSpan w:val="4"/>
          </w:tcPr>
          <w:p>
            <w:pPr>
              <w:spacing w:after="0" w:line="129" w:lineRule="exact"/>
              <w:rPr>
                <w:sz w:val="20"/>
                <w:szCs w:val="20"/>
                <w:color w:val="auto"/>
              </w:rPr>
            </w:pPr>
            <w:r>
              <w:rPr>
                <w:rFonts w:ascii="Arial" w:cs="Arial" w:eastAsia="Arial" w:hAnsi="Arial"/>
                <w:sz w:val="14"/>
                <w:szCs w:val="14"/>
                <w:b w:val="1"/>
                <w:bCs w:val="1"/>
                <w:color w:val="auto"/>
              </w:rPr>
              <w:t>(in millions of dollars)</w:t>
            </w:r>
          </w:p>
        </w:tc>
        <w:tc>
          <w:tcPr>
            <w:tcW w:w="100" w:type="dxa"/>
            <w:vAlign w:val="bottom"/>
            <w:tcBorders>
              <w:top w:val="single" w:sz="8" w:color="auto"/>
            </w:tcBorders>
          </w:tcPr>
          <w:p>
            <w:pPr>
              <w:spacing w:after="0"/>
              <w:rPr>
                <w:sz w:val="11"/>
                <w:szCs w:val="11"/>
                <w:color w:val="auto"/>
              </w:rPr>
            </w:pPr>
          </w:p>
        </w:tc>
        <w:tc>
          <w:tcPr>
            <w:tcW w:w="480" w:type="dxa"/>
            <w:vAlign w:val="bottom"/>
            <w:tcBorders>
              <w:top w:val="single" w:sz="8" w:color="auto"/>
            </w:tcBorders>
          </w:tcPr>
          <w:p>
            <w:pPr>
              <w:jc w:val="right"/>
              <w:ind w:right="76"/>
              <w:spacing w:after="0" w:line="129" w:lineRule="exact"/>
              <w:rPr>
                <w:sz w:val="20"/>
                <w:szCs w:val="20"/>
                <w:color w:val="auto"/>
              </w:rPr>
            </w:pPr>
            <w:r>
              <w:rPr>
                <w:rFonts w:ascii="Arial" w:cs="Arial" w:eastAsia="Arial" w:hAnsi="Arial"/>
                <w:sz w:val="14"/>
                <w:szCs w:val="14"/>
                <w:b w:val="1"/>
                <w:bCs w:val="1"/>
                <w:color w:val="auto"/>
                <w:w w:val="96"/>
              </w:rPr>
              <w:t>2008</w:t>
            </w:r>
          </w:p>
        </w:tc>
        <w:tc>
          <w:tcPr>
            <w:tcW w:w="220" w:type="dxa"/>
            <w:vAlign w:val="bottom"/>
            <w:tcBorders>
              <w:top w:val="single" w:sz="8" w:color="auto"/>
            </w:tcBorders>
          </w:tcPr>
          <w:p>
            <w:pPr>
              <w:spacing w:after="0"/>
              <w:rPr>
                <w:sz w:val="11"/>
                <w:szCs w:val="11"/>
                <w:color w:val="auto"/>
              </w:rPr>
            </w:pPr>
          </w:p>
        </w:tc>
        <w:tc>
          <w:tcPr>
            <w:tcW w:w="160" w:type="dxa"/>
            <w:vAlign w:val="bottom"/>
            <w:tcBorders>
              <w:top w:val="single" w:sz="8" w:color="auto"/>
            </w:tcBorders>
          </w:tcPr>
          <w:p>
            <w:pPr>
              <w:spacing w:after="0"/>
              <w:rPr>
                <w:sz w:val="11"/>
                <w:szCs w:val="11"/>
                <w:color w:val="auto"/>
              </w:rPr>
            </w:pPr>
          </w:p>
        </w:tc>
        <w:tc>
          <w:tcPr>
            <w:tcW w:w="100" w:type="dxa"/>
            <w:vAlign w:val="bottom"/>
            <w:tcBorders>
              <w:top w:val="single" w:sz="8" w:color="auto"/>
            </w:tcBorders>
          </w:tcPr>
          <w:p>
            <w:pPr>
              <w:spacing w:after="0"/>
              <w:rPr>
                <w:sz w:val="11"/>
                <w:szCs w:val="11"/>
                <w:color w:val="auto"/>
              </w:rPr>
            </w:pPr>
          </w:p>
        </w:tc>
        <w:tc>
          <w:tcPr>
            <w:tcW w:w="480" w:type="dxa"/>
            <w:vAlign w:val="bottom"/>
            <w:tcBorders>
              <w:top w:val="single" w:sz="8" w:color="auto"/>
            </w:tcBorders>
          </w:tcPr>
          <w:p>
            <w:pPr>
              <w:jc w:val="right"/>
              <w:ind w:right="74"/>
              <w:spacing w:after="0" w:line="129" w:lineRule="exact"/>
              <w:rPr>
                <w:sz w:val="20"/>
                <w:szCs w:val="20"/>
                <w:color w:val="auto"/>
              </w:rPr>
            </w:pPr>
            <w:r>
              <w:rPr>
                <w:rFonts w:ascii="Arial" w:cs="Arial" w:eastAsia="Arial" w:hAnsi="Arial"/>
                <w:sz w:val="14"/>
                <w:szCs w:val="14"/>
                <w:b w:val="1"/>
                <w:bCs w:val="1"/>
                <w:color w:val="auto"/>
                <w:w w:val="96"/>
              </w:rPr>
              <w:t>2007</w:t>
            </w:r>
          </w:p>
        </w:tc>
        <w:tc>
          <w:tcPr>
            <w:tcW w:w="2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00" w:type="dxa"/>
            <w:vAlign w:val="bottom"/>
            <w:tcBorders>
              <w:top w:val="single" w:sz="8" w:color="auto"/>
            </w:tcBorders>
          </w:tcPr>
          <w:p>
            <w:pPr>
              <w:jc w:val="right"/>
              <w:ind w:right="46"/>
              <w:spacing w:after="0" w:line="129" w:lineRule="exact"/>
              <w:rPr>
                <w:sz w:val="20"/>
                <w:szCs w:val="20"/>
                <w:color w:val="auto"/>
              </w:rPr>
            </w:pPr>
            <w:r>
              <w:rPr>
                <w:rFonts w:ascii="Arial" w:cs="Arial" w:eastAsia="Arial" w:hAnsi="Arial"/>
                <w:sz w:val="14"/>
                <w:szCs w:val="14"/>
                <w:b w:val="1"/>
                <w:bCs w:val="1"/>
                <w:color w:val="auto"/>
              </w:rPr>
              <w:t>2008</w:t>
            </w:r>
          </w:p>
        </w:tc>
        <w:tc>
          <w:tcPr>
            <w:tcW w:w="380" w:type="dxa"/>
            <w:vAlign w:val="bottom"/>
            <w:tcBorders>
              <w:top w:val="single" w:sz="8" w:color="auto"/>
            </w:tcBorders>
          </w:tcPr>
          <w:p>
            <w:pPr>
              <w:spacing w:after="0"/>
              <w:rPr>
                <w:sz w:val="11"/>
                <w:szCs w:val="11"/>
                <w:color w:val="auto"/>
              </w:rPr>
            </w:pPr>
          </w:p>
        </w:tc>
        <w:tc>
          <w:tcPr>
            <w:tcW w:w="100" w:type="dxa"/>
            <w:vAlign w:val="bottom"/>
            <w:tcBorders>
              <w:top w:val="single" w:sz="8" w:color="auto"/>
            </w:tcBorders>
          </w:tcPr>
          <w:p>
            <w:pPr>
              <w:spacing w:after="0"/>
              <w:rPr>
                <w:sz w:val="11"/>
                <w:szCs w:val="11"/>
                <w:color w:val="auto"/>
              </w:rPr>
            </w:pPr>
          </w:p>
        </w:tc>
        <w:tc>
          <w:tcPr>
            <w:tcW w:w="400" w:type="dxa"/>
            <w:vAlign w:val="bottom"/>
            <w:tcBorders>
              <w:top w:val="single" w:sz="8" w:color="auto"/>
            </w:tcBorders>
          </w:tcPr>
          <w:p>
            <w:pPr>
              <w:jc w:val="right"/>
              <w:ind w:right="34"/>
              <w:spacing w:after="0" w:line="129" w:lineRule="exact"/>
              <w:rPr>
                <w:sz w:val="20"/>
                <w:szCs w:val="20"/>
                <w:color w:val="auto"/>
              </w:rPr>
            </w:pPr>
            <w:r>
              <w:rPr>
                <w:rFonts w:ascii="Arial" w:cs="Arial" w:eastAsia="Arial" w:hAnsi="Arial"/>
                <w:sz w:val="14"/>
                <w:szCs w:val="14"/>
                <w:b w:val="1"/>
                <w:bCs w:val="1"/>
                <w:color w:val="auto"/>
                <w:w w:val="83"/>
              </w:rPr>
              <w:t>2007</w:t>
            </w:r>
          </w:p>
        </w:tc>
        <w:tc>
          <w:tcPr>
            <w:tcW w:w="380" w:type="dxa"/>
            <w:vAlign w:val="bottom"/>
          </w:tcPr>
          <w:p>
            <w:pPr>
              <w:spacing w:after="0"/>
              <w:rPr>
                <w:sz w:val="11"/>
                <w:szCs w:val="11"/>
                <w:color w:val="auto"/>
              </w:rPr>
            </w:pPr>
          </w:p>
        </w:tc>
        <w:tc>
          <w:tcPr>
            <w:tcW w:w="540" w:type="dxa"/>
            <w:vAlign w:val="bottom"/>
            <w:tcBorders>
              <w:top w:val="single" w:sz="8" w:color="auto"/>
            </w:tcBorders>
          </w:tcPr>
          <w:p>
            <w:pPr>
              <w:ind w:left="140"/>
              <w:spacing w:after="0" w:line="129" w:lineRule="exact"/>
              <w:rPr>
                <w:sz w:val="20"/>
                <w:szCs w:val="20"/>
                <w:color w:val="auto"/>
              </w:rPr>
            </w:pPr>
            <w:r>
              <w:rPr>
                <w:rFonts w:ascii="Arial" w:cs="Arial" w:eastAsia="Arial" w:hAnsi="Arial"/>
                <w:sz w:val="14"/>
                <w:szCs w:val="14"/>
                <w:b w:val="1"/>
                <w:bCs w:val="1"/>
                <w:color w:val="auto"/>
              </w:rPr>
              <w:t>2008</w:t>
            </w:r>
          </w:p>
        </w:tc>
        <w:tc>
          <w:tcPr>
            <w:tcW w:w="560" w:type="dxa"/>
            <w:vAlign w:val="bottom"/>
            <w:tcBorders>
              <w:top w:val="single" w:sz="8" w:color="auto"/>
            </w:tcBorders>
          </w:tcPr>
          <w:p>
            <w:pPr>
              <w:spacing w:after="0"/>
              <w:rPr>
                <w:sz w:val="11"/>
                <w:szCs w:val="11"/>
                <w:color w:val="auto"/>
              </w:rPr>
            </w:pPr>
          </w:p>
        </w:tc>
        <w:tc>
          <w:tcPr>
            <w:tcW w:w="580" w:type="dxa"/>
            <w:vAlign w:val="bottom"/>
            <w:tcBorders>
              <w:top w:val="single" w:sz="8" w:color="auto"/>
            </w:tcBorders>
          </w:tcPr>
          <w:p>
            <w:pPr>
              <w:jc w:val="right"/>
              <w:ind w:right="74"/>
              <w:spacing w:after="0" w:line="129" w:lineRule="exact"/>
              <w:rPr>
                <w:sz w:val="20"/>
                <w:szCs w:val="20"/>
                <w:color w:val="auto"/>
              </w:rPr>
            </w:pPr>
            <w:r>
              <w:rPr>
                <w:rFonts w:ascii="Arial" w:cs="Arial" w:eastAsia="Arial" w:hAnsi="Arial"/>
                <w:sz w:val="14"/>
                <w:szCs w:val="14"/>
                <w:b w:val="1"/>
                <w:bCs w:val="1"/>
                <w:color w:val="auto"/>
              </w:rPr>
              <w:t>2007</w:t>
            </w:r>
          </w:p>
        </w:tc>
        <w:tc>
          <w:tcPr>
            <w:tcW w:w="1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146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424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48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48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160" w:type="dxa"/>
            <w:vAlign w:val="bottom"/>
          </w:tcPr>
          <w:p>
            <w:pPr>
              <w:spacing w:after="0"/>
              <w:rPr>
                <w:sz w:val="2"/>
                <w:szCs w:val="2"/>
                <w:color w:val="auto"/>
              </w:rPr>
            </w:pPr>
          </w:p>
        </w:tc>
        <w:tc>
          <w:tcPr>
            <w:tcW w:w="500" w:type="dxa"/>
            <w:vAlign w:val="bottom"/>
            <w:shd w:val="clear" w:color="auto" w:fill="000000"/>
          </w:tcPr>
          <w:p>
            <w:pPr>
              <w:spacing w:after="0"/>
              <w:rPr>
                <w:sz w:val="2"/>
                <w:szCs w:val="2"/>
                <w:color w:val="auto"/>
              </w:rPr>
            </w:pPr>
          </w:p>
        </w:tc>
        <w:tc>
          <w:tcPr>
            <w:tcW w:w="38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400" w:type="dxa"/>
            <w:vAlign w:val="bottom"/>
            <w:shd w:val="clear" w:color="auto" w:fill="000000"/>
          </w:tcPr>
          <w:p>
            <w:pPr>
              <w:spacing w:after="0"/>
              <w:rPr>
                <w:sz w:val="2"/>
                <w:szCs w:val="2"/>
                <w:color w:val="auto"/>
              </w:rPr>
            </w:pPr>
          </w:p>
        </w:tc>
        <w:tc>
          <w:tcPr>
            <w:tcW w:w="380" w:type="dxa"/>
            <w:vAlign w:val="bottom"/>
          </w:tcPr>
          <w:p>
            <w:pPr>
              <w:spacing w:after="0"/>
              <w:rPr>
                <w:sz w:val="2"/>
                <w:szCs w:val="2"/>
                <w:color w:val="auto"/>
              </w:rPr>
            </w:pPr>
          </w:p>
        </w:tc>
        <w:tc>
          <w:tcPr>
            <w:tcW w:w="540" w:type="dxa"/>
            <w:vAlign w:val="bottom"/>
            <w:shd w:val="clear" w:color="auto" w:fill="000000"/>
          </w:tcPr>
          <w:p>
            <w:pPr>
              <w:spacing w:after="0"/>
              <w:rPr>
                <w:sz w:val="2"/>
                <w:szCs w:val="2"/>
                <w:color w:val="auto"/>
              </w:rPr>
            </w:pPr>
          </w:p>
        </w:tc>
        <w:tc>
          <w:tcPr>
            <w:tcW w:w="560" w:type="dxa"/>
            <w:vAlign w:val="bottom"/>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1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1460" w:type="dxa"/>
            <w:vAlign w:val="bottom"/>
            <w:shd w:val="clear" w:color="auto" w:fill="CCEEFF"/>
          </w:tcPr>
          <w:p>
            <w:pPr>
              <w:spacing w:after="0"/>
              <w:rPr>
                <w:sz w:val="20"/>
                <w:szCs w:val="20"/>
                <w:color w:val="auto"/>
              </w:rPr>
            </w:pPr>
            <w:r>
              <w:rPr>
                <w:rFonts w:ascii="Arial" w:cs="Arial" w:eastAsia="Arial" w:hAnsi="Arial"/>
                <w:sz w:val="18"/>
                <w:szCs w:val="18"/>
                <w:color w:val="auto"/>
              </w:rPr>
              <w:t>Otis</w:t>
            </w:r>
          </w:p>
        </w:tc>
        <w:tc>
          <w:tcPr>
            <w:tcW w:w="4440" w:type="dxa"/>
            <w:vAlign w:val="bottom"/>
            <w:gridSpan w:val="2"/>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3,404</w:t>
            </w:r>
          </w:p>
        </w:tc>
        <w:tc>
          <w:tcPr>
            <w:tcW w:w="2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7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2,858</w:t>
            </w:r>
          </w:p>
        </w:tc>
        <w:tc>
          <w:tcPr>
            <w:tcW w:w="1040" w:type="dxa"/>
            <w:vAlign w:val="bottom"/>
            <w:gridSpan w:val="3"/>
            <w:shd w:val="clear" w:color="auto" w:fill="CCEEFF"/>
          </w:tcPr>
          <w:p>
            <w:pPr>
              <w:jc w:val="right"/>
              <w:ind w:right="380"/>
              <w:spacing w:after="0"/>
              <w:rPr>
                <w:sz w:val="20"/>
                <w:szCs w:val="20"/>
                <w:color w:val="auto"/>
              </w:rPr>
            </w:pPr>
            <w:r>
              <w:rPr>
                <w:rFonts w:ascii="Arial" w:cs="Arial" w:eastAsia="Arial" w:hAnsi="Arial"/>
                <w:sz w:val="18"/>
                <w:szCs w:val="18"/>
                <w:color w:val="auto"/>
              </w:rPr>
              <w:t>$  671</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532</w:t>
            </w:r>
          </w:p>
        </w:tc>
        <w:tc>
          <w:tcPr>
            <w:tcW w:w="38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420"/>
              <w:spacing w:after="0"/>
              <w:rPr>
                <w:sz w:val="20"/>
                <w:szCs w:val="20"/>
                <w:color w:val="auto"/>
              </w:rPr>
            </w:pPr>
            <w:r>
              <w:rPr>
                <w:rFonts w:ascii="Arial" w:cs="Arial" w:eastAsia="Arial" w:hAnsi="Arial"/>
                <w:sz w:val="18"/>
                <w:szCs w:val="18"/>
                <w:color w:val="auto"/>
              </w:rPr>
              <w:t>19.7%</w:t>
            </w:r>
          </w:p>
        </w:tc>
        <w:tc>
          <w:tcPr>
            <w:tcW w:w="7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18.6%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900" w:type="dxa"/>
            <w:vAlign w:val="bottom"/>
            <w:gridSpan w:val="3"/>
          </w:tcPr>
          <w:p>
            <w:pPr>
              <w:spacing w:after="0"/>
              <w:rPr>
                <w:sz w:val="20"/>
                <w:szCs w:val="20"/>
                <w:color w:val="auto"/>
              </w:rPr>
            </w:pPr>
            <w:r>
              <w:rPr>
                <w:rFonts w:ascii="Arial" w:cs="Arial" w:eastAsia="Arial" w:hAnsi="Arial"/>
                <w:sz w:val="18"/>
                <w:szCs w:val="18"/>
                <w:color w:val="auto"/>
              </w:rPr>
              <w:t>Carrier</w:t>
            </w:r>
          </w:p>
        </w:tc>
        <w:tc>
          <w:tcPr>
            <w:tcW w:w="100" w:type="dxa"/>
            <w:vAlign w:val="bottom"/>
          </w:tcPr>
          <w:p>
            <w:pPr>
              <w:spacing w:after="0"/>
              <w:rPr>
                <w:sz w:val="18"/>
                <w:szCs w:val="18"/>
                <w:color w:val="auto"/>
              </w:rPr>
            </w:pPr>
          </w:p>
        </w:tc>
        <w:tc>
          <w:tcPr>
            <w:tcW w:w="480" w:type="dxa"/>
            <w:vAlign w:val="bottom"/>
          </w:tcPr>
          <w:p>
            <w:pPr>
              <w:jc w:val="right"/>
              <w:spacing w:after="0"/>
              <w:rPr>
                <w:sz w:val="20"/>
                <w:szCs w:val="20"/>
                <w:color w:val="auto"/>
              </w:rPr>
            </w:pPr>
            <w:r>
              <w:rPr>
                <w:rFonts w:ascii="Arial" w:cs="Arial" w:eastAsia="Arial" w:hAnsi="Arial"/>
                <w:sz w:val="18"/>
                <w:szCs w:val="18"/>
                <w:color w:val="auto"/>
              </w:rPr>
              <w:t>4,356</w:t>
            </w: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00" w:type="dxa"/>
            <w:vAlign w:val="bottom"/>
            <w:gridSpan w:val="2"/>
          </w:tcPr>
          <w:p>
            <w:pPr>
              <w:jc w:val="right"/>
              <w:ind w:right="220"/>
              <w:spacing w:after="0"/>
              <w:rPr>
                <w:sz w:val="20"/>
                <w:szCs w:val="20"/>
                <w:color w:val="auto"/>
              </w:rPr>
            </w:pPr>
            <w:r>
              <w:rPr>
                <w:rFonts w:ascii="Arial" w:cs="Arial" w:eastAsia="Arial" w:hAnsi="Arial"/>
                <w:sz w:val="18"/>
                <w:szCs w:val="18"/>
                <w:color w:val="auto"/>
              </w:rPr>
              <w:t>4,055</w:t>
            </w:r>
          </w:p>
        </w:tc>
        <w:tc>
          <w:tcPr>
            <w:tcW w:w="1040" w:type="dxa"/>
            <w:vAlign w:val="bottom"/>
            <w:gridSpan w:val="3"/>
          </w:tcPr>
          <w:p>
            <w:pPr>
              <w:jc w:val="right"/>
              <w:ind w:right="380"/>
              <w:spacing w:after="0"/>
              <w:rPr>
                <w:sz w:val="20"/>
                <w:szCs w:val="20"/>
                <w:color w:val="auto"/>
              </w:rPr>
            </w:pPr>
            <w:r>
              <w:rPr>
                <w:rFonts w:ascii="Arial" w:cs="Arial" w:eastAsia="Arial" w:hAnsi="Arial"/>
                <w:sz w:val="18"/>
                <w:szCs w:val="18"/>
                <w:color w:val="auto"/>
              </w:rPr>
              <w:t>487</w:t>
            </w:r>
          </w:p>
        </w:tc>
        <w:tc>
          <w:tcPr>
            <w:tcW w:w="100" w:type="dxa"/>
            <w:vAlign w:val="bottom"/>
          </w:tcPr>
          <w:p>
            <w:pPr>
              <w:spacing w:after="0"/>
              <w:rPr>
                <w:sz w:val="18"/>
                <w:szCs w:val="18"/>
                <w:color w:val="auto"/>
              </w:rPr>
            </w:pPr>
          </w:p>
        </w:tc>
        <w:tc>
          <w:tcPr>
            <w:tcW w:w="400" w:type="dxa"/>
            <w:vAlign w:val="bottom"/>
          </w:tcPr>
          <w:p>
            <w:pPr>
              <w:jc w:val="right"/>
              <w:spacing w:after="0"/>
              <w:rPr>
                <w:sz w:val="20"/>
                <w:szCs w:val="20"/>
                <w:color w:val="auto"/>
              </w:rPr>
            </w:pPr>
            <w:r>
              <w:rPr>
                <w:rFonts w:ascii="Arial" w:cs="Arial" w:eastAsia="Arial" w:hAnsi="Arial"/>
                <w:sz w:val="18"/>
                <w:szCs w:val="18"/>
                <w:color w:val="auto"/>
              </w:rPr>
              <w:t>489</w:t>
            </w:r>
          </w:p>
        </w:tc>
        <w:tc>
          <w:tcPr>
            <w:tcW w:w="380" w:type="dxa"/>
            <w:vAlign w:val="bottom"/>
          </w:tcPr>
          <w:p>
            <w:pPr>
              <w:spacing w:after="0"/>
              <w:rPr>
                <w:sz w:val="18"/>
                <w:szCs w:val="18"/>
                <w:color w:val="auto"/>
              </w:rPr>
            </w:pPr>
          </w:p>
        </w:tc>
        <w:tc>
          <w:tcPr>
            <w:tcW w:w="1100" w:type="dxa"/>
            <w:vAlign w:val="bottom"/>
            <w:gridSpan w:val="2"/>
          </w:tcPr>
          <w:p>
            <w:pPr>
              <w:jc w:val="right"/>
              <w:ind w:right="420"/>
              <w:spacing w:after="0"/>
              <w:rPr>
                <w:sz w:val="20"/>
                <w:szCs w:val="20"/>
                <w:color w:val="auto"/>
              </w:rPr>
            </w:pPr>
            <w:r>
              <w:rPr>
                <w:rFonts w:ascii="Arial" w:cs="Arial" w:eastAsia="Arial" w:hAnsi="Arial"/>
                <w:sz w:val="18"/>
                <w:szCs w:val="18"/>
                <w:color w:val="auto"/>
              </w:rPr>
              <w:t>11.2%</w:t>
            </w:r>
          </w:p>
        </w:tc>
        <w:tc>
          <w:tcPr>
            <w:tcW w:w="720" w:type="dxa"/>
            <w:vAlign w:val="bottom"/>
            <w:gridSpan w:val="2"/>
          </w:tcPr>
          <w:p>
            <w:pPr>
              <w:jc w:val="right"/>
              <w:spacing w:after="0"/>
              <w:rPr>
                <w:sz w:val="20"/>
                <w:szCs w:val="20"/>
                <w:color w:val="auto"/>
              </w:rPr>
            </w:pPr>
            <w:r>
              <w:rPr>
                <w:rFonts w:ascii="Arial" w:cs="Arial" w:eastAsia="Arial" w:hAnsi="Arial"/>
                <w:sz w:val="18"/>
                <w:szCs w:val="18"/>
                <w:color w:val="auto"/>
              </w:rPr>
              <w:t>12.1%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90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UTC Fire &amp; Security</w:t>
            </w:r>
          </w:p>
        </w:tc>
        <w:tc>
          <w:tcPr>
            <w:tcW w:w="100" w:type="dxa"/>
            <w:vAlign w:val="bottom"/>
            <w:shd w:val="clear" w:color="auto" w:fill="CCEEFF"/>
          </w:tcPr>
          <w:p>
            <w:pPr>
              <w:spacing w:after="0"/>
              <w:rPr>
                <w:sz w:val="18"/>
                <w:szCs w:val="18"/>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1,738</w:t>
            </w:r>
          </w:p>
        </w:tc>
        <w:tc>
          <w:tcPr>
            <w:tcW w:w="2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1,349</w:t>
            </w:r>
          </w:p>
        </w:tc>
        <w:tc>
          <w:tcPr>
            <w:tcW w:w="1040" w:type="dxa"/>
            <w:vAlign w:val="bottom"/>
            <w:gridSpan w:val="3"/>
            <w:shd w:val="clear" w:color="auto" w:fill="CCEEFF"/>
          </w:tcPr>
          <w:p>
            <w:pPr>
              <w:jc w:val="right"/>
              <w:ind w:right="380"/>
              <w:spacing w:after="0"/>
              <w:rPr>
                <w:sz w:val="20"/>
                <w:szCs w:val="20"/>
                <w:color w:val="auto"/>
              </w:rPr>
            </w:pPr>
            <w:r>
              <w:rPr>
                <w:rFonts w:ascii="Arial" w:cs="Arial" w:eastAsia="Arial" w:hAnsi="Arial"/>
                <w:sz w:val="18"/>
                <w:szCs w:val="18"/>
                <w:color w:val="auto"/>
              </w:rPr>
              <w:t>126</w:t>
            </w:r>
          </w:p>
        </w:tc>
        <w:tc>
          <w:tcPr>
            <w:tcW w:w="100" w:type="dxa"/>
            <w:vAlign w:val="bottom"/>
            <w:shd w:val="clear" w:color="auto" w:fill="CCEEFF"/>
          </w:tcPr>
          <w:p>
            <w:pPr>
              <w:spacing w:after="0"/>
              <w:rPr>
                <w:sz w:val="18"/>
                <w:szCs w:val="18"/>
                <w:color w:val="auto"/>
              </w:rPr>
            </w:pPr>
          </w:p>
        </w:tc>
        <w:tc>
          <w:tcPr>
            <w:tcW w:w="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101</w:t>
            </w:r>
          </w:p>
        </w:tc>
        <w:tc>
          <w:tcPr>
            <w:tcW w:w="38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420"/>
              <w:spacing w:after="0"/>
              <w:rPr>
                <w:sz w:val="20"/>
                <w:szCs w:val="20"/>
                <w:color w:val="auto"/>
              </w:rPr>
            </w:pPr>
            <w:r>
              <w:rPr>
                <w:rFonts w:ascii="Arial" w:cs="Arial" w:eastAsia="Arial" w:hAnsi="Arial"/>
                <w:sz w:val="18"/>
                <w:szCs w:val="18"/>
                <w:color w:val="auto"/>
              </w:rPr>
              <w:t>7.2%</w:t>
            </w:r>
          </w:p>
        </w:tc>
        <w:tc>
          <w:tcPr>
            <w:tcW w:w="7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7.5%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900" w:type="dxa"/>
            <w:vAlign w:val="bottom"/>
            <w:gridSpan w:val="3"/>
          </w:tcPr>
          <w:p>
            <w:pPr>
              <w:spacing w:after="0"/>
              <w:rPr>
                <w:sz w:val="20"/>
                <w:szCs w:val="20"/>
                <w:color w:val="auto"/>
              </w:rPr>
            </w:pPr>
            <w:r>
              <w:rPr>
                <w:rFonts w:ascii="Arial" w:cs="Arial" w:eastAsia="Arial" w:hAnsi="Arial"/>
                <w:sz w:val="18"/>
                <w:szCs w:val="18"/>
                <w:color w:val="auto"/>
              </w:rPr>
              <w:t>Pratt &amp; Whitney</w:t>
            </w:r>
          </w:p>
        </w:tc>
        <w:tc>
          <w:tcPr>
            <w:tcW w:w="100" w:type="dxa"/>
            <w:vAlign w:val="bottom"/>
          </w:tcPr>
          <w:p>
            <w:pPr>
              <w:spacing w:after="0"/>
              <w:rPr>
                <w:sz w:val="18"/>
                <w:szCs w:val="18"/>
                <w:color w:val="auto"/>
              </w:rPr>
            </w:pPr>
          </w:p>
        </w:tc>
        <w:tc>
          <w:tcPr>
            <w:tcW w:w="480" w:type="dxa"/>
            <w:vAlign w:val="bottom"/>
          </w:tcPr>
          <w:p>
            <w:pPr>
              <w:jc w:val="right"/>
              <w:spacing w:after="0"/>
              <w:rPr>
                <w:sz w:val="20"/>
                <w:szCs w:val="20"/>
                <w:color w:val="auto"/>
              </w:rPr>
            </w:pPr>
            <w:r>
              <w:rPr>
                <w:rFonts w:ascii="Arial" w:cs="Arial" w:eastAsia="Arial" w:hAnsi="Arial"/>
                <w:sz w:val="18"/>
                <w:szCs w:val="18"/>
                <w:color w:val="auto"/>
              </w:rPr>
              <w:t>3,292</w:t>
            </w: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00" w:type="dxa"/>
            <w:vAlign w:val="bottom"/>
            <w:gridSpan w:val="2"/>
          </w:tcPr>
          <w:p>
            <w:pPr>
              <w:jc w:val="right"/>
              <w:ind w:right="220"/>
              <w:spacing w:after="0"/>
              <w:rPr>
                <w:sz w:val="20"/>
                <w:szCs w:val="20"/>
                <w:color w:val="auto"/>
              </w:rPr>
            </w:pPr>
            <w:r>
              <w:rPr>
                <w:rFonts w:ascii="Arial" w:cs="Arial" w:eastAsia="Arial" w:hAnsi="Arial"/>
                <w:sz w:val="18"/>
                <w:szCs w:val="18"/>
                <w:color w:val="auto"/>
              </w:rPr>
              <w:t>3,108</w:t>
            </w:r>
          </w:p>
        </w:tc>
        <w:tc>
          <w:tcPr>
            <w:tcW w:w="1040" w:type="dxa"/>
            <w:vAlign w:val="bottom"/>
            <w:gridSpan w:val="3"/>
          </w:tcPr>
          <w:p>
            <w:pPr>
              <w:jc w:val="right"/>
              <w:ind w:right="380"/>
              <w:spacing w:after="0"/>
              <w:rPr>
                <w:sz w:val="20"/>
                <w:szCs w:val="20"/>
                <w:color w:val="auto"/>
              </w:rPr>
            </w:pPr>
            <w:r>
              <w:rPr>
                <w:rFonts w:ascii="Arial" w:cs="Arial" w:eastAsia="Arial" w:hAnsi="Arial"/>
                <w:sz w:val="18"/>
                <w:szCs w:val="18"/>
                <w:color w:val="auto"/>
              </w:rPr>
              <w:t>546</w:t>
            </w:r>
          </w:p>
        </w:tc>
        <w:tc>
          <w:tcPr>
            <w:tcW w:w="100" w:type="dxa"/>
            <w:vAlign w:val="bottom"/>
          </w:tcPr>
          <w:p>
            <w:pPr>
              <w:spacing w:after="0"/>
              <w:rPr>
                <w:sz w:val="18"/>
                <w:szCs w:val="18"/>
                <w:color w:val="auto"/>
              </w:rPr>
            </w:pPr>
          </w:p>
        </w:tc>
        <w:tc>
          <w:tcPr>
            <w:tcW w:w="400" w:type="dxa"/>
            <w:vAlign w:val="bottom"/>
          </w:tcPr>
          <w:p>
            <w:pPr>
              <w:jc w:val="right"/>
              <w:spacing w:after="0"/>
              <w:rPr>
                <w:sz w:val="20"/>
                <w:szCs w:val="20"/>
                <w:color w:val="auto"/>
              </w:rPr>
            </w:pPr>
            <w:r>
              <w:rPr>
                <w:rFonts w:ascii="Arial" w:cs="Arial" w:eastAsia="Arial" w:hAnsi="Arial"/>
                <w:sz w:val="18"/>
                <w:szCs w:val="18"/>
                <w:color w:val="auto"/>
              </w:rPr>
              <w:t>522</w:t>
            </w:r>
          </w:p>
        </w:tc>
        <w:tc>
          <w:tcPr>
            <w:tcW w:w="380" w:type="dxa"/>
            <w:vAlign w:val="bottom"/>
          </w:tcPr>
          <w:p>
            <w:pPr>
              <w:spacing w:after="0"/>
              <w:rPr>
                <w:sz w:val="18"/>
                <w:szCs w:val="18"/>
                <w:color w:val="auto"/>
              </w:rPr>
            </w:pPr>
          </w:p>
        </w:tc>
        <w:tc>
          <w:tcPr>
            <w:tcW w:w="1100" w:type="dxa"/>
            <w:vAlign w:val="bottom"/>
            <w:gridSpan w:val="2"/>
          </w:tcPr>
          <w:p>
            <w:pPr>
              <w:jc w:val="right"/>
              <w:ind w:right="420"/>
              <w:spacing w:after="0"/>
              <w:rPr>
                <w:sz w:val="20"/>
                <w:szCs w:val="20"/>
                <w:color w:val="auto"/>
              </w:rPr>
            </w:pPr>
            <w:r>
              <w:rPr>
                <w:rFonts w:ascii="Arial" w:cs="Arial" w:eastAsia="Arial" w:hAnsi="Arial"/>
                <w:sz w:val="18"/>
                <w:szCs w:val="18"/>
                <w:color w:val="auto"/>
              </w:rPr>
              <w:t>16.6%</w:t>
            </w:r>
          </w:p>
        </w:tc>
        <w:tc>
          <w:tcPr>
            <w:tcW w:w="720" w:type="dxa"/>
            <w:vAlign w:val="bottom"/>
            <w:gridSpan w:val="2"/>
          </w:tcPr>
          <w:p>
            <w:pPr>
              <w:jc w:val="right"/>
              <w:spacing w:after="0"/>
              <w:rPr>
                <w:sz w:val="20"/>
                <w:szCs w:val="20"/>
                <w:color w:val="auto"/>
              </w:rPr>
            </w:pPr>
            <w:r>
              <w:rPr>
                <w:rFonts w:ascii="Arial" w:cs="Arial" w:eastAsia="Arial" w:hAnsi="Arial"/>
                <w:sz w:val="18"/>
                <w:szCs w:val="18"/>
                <w:color w:val="auto"/>
              </w:rPr>
              <w:t>16.8%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90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Hamilton Sundstrand</w:t>
            </w:r>
          </w:p>
        </w:tc>
        <w:tc>
          <w:tcPr>
            <w:tcW w:w="100" w:type="dxa"/>
            <w:vAlign w:val="bottom"/>
            <w:shd w:val="clear" w:color="auto" w:fill="CCEEFF"/>
          </w:tcPr>
          <w:p>
            <w:pPr>
              <w:spacing w:after="0"/>
              <w:rPr>
                <w:sz w:val="18"/>
                <w:szCs w:val="18"/>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1,650</w:t>
            </w:r>
          </w:p>
        </w:tc>
        <w:tc>
          <w:tcPr>
            <w:tcW w:w="2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1,404</w:t>
            </w:r>
          </w:p>
        </w:tc>
        <w:tc>
          <w:tcPr>
            <w:tcW w:w="1040" w:type="dxa"/>
            <w:vAlign w:val="bottom"/>
            <w:gridSpan w:val="3"/>
            <w:shd w:val="clear" w:color="auto" w:fill="CCEEFF"/>
          </w:tcPr>
          <w:p>
            <w:pPr>
              <w:jc w:val="right"/>
              <w:ind w:right="380"/>
              <w:spacing w:after="0"/>
              <w:rPr>
                <w:sz w:val="20"/>
                <w:szCs w:val="20"/>
                <w:color w:val="auto"/>
              </w:rPr>
            </w:pPr>
            <w:r>
              <w:rPr>
                <w:rFonts w:ascii="Arial" w:cs="Arial" w:eastAsia="Arial" w:hAnsi="Arial"/>
                <w:sz w:val="18"/>
                <w:szCs w:val="18"/>
                <w:color w:val="auto"/>
              </w:rPr>
              <w:t>280</w:t>
            </w:r>
          </w:p>
        </w:tc>
        <w:tc>
          <w:tcPr>
            <w:tcW w:w="100" w:type="dxa"/>
            <w:vAlign w:val="bottom"/>
            <w:shd w:val="clear" w:color="auto" w:fill="CCEEFF"/>
          </w:tcPr>
          <w:p>
            <w:pPr>
              <w:spacing w:after="0"/>
              <w:rPr>
                <w:sz w:val="18"/>
                <w:szCs w:val="18"/>
                <w:color w:val="auto"/>
              </w:rPr>
            </w:pPr>
          </w:p>
        </w:tc>
        <w:tc>
          <w:tcPr>
            <w:tcW w:w="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246</w:t>
            </w:r>
          </w:p>
        </w:tc>
        <w:tc>
          <w:tcPr>
            <w:tcW w:w="38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420"/>
              <w:spacing w:after="0"/>
              <w:rPr>
                <w:sz w:val="20"/>
                <w:szCs w:val="20"/>
                <w:color w:val="auto"/>
              </w:rPr>
            </w:pPr>
            <w:r>
              <w:rPr>
                <w:rFonts w:ascii="Arial" w:cs="Arial" w:eastAsia="Arial" w:hAnsi="Arial"/>
                <w:sz w:val="18"/>
                <w:szCs w:val="18"/>
                <w:color w:val="auto"/>
              </w:rPr>
              <w:t>17.0%</w:t>
            </w:r>
          </w:p>
        </w:tc>
        <w:tc>
          <w:tcPr>
            <w:tcW w:w="7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17.5%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900" w:type="dxa"/>
            <w:vAlign w:val="bottom"/>
            <w:gridSpan w:val="3"/>
          </w:tcPr>
          <w:p>
            <w:pPr>
              <w:spacing w:after="0"/>
              <w:rPr>
                <w:sz w:val="20"/>
                <w:szCs w:val="20"/>
                <w:color w:val="auto"/>
              </w:rPr>
            </w:pPr>
            <w:r>
              <w:rPr>
                <w:rFonts w:ascii="Arial" w:cs="Arial" w:eastAsia="Arial" w:hAnsi="Arial"/>
                <w:sz w:val="18"/>
                <w:szCs w:val="18"/>
                <w:color w:val="auto"/>
              </w:rPr>
              <w:t>Sikorsky</w:t>
            </w:r>
          </w:p>
        </w:tc>
        <w:tc>
          <w:tcPr>
            <w:tcW w:w="100" w:type="dxa"/>
            <w:vAlign w:val="bottom"/>
          </w:tcPr>
          <w:p>
            <w:pPr>
              <w:spacing w:after="0"/>
              <w:rPr>
                <w:sz w:val="18"/>
                <w:szCs w:val="18"/>
                <w:color w:val="auto"/>
              </w:rPr>
            </w:pPr>
          </w:p>
        </w:tc>
        <w:tc>
          <w:tcPr>
            <w:tcW w:w="480" w:type="dxa"/>
            <w:vAlign w:val="bottom"/>
          </w:tcPr>
          <w:p>
            <w:pPr>
              <w:jc w:val="right"/>
              <w:spacing w:after="0"/>
              <w:rPr>
                <w:sz w:val="20"/>
                <w:szCs w:val="20"/>
                <w:color w:val="auto"/>
              </w:rPr>
            </w:pPr>
            <w:r>
              <w:rPr>
                <w:rFonts w:ascii="Arial" w:cs="Arial" w:eastAsia="Arial" w:hAnsi="Arial"/>
                <w:sz w:val="18"/>
                <w:szCs w:val="18"/>
                <w:color w:val="auto"/>
              </w:rPr>
              <w:t>1,307</w:t>
            </w: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00" w:type="dxa"/>
            <w:vAlign w:val="bottom"/>
            <w:gridSpan w:val="2"/>
          </w:tcPr>
          <w:p>
            <w:pPr>
              <w:jc w:val="right"/>
              <w:ind w:right="220"/>
              <w:spacing w:after="0"/>
              <w:rPr>
                <w:sz w:val="20"/>
                <w:szCs w:val="20"/>
                <w:color w:val="auto"/>
              </w:rPr>
            </w:pPr>
            <w:r>
              <w:rPr>
                <w:rFonts w:ascii="Arial" w:cs="Arial" w:eastAsia="Arial" w:hAnsi="Arial"/>
                <w:sz w:val="18"/>
                <w:szCs w:val="18"/>
                <w:color w:val="auto"/>
              </w:rPr>
              <w:t>1,198</w:t>
            </w:r>
          </w:p>
        </w:tc>
        <w:tc>
          <w:tcPr>
            <w:tcW w:w="1040" w:type="dxa"/>
            <w:vAlign w:val="bottom"/>
            <w:gridSpan w:val="3"/>
          </w:tcPr>
          <w:p>
            <w:pPr>
              <w:jc w:val="right"/>
              <w:ind w:right="380"/>
              <w:spacing w:after="0"/>
              <w:rPr>
                <w:sz w:val="20"/>
                <w:szCs w:val="20"/>
                <w:color w:val="auto"/>
              </w:rPr>
            </w:pPr>
            <w:r>
              <w:rPr>
                <w:rFonts w:ascii="Arial" w:cs="Arial" w:eastAsia="Arial" w:hAnsi="Arial"/>
                <w:sz w:val="18"/>
                <w:szCs w:val="18"/>
                <w:color w:val="auto"/>
              </w:rPr>
              <w:t>111</w:t>
            </w:r>
          </w:p>
        </w:tc>
        <w:tc>
          <w:tcPr>
            <w:tcW w:w="100" w:type="dxa"/>
            <w:vAlign w:val="bottom"/>
          </w:tcPr>
          <w:p>
            <w:pPr>
              <w:spacing w:after="0"/>
              <w:rPr>
                <w:sz w:val="18"/>
                <w:szCs w:val="18"/>
                <w:color w:val="auto"/>
              </w:rPr>
            </w:pPr>
          </w:p>
        </w:tc>
        <w:tc>
          <w:tcPr>
            <w:tcW w:w="400" w:type="dxa"/>
            <w:vAlign w:val="bottom"/>
          </w:tcPr>
          <w:p>
            <w:pPr>
              <w:jc w:val="right"/>
              <w:spacing w:after="0"/>
              <w:rPr>
                <w:sz w:val="20"/>
                <w:szCs w:val="20"/>
                <w:color w:val="auto"/>
              </w:rPr>
            </w:pPr>
            <w:r>
              <w:rPr>
                <w:rFonts w:ascii="Arial" w:cs="Arial" w:eastAsia="Arial" w:hAnsi="Arial"/>
                <w:sz w:val="18"/>
                <w:szCs w:val="18"/>
                <w:color w:val="auto"/>
              </w:rPr>
              <w:t>87</w:t>
            </w:r>
          </w:p>
        </w:tc>
        <w:tc>
          <w:tcPr>
            <w:tcW w:w="380" w:type="dxa"/>
            <w:vAlign w:val="bottom"/>
          </w:tcPr>
          <w:p>
            <w:pPr>
              <w:spacing w:after="0"/>
              <w:rPr>
                <w:sz w:val="18"/>
                <w:szCs w:val="18"/>
                <w:color w:val="auto"/>
              </w:rPr>
            </w:pPr>
          </w:p>
        </w:tc>
        <w:tc>
          <w:tcPr>
            <w:tcW w:w="1100" w:type="dxa"/>
            <w:vAlign w:val="bottom"/>
            <w:gridSpan w:val="2"/>
          </w:tcPr>
          <w:p>
            <w:pPr>
              <w:jc w:val="right"/>
              <w:ind w:right="420"/>
              <w:spacing w:after="0"/>
              <w:rPr>
                <w:sz w:val="20"/>
                <w:szCs w:val="20"/>
                <w:color w:val="auto"/>
              </w:rPr>
            </w:pPr>
            <w:r>
              <w:rPr>
                <w:rFonts w:ascii="Arial" w:cs="Arial" w:eastAsia="Arial" w:hAnsi="Arial"/>
                <w:sz w:val="18"/>
                <w:szCs w:val="18"/>
                <w:color w:val="auto"/>
              </w:rPr>
              <w:t>8.5%</w:t>
            </w:r>
          </w:p>
        </w:tc>
        <w:tc>
          <w:tcPr>
            <w:tcW w:w="720" w:type="dxa"/>
            <w:vAlign w:val="bottom"/>
            <w:gridSpan w:val="2"/>
          </w:tcPr>
          <w:p>
            <w:pPr>
              <w:jc w:val="right"/>
              <w:spacing w:after="0"/>
              <w:rPr>
                <w:sz w:val="20"/>
                <w:szCs w:val="20"/>
                <w:color w:val="auto"/>
              </w:rPr>
            </w:pPr>
            <w:r>
              <w:rPr>
                <w:rFonts w:ascii="Arial" w:cs="Arial" w:eastAsia="Arial" w:hAnsi="Arial"/>
                <w:sz w:val="18"/>
                <w:szCs w:val="18"/>
                <w:color w:val="auto"/>
              </w:rPr>
              <w:t>7.3%</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1460" w:type="dxa"/>
            <w:vAlign w:val="bottom"/>
          </w:tcPr>
          <w:p>
            <w:pPr>
              <w:spacing w:after="0"/>
              <w:rPr>
                <w:sz w:val="2"/>
                <w:szCs w:val="2"/>
                <w:color w:val="auto"/>
              </w:rPr>
            </w:pPr>
          </w:p>
        </w:tc>
        <w:tc>
          <w:tcPr>
            <w:tcW w:w="200" w:type="dxa"/>
            <w:vAlign w:val="bottom"/>
          </w:tcPr>
          <w:p>
            <w:pPr>
              <w:spacing w:after="0"/>
              <w:rPr>
                <w:sz w:val="2"/>
                <w:szCs w:val="2"/>
                <w:color w:val="auto"/>
              </w:rPr>
            </w:pPr>
          </w:p>
        </w:tc>
        <w:tc>
          <w:tcPr>
            <w:tcW w:w="424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48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48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160" w:type="dxa"/>
            <w:vAlign w:val="bottom"/>
          </w:tcPr>
          <w:p>
            <w:pPr>
              <w:spacing w:after="0"/>
              <w:rPr>
                <w:sz w:val="2"/>
                <w:szCs w:val="2"/>
                <w:color w:val="auto"/>
              </w:rPr>
            </w:pPr>
          </w:p>
        </w:tc>
        <w:tc>
          <w:tcPr>
            <w:tcW w:w="500" w:type="dxa"/>
            <w:vAlign w:val="bottom"/>
            <w:shd w:val="clear" w:color="auto" w:fill="000000"/>
          </w:tcPr>
          <w:p>
            <w:pPr>
              <w:spacing w:after="0"/>
              <w:rPr>
                <w:sz w:val="2"/>
                <w:szCs w:val="2"/>
                <w:color w:val="auto"/>
              </w:rPr>
            </w:pPr>
          </w:p>
        </w:tc>
        <w:tc>
          <w:tcPr>
            <w:tcW w:w="38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400" w:type="dxa"/>
            <w:vAlign w:val="bottom"/>
            <w:shd w:val="clear" w:color="auto" w:fill="000000"/>
          </w:tcPr>
          <w:p>
            <w:pPr>
              <w:spacing w:after="0"/>
              <w:rPr>
                <w:sz w:val="2"/>
                <w:szCs w:val="2"/>
                <w:color w:val="auto"/>
              </w:rPr>
            </w:pPr>
          </w:p>
        </w:tc>
        <w:tc>
          <w:tcPr>
            <w:tcW w:w="380" w:type="dxa"/>
            <w:vAlign w:val="bottom"/>
          </w:tcPr>
          <w:p>
            <w:pPr>
              <w:spacing w:after="0"/>
              <w:rPr>
                <w:sz w:val="2"/>
                <w:szCs w:val="2"/>
                <w:color w:val="auto"/>
              </w:rPr>
            </w:pPr>
          </w:p>
        </w:tc>
        <w:tc>
          <w:tcPr>
            <w:tcW w:w="540" w:type="dxa"/>
            <w:vAlign w:val="bottom"/>
            <w:shd w:val="clear" w:color="auto" w:fill="000000"/>
          </w:tcPr>
          <w:p>
            <w:pPr>
              <w:spacing w:after="0"/>
              <w:rPr>
                <w:sz w:val="2"/>
                <w:szCs w:val="2"/>
                <w:color w:val="auto"/>
              </w:rPr>
            </w:pPr>
          </w:p>
        </w:tc>
        <w:tc>
          <w:tcPr>
            <w:tcW w:w="560" w:type="dxa"/>
            <w:vAlign w:val="bottom"/>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1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tcPr>
          <w:p>
            <w:pPr>
              <w:spacing w:after="0"/>
              <w:rPr>
                <w:sz w:val="18"/>
                <w:szCs w:val="18"/>
                <w:color w:val="auto"/>
              </w:rPr>
            </w:pPr>
          </w:p>
        </w:tc>
        <w:tc>
          <w:tcPr>
            <w:tcW w:w="5900" w:type="dxa"/>
            <w:vAlign w:val="bottom"/>
            <w:gridSpan w:val="3"/>
            <w:shd w:val="clear" w:color="auto" w:fill="CCEEFF"/>
          </w:tcPr>
          <w:p>
            <w:pPr>
              <w:ind w:left="420"/>
              <w:spacing w:after="0"/>
              <w:rPr>
                <w:sz w:val="20"/>
                <w:szCs w:val="20"/>
                <w:color w:val="auto"/>
              </w:rPr>
            </w:pPr>
            <w:r>
              <w:rPr>
                <w:rFonts w:ascii="Arial" w:cs="Arial" w:eastAsia="Arial" w:hAnsi="Arial"/>
                <w:sz w:val="18"/>
                <w:szCs w:val="18"/>
                <w:color w:val="auto"/>
              </w:rPr>
              <w:t>Total segment</w:t>
            </w:r>
          </w:p>
        </w:tc>
        <w:tc>
          <w:tcPr>
            <w:tcW w:w="100" w:type="dxa"/>
            <w:vAlign w:val="bottom"/>
            <w:shd w:val="clear" w:color="auto" w:fill="CCEEFF"/>
          </w:tcPr>
          <w:p>
            <w:pPr>
              <w:spacing w:after="0"/>
              <w:rPr>
                <w:sz w:val="18"/>
                <w:szCs w:val="18"/>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3"/>
              </w:rPr>
              <w:t>15,747</w:t>
            </w:r>
          </w:p>
        </w:tc>
        <w:tc>
          <w:tcPr>
            <w:tcW w:w="2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w w:val="83"/>
              </w:rPr>
              <w:t>13,972</w:t>
            </w:r>
          </w:p>
        </w:tc>
        <w:tc>
          <w:tcPr>
            <w:tcW w:w="1040" w:type="dxa"/>
            <w:vAlign w:val="bottom"/>
            <w:gridSpan w:val="3"/>
            <w:shd w:val="clear" w:color="auto" w:fill="CCEEFF"/>
          </w:tcPr>
          <w:p>
            <w:pPr>
              <w:jc w:val="right"/>
              <w:ind w:right="380"/>
              <w:spacing w:after="0"/>
              <w:rPr>
                <w:sz w:val="20"/>
                <w:szCs w:val="20"/>
                <w:color w:val="auto"/>
              </w:rPr>
            </w:pPr>
            <w:r>
              <w:rPr>
                <w:rFonts w:ascii="Arial" w:cs="Arial" w:eastAsia="Arial" w:hAnsi="Arial"/>
                <w:sz w:val="18"/>
                <w:szCs w:val="18"/>
                <w:color w:val="auto"/>
              </w:rPr>
              <w:t>2,221</w:t>
            </w:r>
          </w:p>
        </w:tc>
        <w:tc>
          <w:tcPr>
            <w:tcW w:w="100" w:type="dxa"/>
            <w:vAlign w:val="bottom"/>
            <w:shd w:val="clear" w:color="auto" w:fill="CCEEFF"/>
          </w:tcPr>
          <w:p>
            <w:pPr>
              <w:spacing w:after="0"/>
              <w:rPr>
                <w:sz w:val="18"/>
                <w:szCs w:val="18"/>
                <w:color w:val="auto"/>
              </w:rPr>
            </w:pPr>
          </w:p>
        </w:tc>
        <w:tc>
          <w:tcPr>
            <w:tcW w:w="4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4"/>
              </w:rPr>
              <w:t>1,977</w:t>
            </w:r>
          </w:p>
        </w:tc>
        <w:tc>
          <w:tcPr>
            <w:tcW w:w="38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420"/>
              <w:spacing w:after="0"/>
              <w:rPr>
                <w:sz w:val="20"/>
                <w:szCs w:val="20"/>
                <w:color w:val="auto"/>
              </w:rPr>
            </w:pPr>
            <w:r>
              <w:rPr>
                <w:rFonts w:ascii="Arial" w:cs="Arial" w:eastAsia="Arial" w:hAnsi="Arial"/>
                <w:sz w:val="18"/>
                <w:szCs w:val="18"/>
                <w:color w:val="auto"/>
              </w:rPr>
              <w:t>14.1%</w:t>
            </w:r>
          </w:p>
        </w:tc>
        <w:tc>
          <w:tcPr>
            <w:tcW w:w="7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14.1%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900" w:type="dxa"/>
            <w:vAlign w:val="bottom"/>
            <w:gridSpan w:val="3"/>
          </w:tcPr>
          <w:p>
            <w:pPr>
              <w:spacing w:after="0"/>
              <w:rPr>
                <w:sz w:val="20"/>
                <w:szCs w:val="20"/>
                <w:color w:val="auto"/>
              </w:rPr>
            </w:pPr>
            <w:r>
              <w:rPr>
                <w:rFonts w:ascii="Arial" w:cs="Arial" w:eastAsia="Arial" w:hAnsi="Arial"/>
                <w:sz w:val="18"/>
                <w:szCs w:val="18"/>
                <w:color w:val="auto"/>
              </w:rPr>
              <w:t>Eliminations and other</w:t>
            </w:r>
          </w:p>
        </w:tc>
        <w:tc>
          <w:tcPr>
            <w:tcW w:w="100" w:type="dxa"/>
            <w:vAlign w:val="bottom"/>
          </w:tcPr>
          <w:p>
            <w:pPr>
              <w:spacing w:after="0"/>
              <w:rPr>
                <w:sz w:val="18"/>
                <w:szCs w:val="18"/>
                <w:color w:val="auto"/>
              </w:rPr>
            </w:pPr>
          </w:p>
        </w:tc>
        <w:tc>
          <w:tcPr>
            <w:tcW w:w="700" w:type="dxa"/>
            <w:vAlign w:val="bottom"/>
            <w:gridSpan w:val="2"/>
          </w:tcPr>
          <w:p>
            <w:pPr>
              <w:jc w:val="right"/>
              <w:ind w:right="160"/>
              <w:spacing w:after="0"/>
              <w:rPr>
                <w:sz w:val="20"/>
                <w:szCs w:val="20"/>
                <w:color w:val="auto"/>
              </w:rPr>
            </w:pPr>
            <w:r>
              <w:rPr>
                <w:rFonts w:ascii="Arial" w:cs="Arial" w:eastAsia="Arial" w:hAnsi="Arial"/>
                <w:sz w:val="18"/>
                <w:szCs w:val="18"/>
                <w:color w:val="auto"/>
              </w:rPr>
              <w:t>(80)</w:t>
            </w: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00" w:type="dxa"/>
            <w:vAlign w:val="bottom"/>
            <w:gridSpan w:val="2"/>
          </w:tcPr>
          <w:p>
            <w:pPr>
              <w:jc w:val="right"/>
              <w:ind w:right="160"/>
              <w:spacing w:after="0"/>
              <w:rPr>
                <w:sz w:val="20"/>
                <w:szCs w:val="20"/>
                <w:color w:val="auto"/>
              </w:rPr>
            </w:pPr>
            <w:r>
              <w:rPr>
                <w:rFonts w:ascii="Arial" w:cs="Arial" w:eastAsia="Arial" w:hAnsi="Arial"/>
                <w:sz w:val="18"/>
                <w:szCs w:val="18"/>
                <w:color w:val="auto"/>
              </w:rPr>
              <w:t>(68)</w:t>
            </w:r>
          </w:p>
        </w:tc>
        <w:tc>
          <w:tcPr>
            <w:tcW w:w="1040" w:type="dxa"/>
            <w:vAlign w:val="bottom"/>
            <w:gridSpan w:val="3"/>
          </w:tcPr>
          <w:p>
            <w:pPr>
              <w:jc w:val="right"/>
              <w:ind w:right="320"/>
              <w:spacing w:after="0"/>
              <w:rPr>
                <w:sz w:val="20"/>
                <w:szCs w:val="20"/>
                <w:color w:val="auto"/>
              </w:rPr>
            </w:pPr>
            <w:r>
              <w:rPr>
                <w:rFonts w:ascii="Arial" w:cs="Arial" w:eastAsia="Arial" w:hAnsi="Arial"/>
                <w:sz w:val="18"/>
                <w:szCs w:val="18"/>
                <w:color w:val="auto"/>
              </w:rPr>
              <w:t>(13)</w:t>
            </w:r>
          </w:p>
        </w:tc>
        <w:tc>
          <w:tcPr>
            <w:tcW w:w="100" w:type="dxa"/>
            <w:vAlign w:val="bottom"/>
          </w:tcPr>
          <w:p>
            <w:pPr>
              <w:spacing w:after="0"/>
              <w:rPr>
                <w:sz w:val="18"/>
                <w:szCs w:val="18"/>
                <w:color w:val="auto"/>
              </w:rPr>
            </w:pPr>
          </w:p>
        </w:tc>
        <w:tc>
          <w:tcPr>
            <w:tcW w:w="780" w:type="dxa"/>
            <w:vAlign w:val="bottom"/>
            <w:gridSpan w:val="2"/>
          </w:tcPr>
          <w:p>
            <w:pPr>
              <w:jc w:val="right"/>
              <w:ind w:right="320"/>
              <w:spacing w:after="0"/>
              <w:rPr>
                <w:sz w:val="20"/>
                <w:szCs w:val="20"/>
                <w:color w:val="auto"/>
              </w:rPr>
            </w:pPr>
            <w:r>
              <w:rPr>
                <w:rFonts w:ascii="Arial" w:cs="Arial" w:eastAsia="Arial" w:hAnsi="Arial"/>
                <w:sz w:val="18"/>
                <w:szCs w:val="18"/>
                <w:color w:val="auto"/>
              </w:rPr>
              <w:t>(20)</w:t>
            </w:r>
          </w:p>
        </w:tc>
        <w:tc>
          <w:tcPr>
            <w:tcW w:w="54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90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General corporate expenses</w:t>
            </w:r>
          </w:p>
        </w:tc>
        <w:tc>
          <w:tcPr>
            <w:tcW w:w="100" w:type="dxa"/>
            <w:vAlign w:val="bottom"/>
            <w:shd w:val="clear" w:color="auto" w:fill="CCEEFF"/>
          </w:tcPr>
          <w:p>
            <w:pPr>
              <w:spacing w:after="0"/>
              <w:rPr>
                <w:sz w:val="18"/>
                <w:szCs w:val="18"/>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(109)</w:t>
            </w:r>
          </w:p>
        </w:tc>
        <w:tc>
          <w:tcPr>
            <w:tcW w:w="10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(92)</w:t>
            </w:r>
          </w:p>
        </w:tc>
        <w:tc>
          <w:tcPr>
            <w:tcW w:w="54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5920" w:type="dxa"/>
            <w:vAlign w:val="bottom"/>
            <w:gridSpan w:val="4"/>
            <w:vMerge w:val="restart"/>
          </w:tcPr>
          <w:p>
            <w:pPr>
              <w:spacing w:after="0"/>
              <w:rPr>
                <w:sz w:val="20"/>
                <w:szCs w:val="20"/>
                <w:color w:val="auto"/>
              </w:rPr>
            </w:pPr>
            <w:r>
              <w:rPr>
                <w:rFonts w:ascii="Arial" w:cs="Arial" w:eastAsia="Arial" w:hAnsi="Arial"/>
                <w:sz w:val="18"/>
                <w:szCs w:val="18"/>
                <w:color w:val="auto"/>
              </w:rPr>
              <w:t>Consolidated</w:t>
            </w:r>
          </w:p>
        </w:tc>
        <w:tc>
          <w:tcPr>
            <w:tcW w:w="100" w:type="dxa"/>
            <w:vAlign w:val="bottom"/>
            <w:shd w:val="clear" w:color="auto" w:fill="000000"/>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2"/>
        </w:trPr>
        <w:tc>
          <w:tcPr>
            <w:tcW w:w="5920" w:type="dxa"/>
            <w:vAlign w:val="bottom"/>
            <w:gridSpan w:val="4"/>
            <w:vMerge w:val="continue"/>
          </w:tcPr>
          <w:p>
            <w:pPr>
              <w:spacing w:after="0"/>
              <w:rPr>
                <w:sz w:val="19"/>
                <w:szCs w:val="19"/>
                <w:color w:val="auto"/>
              </w:rPr>
            </w:pPr>
          </w:p>
        </w:tc>
        <w:tc>
          <w:tcPr>
            <w:tcW w:w="100" w:type="dxa"/>
            <w:vAlign w:val="bottom"/>
          </w:tcPr>
          <w:p>
            <w:pPr>
              <w:jc w:val="right"/>
              <w:spacing w:after="0"/>
              <w:rPr>
                <w:sz w:val="20"/>
                <w:szCs w:val="20"/>
                <w:color w:val="auto"/>
              </w:rPr>
            </w:pPr>
            <w:r>
              <w:rPr>
                <w:rFonts w:ascii="Arial" w:cs="Arial" w:eastAsia="Arial" w:hAnsi="Arial"/>
                <w:sz w:val="18"/>
                <w:szCs w:val="18"/>
                <w:u w:val="single" w:color="auto"/>
                <w:color w:val="auto"/>
                <w:w w:val="79"/>
              </w:rPr>
              <w:t>$</w:t>
            </w:r>
          </w:p>
        </w:tc>
        <w:tc>
          <w:tcPr>
            <w:tcW w:w="480" w:type="dxa"/>
            <w:vAlign w:val="bottom"/>
          </w:tcPr>
          <w:p>
            <w:pPr>
              <w:jc w:val="right"/>
              <w:spacing w:after="0"/>
              <w:rPr>
                <w:sz w:val="20"/>
                <w:szCs w:val="20"/>
                <w:color w:val="auto"/>
              </w:rPr>
            </w:pPr>
            <w:r>
              <w:rPr>
                <w:rFonts w:ascii="Arial" w:cs="Arial" w:eastAsia="Arial" w:hAnsi="Arial"/>
                <w:sz w:val="18"/>
                <w:szCs w:val="18"/>
                <w:color w:val="auto"/>
                <w:w w:val="83"/>
              </w:rPr>
              <w:t>15,667</w:t>
            </w:r>
          </w:p>
        </w:tc>
        <w:tc>
          <w:tcPr>
            <w:tcW w:w="2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0" w:type="dxa"/>
            <w:vAlign w:val="bottom"/>
          </w:tcPr>
          <w:p>
            <w:pPr>
              <w:jc w:val="right"/>
              <w:spacing w:after="0"/>
              <w:rPr>
                <w:sz w:val="20"/>
                <w:szCs w:val="20"/>
                <w:color w:val="auto"/>
              </w:rPr>
            </w:pPr>
            <w:r>
              <w:rPr>
                <w:rFonts w:ascii="Arial" w:cs="Arial" w:eastAsia="Arial" w:hAnsi="Arial"/>
                <w:sz w:val="15"/>
                <w:szCs w:val="15"/>
                <w:u w:val="single" w:color="auto"/>
                <w:color w:val="auto"/>
                <w:w w:val="71"/>
              </w:rPr>
              <w:t>$</w:t>
            </w:r>
          </w:p>
        </w:tc>
        <w:tc>
          <w:tcPr>
            <w:tcW w:w="700" w:type="dxa"/>
            <w:vAlign w:val="bottom"/>
            <w:gridSpan w:val="2"/>
          </w:tcPr>
          <w:p>
            <w:pPr>
              <w:jc w:val="right"/>
              <w:ind w:right="220"/>
              <w:spacing w:after="0"/>
              <w:rPr>
                <w:sz w:val="20"/>
                <w:szCs w:val="20"/>
                <w:color w:val="auto"/>
              </w:rPr>
            </w:pPr>
            <w:r>
              <w:rPr>
                <w:rFonts w:ascii="Arial" w:cs="Arial" w:eastAsia="Arial" w:hAnsi="Arial"/>
                <w:sz w:val="18"/>
                <w:szCs w:val="18"/>
                <w:color w:val="auto"/>
                <w:w w:val="83"/>
              </w:rPr>
              <w:t>13,904</w:t>
            </w:r>
          </w:p>
        </w:tc>
        <w:tc>
          <w:tcPr>
            <w:tcW w:w="1040" w:type="dxa"/>
            <w:vAlign w:val="bottom"/>
            <w:gridSpan w:val="3"/>
          </w:tcPr>
          <w:p>
            <w:pPr>
              <w:jc w:val="right"/>
              <w:ind w:right="380"/>
              <w:spacing w:after="0"/>
              <w:rPr>
                <w:sz w:val="20"/>
                <w:szCs w:val="20"/>
                <w:color w:val="auto"/>
              </w:rPr>
            </w:pPr>
            <w:r>
              <w:rPr>
                <w:rFonts w:ascii="Arial" w:cs="Arial" w:eastAsia="Arial" w:hAnsi="Arial"/>
                <w:sz w:val="18"/>
                <w:szCs w:val="18"/>
                <w:u w:val="single" w:color="auto"/>
                <w:color w:val="auto"/>
              </w:rPr>
              <w:t>$</w:t>
            </w:r>
            <w:r>
              <w:rPr>
                <w:rFonts w:ascii="Arial" w:cs="Arial" w:eastAsia="Arial" w:hAnsi="Arial"/>
                <w:sz w:val="18"/>
                <w:szCs w:val="18"/>
                <w:color w:val="auto"/>
              </w:rPr>
              <w:t>2,099</w:t>
            </w:r>
          </w:p>
        </w:tc>
        <w:tc>
          <w:tcPr>
            <w:tcW w:w="100" w:type="dxa"/>
            <w:vAlign w:val="bottom"/>
          </w:tcPr>
          <w:p>
            <w:pPr>
              <w:jc w:val="right"/>
              <w:spacing w:after="0"/>
              <w:rPr>
                <w:sz w:val="20"/>
                <w:szCs w:val="20"/>
                <w:color w:val="auto"/>
              </w:rPr>
            </w:pPr>
            <w:r>
              <w:rPr>
                <w:rFonts w:ascii="Arial" w:cs="Arial" w:eastAsia="Arial" w:hAnsi="Arial"/>
                <w:sz w:val="15"/>
                <w:szCs w:val="15"/>
                <w:u w:val="single" w:color="auto"/>
                <w:color w:val="auto"/>
                <w:w w:val="71"/>
              </w:rPr>
              <w:t>$</w:t>
            </w:r>
          </w:p>
        </w:tc>
        <w:tc>
          <w:tcPr>
            <w:tcW w:w="400" w:type="dxa"/>
            <w:vAlign w:val="bottom"/>
          </w:tcPr>
          <w:p>
            <w:pPr>
              <w:jc w:val="right"/>
              <w:spacing w:after="0"/>
              <w:rPr>
                <w:sz w:val="20"/>
                <w:szCs w:val="20"/>
                <w:color w:val="auto"/>
              </w:rPr>
            </w:pPr>
            <w:r>
              <w:rPr>
                <w:rFonts w:ascii="Arial" w:cs="Arial" w:eastAsia="Arial" w:hAnsi="Arial"/>
                <w:sz w:val="18"/>
                <w:szCs w:val="18"/>
                <w:color w:val="auto"/>
                <w:w w:val="84"/>
              </w:rPr>
              <w:t>1,865</w:t>
            </w:r>
          </w:p>
        </w:tc>
        <w:tc>
          <w:tcPr>
            <w:tcW w:w="380" w:type="dxa"/>
            <w:vAlign w:val="bottom"/>
          </w:tcPr>
          <w:p>
            <w:pPr>
              <w:spacing w:after="0"/>
              <w:rPr>
                <w:sz w:val="19"/>
                <w:szCs w:val="19"/>
                <w:color w:val="auto"/>
              </w:rPr>
            </w:pPr>
          </w:p>
        </w:tc>
        <w:tc>
          <w:tcPr>
            <w:tcW w:w="1100" w:type="dxa"/>
            <w:vAlign w:val="bottom"/>
            <w:gridSpan w:val="2"/>
          </w:tcPr>
          <w:p>
            <w:pPr>
              <w:jc w:val="right"/>
              <w:ind w:right="420"/>
              <w:spacing w:after="0"/>
              <w:rPr>
                <w:sz w:val="20"/>
                <w:szCs w:val="20"/>
                <w:color w:val="auto"/>
              </w:rPr>
            </w:pPr>
            <w:r>
              <w:rPr>
                <w:rFonts w:ascii="Arial" w:cs="Arial" w:eastAsia="Arial" w:hAnsi="Arial"/>
                <w:sz w:val="18"/>
                <w:szCs w:val="18"/>
                <w:color w:val="auto"/>
              </w:rPr>
              <w:t>13.4%</w:t>
            </w:r>
          </w:p>
        </w:tc>
        <w:tc>
          <w:tcPr>
            <w:tcW w:w="720" w:type="dxa"/>
            <w:vAlign w:val="bottom"/>
            <w:gridSpan w:val="2"/>
          </w:tcPr>
          <w:p>
            <w:pPr>
              <w:jc w:val="right"/>
              <w:spacing w:after="0"/>
              <w:rPr>
                <w:sz w:val="20"/>
                <w:szCs w:val="20"/>
                <w:color w:val="auto"/>
              </w:rPr>
            </w:pPr>
            <w:r>
              <w:rPr>
                <w:rFonts w:ascii="Arial" w:cs="Arial" w:eastAsia="Arial" w:hAnsi="Arial"/>
                <w:sz w:val="18"/>
                <w:szCs w:val="18"/>
                <w:color w:val="auto"/>
              </w:rPr>
              <w:t>13.4%</w:t>
            </w:r>
          </w:p>
        </w:tc>
        <w:tc>
          <w:tcPr>
            <w:tcW w:w="0" w:type="dxa"/>
            <w:vAlign w:val="bottom"/>
          </w:tcPr>
          <w:p>
            <w:pPr>
              <w:spacing w:after="0"/>
              <w:rPr>
                <w:sz w:val="1"/>
                <w:szCs w:val="1"/>
                <w:color w:val="auto"/>
              </w:rPr>
            </w:pPr>
          </w:p>
        </w:tc>
      </w:tr>
      <w:tr>
        <w:trPr>
          <w:trHeight w:val="20"/>
        </w:trPr>
        <w:tc>
          <w:tcPr>
            <w:tcW w:w="1680" w:type="dxa"/>
            <w:vAlign w:val="bottom"/>
            <w:gridSpan w:val="3"/>
          </w:tcPr>
          <w:p>
            <w:pPr>
              <w:spacing w:after="0" w:line="20" w:lineRule="exact"/>
              <w:rPr>
                <w:sz w:val="1"/>
                <w:szCs w:val="1"/>
                <w:color w:val="auto"/>
              </w:rPr>
            </w:pPr>
          </w:p>
        </w:tc>
        <w:tc>
          <w:tcPr>
            <w:tcW w:w="42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gridSpan w:val="2"/>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500" w:type="dxa"/>
            <w:vAlign w:val="bottom"/>
            <w:tcBorders>
              <w:top w:val="single" w:sz="8" w:color="auto"/>
              <w:bottom w:val="single" w:sz="8" w:color="auto"/>
            </w:tcBorders>
            <w:gridSpan w:val="2"/>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60"/>
        </w:trPr>
        <w:tc>
          <w:tcPr>
            <w:tcW w:w="5920" w:type="dxa"/>
            <w:vAlign w:val="bottom"/>
            <w:gridSpan w:val="4"/>
          </w:tcPr>
          <w:p>
            <w:pPr>
              <w:spacing w:after="0"/>
              <w:rPr>
                <w:sz w:val="20"/>
                <w:szCs w:val="20"/>
                <w:color w:val="auto"/>
              </w:rPr>
            </w:pPr>
            <w:r>
              <w:rPr>
                <w:rFonts w:ascii="Arial" w:cs="Arial" w:eastAsia="Arial" w:hAnsi="Arial"/>
                <w:sz w:val="14"/>
                <w:szCs w:val="14"/>
                <w:b w:val="1"/>
                <w:bCs w:val="1"/>
                <w:color w:val="auto"/>
              </w:rPr>
              <w:t>Six Months Ended June 30,</w:t>
            </w:r>
          </w:p>
        </w:tc>
        <w:tc>
          <w:tcPr>
            <w:tcW w:w="100" w:type="dxa"/>
            <w:vAlign w:val="bottom"/>
          </w:tcPr>
          <w:p>
            <w:pPr>
              <w:spacing w:after="0"/>
              <w:rPr>
                <w:sz w:val="24"/>
                <w:szCs w:val="24"/>
                <w:color w:val="auto"/>
              </w:rPr>
            </w:pPr>
          </w:p>
        </w:tc>
        <w:tc>
          <w:tcPr>
            <w:tcW w:w="960" w:type="dxa"/>
            <w:vAlign w:val="bottom"/>
            <w:gridSpan w:val="4"/>
          </w:tcPr>
          <w:p>
            <w:pPr>
              <w:jc w:val="right"/>
              <w:spacing w:after="0"/>
              <w:rPr>
                <w:sz w:val="20"/>
                <w:szCs w:val="20"/>
                <w:color w:val="auto"/>
              </w:rPr>
            </w:pPr>
            <w:r>
              <w:rPr>
                <w:rFonts w:ascii="Arial" w:cs="Arial" w:eastAsia="Arial" w:hAnsi="Arial"/>
                <w:sz w:val="14"/>
                <w:szCs w:val="14"/>
                <w:b w:val="1"/>
                <w:bCs w:val="1"/>
                <w:color w:val="auto"/>
              </w:rPr>
              <w:t>Revenues</w:t>
            </w:r>
          </w:p>
        </w:tc>
        <w:tc>
          <w:tcPr>
            <w:tcW w:w="4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760" w:type="dxa"/>
            <w:vAlign w:val="bottom"/>
            <w:gridSpan w:val="5"/>
          </w:tcPr>
          <w:p>
            <w:pPr>
              <w:jc w:val="right"/>
              <w:ind w:right="560"/>
              <w:spacing w:after="0"/>
              <w:rPr>
                <w:sz w:val="20"/>
                <w:szCs w:val="20"/>
                <w:color w:val="auto"/>
              </w:rPr>
            </w:pPr>
            <w:r>
              <w:rPr>
                <w:rFonts w:ascii="Arial" w:cs="Arial" w:eastAsia="Arial" w:hAnsi="Arial"/>
                <w:sz w:val="14"/>
                <w:szCs w:val="14"/>
                <w:b w:val="1"/>
                <w:bCs w:val="1"/>
                <w:color w:val="auto"/>
              </w:rPr>
              <w:t>Operating Profits</w:t>
            </w:r>
          </w:p>
        </w:tc>
        <w:tc>
          <w:tcPr>
            <w:tcW w:w="1820" w:type="dxa"/>
            <w:vAlign w:val="bottom"/>
            <w:gridSpan w:val="4"/>
          </w:tcPr>
          <w:p>
            <w:pPr>
              <w:ind w:left="120"/>
              <w:spacing w:after="0"/>
              <w:rPr>
                <w:sz w:val="20"/>
                <w:szCs w:val="20"/>
                <w:color w:val="auto"/>
              </w:rPr>
            </w:pPr>
            <w:r>
              <w:rPr>
                <w:rFonts w:ascii="Arial" w:cs="Arial" w:eastAsia="Arial" w:hAnsi="Arial"/>
                <w:sz w:val="14"/>
                <w:szCs w:val="14"/>
                <w:b w:val="1"/>
                <w:bCs w:val="1"/>
                <w:color w:val="auto"/>
              </w:rPr>
              <w:t>Operating Profit Margin</w:t>
            </w:r>
          </w:p>
        </w:tc>
        <w:tc>
          <w:tcPr>
            <w:tcW w:w="0" w:type="dxa"/>
            <w:vAlign w:val="bottom"/>
          </w:tcPr>
          <w:p>
            <w:pPr>
              <w:spacing w:after="0"/>
              <w:rPr>
                <w:sz w:val="1"/>
                <w:szCs w:val="1"/>
                <w:color w:val="auto"/>
              </w:rPr>
            </w:pPr>
          </w:p>
        </w:tc>
      </w:tr>
      <w:tr>
        <w:trPr>
          <w:trHeight w:val="129"/>
        </w:trPr>
        <w:tc>
          <w:tcPr>
            <w:tcW w:w="5920" w:type="dxa"/>
            <w:vAlign w:val="bottom"/>
            <w:gridSpan w:val="4"/>
          </w:tcPr>
          <w:p>
            <w:pPr>
              <w:spacing w:after="0" w:line="129" w:lineRule="exact"/>
              <w:rPr>
                <w:sz w:val="20"/>
                <w:szCs w:val="20"/>
                <w:color w:val="auto"/>
              </w:rPr>
            </w:pPr>
            <w:r>
              <w:rPr>
                <w:rFonts w:ascii="Arial" w:cs="Arial" w:eastAsia="Arial" w:hAnsi="Arial"/>
                <w:sz w:val="14"/>
                <w:szCs w:val="14"/>
                <w:b w:val="1"/>
                <w:bCs w:val="1"/>
                <w:color w:val="auto"/>
              </w:rPr>
              <w:t>(in millions of dollars)</w:t>
            </w:r>
          </w:p>
        </w:tc>
        <w:tc>
          <w:tcPr>
            <w:tcW w:w="100" w:type="dxa"/>
            <w:vAlign w:val="bottom"/>
            <w:tcBorders>
              <w:top w:val="single" w:sz="8" w:color="auto"/>
            </w:tcBorders>
          </w:tcPr>
          <w:p>
            <w:pPr>
              <w:spacing w:after="0"/>
              <w:rPr>
                <w:sz w:val="11"/>
                <w:szCs w:val="11"/>
                <w:color w:val="auto"/>
              </w:rPr>
            </w:pPr>
          </w:p>
        </w:tc>
        <w:tc>
          <w:tcPr>
            <w:tcW w:w="480" w:type="dxa"/>
            <w:vAlign w:val="bottom"/>
            <w:tcBorders>
              <w:top w:val="single" w:sz="8" w:color="auto"/>
            </w:tcBorders>
          </w:tcPr>
          <w:p>
            <w:pPr>
              <w:jc w:val="right"/>
              <w:ind w:right="76"/>
              <w:spacing w:after="0" w:line="129" w:lineRule="exact"/>
              <w:rPr>
                <w:sz w:val="20"/>
                <w:szCs w:val="20"/>
                <w:color w:val="auto"/>
              </w:rPr>
            </w:pPr>
            <w:r>
              <w:rPr>
                <w:rFonts w:ascii="Arial" w:cs="Arial" w:eastAsia="Arial" w:hAnsi="Arial"/>
                <w:sz w:val="14"/>
                <w:szCs w:val="14"/>
                <w:b w:val="1"/>
                <w:bCs w:val="1"/>
                <w:color w:val="auto"/>
                <w:w w:val="96"/>
              </w:rPr>
              <w:t>2008</w:t>
            </w:r>
          </w:p>
        </w:tc>
        <w:tc>
          <w:tcPr>
            <w:tcW w:w="220" w:type="dxa"/>
            <w:vAlign w:val="bottom"/>
            <w:tcBorders>
              <w:top w:val="single" w:sz="8" w:color="auto"/>
            </w:tcBorders>
          </w:tcPr>
          <w:p>
            <w:pPr>
              <w:spacing w:after="0"/>
              <w:rPr>
                <w:sz w:val="11"/>
                <w:szCs w:val="11"/>
                <w:color w:val="auto"/>
              </w:rPr>
            </w:pPr>
          </w:p>
        </w:tc>
        <w:tc>
          <w:tcPr>
            <w:tcW w:w="160" w:type="dxa"/>
            <w:vAlign w:val="bottom"/>
            <w:tcBorders>
              <w:top w:val="single" w:sz="8" w:color="auto"/>
            </w:tcBorders>
          </w:tcPr>
          <w:p>
            <w:pPr>
              <w:spacing w:after="0"/>
              <w:rPr>
                <w:sz w:val="11"/>
                <w:szCs w:val="11"/>
                <w:color w:val="auto"/>
              </w:rPr>
            </w:pPr>
          </w:p>
        </w:tc>
        <w:tc>
          <w:tcPr>
            <w:tcW w:w="100" w:type="dxa"/>
            <w:vAlign w:val="bottom"/>
            <w:tcBorders>
              <w:top w:val="single" w:sz="8" w:color="auto"/>
            </w:tcBorders>
          </w:tcPr>
          <w:p>
            <w:pPr>
              <w:spacing w:after="0"/>
              <w:rPr>
                <w:sz w:val="11"/>
                <w:szCs w:val="11"/>
                <w:color w:val="auto"/>
              </w:rPr>
            </w:pPr>
          </w:p>
        </w:tc>
        <w:tc>
          <w:tcPr>
            <w:tcW w:w="480" w:type="dxa"/>
            <w:vAlign w:val="bottom"/>
            <w:tcBorders>
              <w:top w:val="single" w:sz="8" w:color="auto"/>
            </w:tcBorders>
          </w:tcPr>
          <w:p>
            <w:pPr>
              <w:jc w:val="right"/>
              <w:ind w:right="74"/>
              <w:spacing w:after="0" w:line="129" w:lineRule="exact"/>
              <w:rPr>
                <w:sz w:val="20"/>
                <w:szCs w:val="20"/>
                <w:color w:val="auto"/>
              </w:rPr>
            </w:pPr>
            <w:r>
              <w:rPr>
                <w:rFonts w:ascii="Arial" w:cs="Arial" w:eastAsia="Arial" w:hAnsi="Arial"/>
                <w:sz w:val="14"/>
                <w:szCs w:val="14"/>
                <w:b w:val="1"/>
                <w:bCs w:val="1"/>
                <w:color w:val="auto"/>
                <w:w w:val="96"/>
              </w:rPr>
              <w:t>2007</w:t>
            </w:r>
          </w:p>
        </w:tc>
        <w:tc>
          <w:tcPr>
            <w:tcW w:w="2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00" w:type="dxa"/>
            <w:vAlign w:val="bottom"/>
            <w:tcBorders>
              <w:top w:val="single" w:sz="8" w:color="auto"/>
            </w:tcBorders>
          </w:tcPr>
          <w:p>
            <w:pPr>
              <w:jc w:val="right"/>
              <w:ind w:right="46"/>
              <w:spacing w:after="0" w:line="129" w:lineRule="exact"/>
              <w:rPr>
                <w:sz w:val="20"/>
                <w:szCs w:val="20"/>
                <w:color w:val="auto"/>
              </w:rPr>
            </w:pPr>
            <w:r>
              <w:rPr>
                <w:rFonts w:ascii="Arial" w:cs="Arial" w:eastAsia="Arial" w:hAnsi="Arial"/>
                <w:sz w:val="14"/>
                <w:szCs w:val="14"/>
                <w:b w:val="1"/>
                <w:bCs w:val="1"/>
                <w:color w:val="auto"/>
              </w:rPr>
              <w:t>2008</w:t>
            </w:r>
          </w:p>
        </w:tc>
        <w:tc>
          <w:tcPr>
            <w:tcW w:w="380" w:type="dxa"/>
            <w:vAlign w:val="bottom"/>
            <w:tcBorders>
              <w:top w:val="single" w:sz="8" w:color="auto"/>
            </w:tcBorders>
          </w:tcPr>
          <w:p>
            <w:pPr>
              <w:spacing w:after="0"/>
              <w:rPr>
                <w:sz w:val="11"/>
                <w:szCs w:val="11"/>
                <w:color w:val="auto"/>
              </w:rPr>
            </w:pPr>
          </w:p>
        </w:tc>
        <w:tc>
          <w:tcPr>
            <w:tcW w:w="100" w:type="dxa"/>
            <w:vAlign w:val="bottom"/>
            <w:tcBorders>
              <w:top w:val="single" w:sz="8" w:color="auto"/>
            </w:tcBorders>
          </w:tcPr>
          <w:p>
            <w:pPr>
              <w:spacing w:after="0"/>
              <w:rPr>
                <w:sz w:val="11"/>
                <w:szCs w:val="11"/>
                <w:color w:val="auto"/>
              </w:rPr>
            </w:pPr>
          </w:p>
        </w:tc>
        <w:tc>
          <w:tcPr>
            <w:tcW w:w="400" w:type="dxa"/>
            <w:vAlign w:val="bottom"/>
            <w:tcBorders>
              <w:top w:val="single" w:sz="8" w:color="auto"/>
            </w:tcBorders>
          </w:tcPr>
          <w:p>
            <w:pPr>
              <w:jc w:val="right"/>
              <w:ind w:right="34"/>
              <w:spacing w:after="0" w:line="129" w:lineRule="exact"/>
              <w:rPr>
                <w:sz w:val="20"/>
                <w:szCs w:val="20"/>
                <w:color w:val="auto"/>
              </w:rPr>
            </w:pPr>
            <w:r>
              <w:rPr>
                <w:rFonts w:ascii="Arial" w:cs="Arial" w:eastAsia="Arial" w:hAnsi="Arial"/>
                <w:sz w:val="14"/>
                <w:szCs w:val="14"/>
                <w:b w:val="1"/>
                <w:bCs w:val="1"/>
                <w:color w:val="auto"/>
                <w:w w:val="83"/>
              </w:rPr>
              <w:t>2007</w:t>
            </w:r>
          </w:p>
        </w:tc>
        <w:tc>
          <w:tcPr>
            <w:tcW w:w="380" w:type="dxa"/>
            <w:vAlign w:val="bottom"/>
          </w:tcPr>
          <w:p>
            <w:pPr>
              <w:spacing w:after="0"/>
              <w:rPr>
                <w:sz w:val="11"/>
                <w:szCs w:val="11"/>
                <w:color w:val="auto"/>
              </w:rPr>
            </w:pPr>
          </w:p>
        </w:tc>
        <w:tc>
          <w:tcPr>
            <w:tcW w:w="540" w:type="dxa"/>
            <w:vAlign w:val="bottom"/>
            <w:tcBorders>
              <w:top w:val="single" w:sz="8" w:color="auto"/>
            </w:tcBorders>
          </w:tcPr>
          <w:p>
            <w:pPr>
              <w:ind w:left="140"/>
              <w:spacing w:after="0" w:line="129" w:lineRule="exact"/>
              <w:rPr>
                <w:sz w:val="20"/>
                <w:szCs w:val="20"/>
                <w:color w:val="auto"/>
              </w:rPr>
            </w:pPr>
            <w:r>
              <w:rPr>
                <w:rFonts w:ascii="Arial" w:cs="Arial" w:eastAsia="Arial" w:hAnsi="Arial"/>
                <w:sz w:val="14"/>
                <w:szCs w:val="14"/>
                <w:b w:val="1"/>
                <w:bCs w:val="1"/>
                <w:color w:val="auto"/>
              </w:rPr>
              <w:t>2008</w:t>
            </w:r>
          </w:p>
        </w:tc>
        <w:tc>
          <w:tcPr>
            <w:tcW w:w="560" w:type="dxa"/>
            <w:vAlign w:val="bottom"/>
            <w:tcBorders>
              <w:top w:val="single" w:sz="8" w:color="auto"/>
            </w:tcBorders>
          </w:tcPr>
          <w:p>
            <w:pPr>
              <w:spacing w:after="0"/>
              <w:rPr>
                <w:sz w:val="11"/>
                <w:szCs w:val="11"/>
                <w:color w:val="auto"/>
              </w:rPr>
            </w:pPr>
          </w:p>
        </w:tc>
        <w:tc>
          <w:tcPr>
            <w:tcW w:w="580" w:type="dxa"/>
            <w:vAlign w:val="bottom"/>
            <w:tcBorders>
              <w:top w:val="single" w:sz="8" w:color="auto"/>
            </w:tcBorders>
          </w:tcPr>
          <w:p>
            <w:pPr>
              <w:jc w:val="right"/>
              <w:ind w:right="74"/>
              <w:spacing w:after="0" w:line="129" w:lineRule="exact"/>
              <w:rPr>
                <w:sz w:val="20"/>
                <w:szCs w:val="20"/>
                <w:color w:val="auto"/>
              </w:rPr>
            </w:pPr>
            <w:r>
              <w:rPr>
                <w:rFonts w:ascii="Arial" w:cs="Arial" w:eastAsia="Arial" w:hAnsi="Arial"/>
                <w:sz w:val="14"/>
                <w:szCs w:val="14"/>
                <w:b w:val="1"/>
                <w:bCs w:val="1"/>
                <w:color w:val="auto"/>
              </w:rPr>
              <w:t>2007</w:t>
            </w:r>
          </w:p>
        </w:tc>
        <w:tc>
          <w:tcPr>
            <w:tcW w:w="1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1460" w:type="dxa"/>
            <w:vAlign w:val="bottom"/>
            <w:shd w:val="clear" w:color="auto" w:fill="000000"/>
          </w:tcPr>
          <w:p>
            <w:pPr>
              <w:spacing w:after="0"/>
              <w:rPr>
                <w:sz w:val="2"/>
                <w:szCs w:val="2"/>
                <w:color w:val="auto"/>
              </w:rPr>
            </w:pPr>
          </w:p>
        </w:tc>
        <w:tc>
          <w:tcPr>
            <w:tcW w:w="200" w:type="dxa"/>
            <w:vAlign w:val="bottom"/>
            <w:shd w:val="clear" w:color="auto" w:fill="000000"/>
          </w:tcPr>
          <w:p>
            <w:pPr>
              <w:spacing w:after="0"/>
              <w:rPr>
                <w:sz w:val="2"/>
                <w:szCs w:val="2"/>
                <w:color w:val="auto"/>
              </w:rPr>
            </w:pPr>
          </w:p>
        </w:tc>
        <w:tc>
          <w:tcPr>
            <w:tcW w:w="424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48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48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160" w:type="dxa"/>
            <w:vAlign w:val="bottom"/>
          </w:tcPr>
          <w:p>
            <w:pPr>
              <w:spacing w:after="0"/>
              <w:rPr>
                <w:sz w:val="2"/>
                <w:szCs w:val="2"/>
                <w:color w:val="auto"/>
              </w:rPr>
            </w:pPr>
          </w:p>
        </w:tc>
        <w:tc>
          <w:tcPr>
            <w:tcW w:w="500" w:type="dxa"/>
            <w:vAlign w:val="bottom"/>
            <w:shd w:val="clear" w:color="auto" w:fill="000000"/>
          </w:tcPr>
          <w:p>
            <w:pPr>
              <w:spacing w:after="0"/>
              <w:rPr>
                <w:sz w:val="2"/>
                <w:szCs w:val="2"/>
                <w:color w:val="auto"/>
              </w:rPr>
            </w:pPr>
          </w:p>
        </w:tc>
        <w:tc>
          <w:tcPr>
            <w:tcW w:w="38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400" w:type="dxa"/>
            <w:vAlign w:val="bottom"/>
            <w:shd w:val="clear" w:color="auto" w:fill="000000"/>
          </w:tcPr>
          <w:p>
            <w:pPr>
              <w:spacing w:after="0"/>
              <w:rPr>
                <w:sz w:val="2"/>
                <w:szCs w:val="2"/>
                <w:color w:val="auto"/>
              </w:rPr>
            </w:pPr>
          </w:p>
        </w:tc>
        <w:tc>
          <w:tcPr>
            <w:tcW w:w="380" w:type="dxa"/>
            <w:vAlign w:val="bottom"/>
          </w:tcPr>
          <w:p>
            <w:pPr>
              <w:spacing w:after="0"/>
              <w:rPr>
                <w:sz w:val="2"/>
                <w:szCs w:val="2"/>
                <w:color w:val="auto"/>
              </w:rPr>
            </w:pPr>
          </w:p>
        </w:tc>
        <w:tc>
          <w:tcPr>
            <w:tcW w:w="540" w:type="dxa"/>
            <w:vAlign w:val="bottom"/>
            <w:shd w:val="clear" w:color="auto" w:fill="000000"/>
          </w:tcPr>
          <w:p>
            <w:pPr>
              <w:spacing w:after="0"/>
              <w:rPr>
                <w:sz w:val="2"/>
                <w:szCs w:val="2"/>
                <w:color w:val="auto"/>
              </w:rPr>
            </w:pPr>
          </w:p>
        </w:tc>
        <w:tc>
          <w:tcPr>
            <w:tcW w:w="560" w:type="dxa"/>
            <w:vAlign w:val="bottom"/>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1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16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Otis</w:t>
            </w:r>
          </w:p>
        </w:tc>
        <w:tc>
          <w:tcPr>
            <w:tcW w:w="424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6,461</w:t>
            </w:r>
          </w:p>
        </w:tc>
        <w:tc>
          <w:tcPr>
            <w:tcW w:w="2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7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5,586</w:t>
            </w:r>
          </w:p>
        </w:tc>
        <w:tc>
          <w:tcPr>
            <w:tcW w:w="1040" w:type="dxa"/>
            <w:vAlign w:val="bottom"/>
            <w:gridSpan w:val="3"/>
            <w:shd w:val="clear" w:color="auto" w:fill="CCEEFF"/>
          </w:tcPr>
          <w:p>
            <w:pPr>
              <w:jc w:val="right"/>
              <w:ind w:right="380"/>
              <w:spacing w:after="0"/>
              <w:rPr>
                <w:sz w:val="20"/>
                <w:szCs w:val="20"/>
                <w:color w:val="auto"/>
              </w:rPr>
            </w:pPr>
            <w:r>
              <w:rPr>
                <w:rFonts w:ascii="Arial" w:cs="Arial" w:eastAsia="Arial" w:hAnsi="Arial"/>
                <w:sz w:val="18"/>
                <w:szCs w:val="18"/>
                <w:color w:val="auto"/>
              </w:rPr>
              <w:t>$1,251</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4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4"/>
              </w:rPr>
              <w:t>1,106</w:t>
            </w:r>
          </w:p>
        </w:tc>
        <w:tc>
          <w:tcPr>
            <w:tcW w:w="38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420"/>
              <w:spacing w:after="0"/>
              <w:rPr>
                <w:sz w:val="20"/>
                <w:szCs w:val="20"/>
                <w:color w:val="auto"/>
              </w:rPr>
            </w:pPr>
            <w:r>
              <w:rPr>
                <w:rFonts w:ascii="Arial" w:cs="Arial" w:eastAsia="Arial" w:hAnsi="Arial"/>
                <w:sz w:val="18"/>
                <w:szCs w:val="18"/>
                <w:color w:val="auto"/>
              </w:rPr>
              <w:t>19.4%</w:t>
            </w:r>
          </w:p>
        </w:tc>
        <w:tc>
          <w:tcPr>
            <w:tcW w:w="7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19.8%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900" w:type="dxa"/>
            <w:vAlign w:val="bottom"/>
            <w:gridSpan w:val="3"/>
          </w:tcPr>
          <w:p>
            <w:pPr>
              <w:spacing w:after="0"/>
              <w:rPr>
                <w:sz w:val="20"/>
                <w:szCs w:val="20"/>
                <w:color w:val="auto"/>
              </w:rPr>
            </w:pPr>
            <w:r>
              <w:rPr>
                <w:rFonts w:ascii="Arial" w:cs="Arial" w:eastAsia="Arial" w:hAnsi="Arial"/>
                <w:sz w:val="18"/>
                <w:szCs w:val="18"/>
                <w:color w:val="auto"/>
              </w:rPr>
              <w:t>Carrier</w:t>
            </w:r>
          </w:p>
        </w:tc>
        <w:tc>
          <w:tcPr>
            <w:tcW w:w="100" w:type="dxa"/>
            <w:vAlign w:val="bottom"/>
          </w:tcPr>
          <w:p>
            <w:pPr>
              <w:spacing w:after="0"/>
              <w:rPr>
                <w:sz w:val="18"/>
                <w:szCs w:val="18"/>
                <w:color w:val="auto"/>
              </w:rPr>
            </w:pPr>
          </w:p>
        </w:tc>
        <w:tc>
          <w:tcPr>
            <w:tcW w:w="480" w:type="dxa"/>
            <w:vAlign w:val="bottom"/>
          </w:tcPr>
          <w:p>
            <w:pPr>
              <w:jc w:val="right"/>
              <w:spacing w:after="0"/>
              <w:rPr>
                <w:sz w:val="20"/>
                <w:szCs w:val="20"/>
                <w:color w:val="auto"/>
              </w:rPr>
            </w:pPr>
            <w:r>
              <w:rPr>
                <w:rFonts w:ascii="Arial" w:cs="Arial" w:eastAsia="Arial" w:hAnsi="Arial"/>
                <w:sz w:val="18"/>
                <w:szCs w:val="18"/>
                <w:color w:val="auto"/>
              </w:rPr>
              <w:t>7,765</w:t>
            </w: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00" w:type="dxa"/>
            <w:vAlign w:val="bottom"/>
            <w:gridSpan w:val="2"/>
          </w:tcPr>
          <w:p>
            <w:pPr>
              <w:jc w:val="right"/>
              <w:ind w:right="220"/>
              <w:spacing w:after="0"/>
              <w:rPr>
                <w:sz w:val="20"/>
                <w:szCs w:val="20"/>
                <w:color w:val="auto"/>
              </w:rPr>
            </w:pPr>
            <w:r>
              <w:rPr>
                <w:rFonts w:ascii="Arial" w:cs="Arial" w:eastAsia="Arial" w:hAnsi="Arial"/>
                <w:sz w:val="18"/>
                <w:szCs w:val="18"/>
                <w:color w:val="auto"/>
              </w:rPr>
              <w:t>7,185</w:t>
            </w:r>
          </w:p>
        </w:tc>
        <w:tc>
          <w:tcPr>
            <w:tcW w:w="1040" w:type="dxa"/>
            <w:vAlign w:val="bottom"/>
            <w:gridSpan w:val="3"/>
          </w:tcPr>
          <w:p>
            <w:pPr>
              <w:jc w:val="right"/>
              <w:ind w:right="380"/>
              <w:spacing w:after="0"/>
              <w:rPr>
                <w:sz w:val="20"/>
                <w:szCs w:val="20"/>
                <w:color w:val="auto"/>
              </w:rPr>
            </w:pPr>
            <w:r>
              <w:rPr>
                <w:rFonts w:ascii="Arial" w:cs="Arial" w:eastAsia="Arial" w:hAnsi="Arial"/>
                <w:sz w:val="18"/>
                <w:szCs w:val="18"/>
                <w:color w:val="auto"/>
              </w:rPr>
              <w:t>735</w:t>
            </w:r>
          </w:p>
        </w:tc>
        <w:tc>
          <w:tcPr>
            <w:tcW w:w="100" w:type="dxa"/>
            <w:vAlign w:val="bottom"/>
          </w:tcPr>
          <w:p>
            <w:pPr>
              <w:spacing w:after="0"/>
              <w:rPr>
                <w:sz w:val="18"/>
                <w:szCs w:val="18"/>
                <w:color w:val="auto"/>
              </w:rPr>
            </w:pPr>
          </w:p>
        </w:tc>
        <w:tc>
          <w:tcPr>
            <w:tcW w:w="400" w:type="dxa"/>
            <w:vAlign w:val="bottom"/>
          </w:tcPr>
          <w:p>
            <w:pPr>
              <w:jc w:val="right"/>
              <w:spacing w:after="0"/>
              <w:rPr>
                <w:sz w:val="20"/>
                <w:szCs w:val="20"/>
                <w:color w:val="auto"/>
              </w:rPr>
            </w:pPr>
            <w:r>
              <w:rPr>
                <w:rFonts w:ascii="Arial" w:cs="Arial" w:eastAsia="Arial" w:hAnsi="Arial"/>
                <w:sz w:val="18"/>
                <w:szCs w:val="18"/>
                <w:color w:val="auto"/>
              </w:rPr>
              <w:t>702</w:t>
            </w:r>
          </w:p>
        </w:tc>
        <w:tc>
          <w:tcPr>
            <w:tcW w:w="380" w:type="dxa"/>
            <w:vAlign w:val="bottom"/>
          </w:tcPr>
          <w:p>
            <w:pPr>
              <w:spacing w:after="0"/>
              <w:rPr>
                <w:sz w:val="18"/>
                <w:szCs w:val="18"/>
                <w:color w:val="auto"/>
              </w:rPr>
            </w:pPr>
          </w:p>
        </w:tc>
        <w:tc>
          <w:tcPr>
            <w:tcW w:w="1100" w:type="dxa"/>
            <w:vAlign w:val="bottom"/>
            <w:gridSpan w:val="2"/>
          </w:tcPr>
          <w:p>
            <w:pPr>
              <w:jc w:val="right"/>
              <w:ind w:right="420"/>
              <w:spacing w:after="0"/>
              <w:rPr>
                <w:sz w:val="20"/>
                <w:szCs w:val="20"/>
                <w:color w:val="auto"/>
              </w:rPr>
            </w:pPr>
            <w:r>
              <w:rPr>
                <w:rFonts w:ascii="Arial" w:cs="Arial" w:eastAsia="Arial" w:hAnsi="Arial"/>
                <w:sz w:val="18"/>
                <w:szCs w:val="18"/>
                <w:color w:val="auto"/>
              </w:rPr>
              <w:t>9.5%</w:t>
            </w:r>
          </w:p>
        </w:tc>
        <w:tc>
          <w:tcPr>
            <w:tcW w:w="720" w:type="dxa"/>
            <w:vAlign w:val="bottom"/>
            <w:gridSpan w:val="2"/>
          </w:tcPr>
          <w:p>
            <w:pPr>
              <w:jc w:val="right"/>
              <w:spacing w:after="0"/>
              <w:rPr>
                <w:sz w:val="20"/>
                <w:szCs w:val="20"/>
                <w:color w:val="auto"/>
              </w:rPr>
            </w:pPr>
            <w:r>
              <w:rPr>
                <w:rFonts w:ascii="Arial" w:cs="Arial" w:eastAsia="Arial" w:hAnsi="Arial"/>
                <w:sz w:val="18"/>
                <w:szCs w:val="18"/>
                <w:color w:val="auto"/>
              </w:rPr>
              <w:t>9.8%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90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UTC Fire &amp; Security</w:t>
            </w:r>
          </w:p>
        </w:tc>
        <w:tc>
          <w:tcPr>
            <w:tcW w:w="100" w:type="dxa"/>
            <w:vAlign w:val="bottom"/>
            <w:shd w:val="clear" w:color="auto" w:fill="CCEEFF"/>
          </w:tcPr>
          <w:p>
            <w:pPr>
              <w:spacing w:after="0"/>
              <w:rPr>
                <w:sz w:val="18"/>
                <w:szCs w:val="18"/>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3,336</w:t>
            </w:r>
          </w:p>
        </w:tc>
        <w:tc>
          <w:tcPr>
            <w:tcW w:w="2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2,595</w:t>
            </w:r>
          </w:p>
        </w:tc>
        <w:tc>
          <w:tcPr>
            <w:tcW w:w="1040" w:type="dxa"/>
            <w:vAlign w:val="bottom"/>
            <w:gridSpan w:val="3"/>
            <w:shd w:val="clear" w:color="auto" w:fill="CCEEFF"/>
          </w:tcPr>
          <w:p>
            <w:pPr>
              <w:jc w:val="right"/>
              <w:ind w:right="380"/>
              <w:spacing w:after="0"/>
              <w:rPr>
                <w:sz w:val="20"/>
                <w:szCs w:val="20"/>
                <w:color w:val="auto"/>
              </w:rPr>
            </w:pPr>
            <w:r>
              <w:rPr>
                <w:rFonts w:ascii="Arial" w:cs="Arial" w:eastAsia="Arial" w:hAnsi="Arial"/>
                <w:sz w:val="18"/>
                <w:szCs w:val="18"/>
                <w:color w:val="auto"/>
              </w:rPr>
              <w:t>241</w:t>
            </w:r>
          </w:p>
        </w:tc>
        <w:tc>
          <w:tcPr>
            <w:tcW w:w="100" w:type="dxa"/>
            <w:vAlign w:val="bottom"/>
            <w:shd w:val="clear" w:color="auto" w:fill="CCEEFF"/>
          </w:tcPr>
          <w:p>
            <w:pPr>
              <w:spacing w:after="0"/>
              <w:rPr>
                <w:sz w:val="18"/>
                <w:szCs w:val="18"/>
                <w:color w:val="auto"/>
              </w:rPr>
            </w:pPr>
          </w:p>
        </w:tc>
        <w:tc>
          <w:tcPr>
            <w:tcW w:w="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187</w:t>
            </w:r>
          </w:p>
        </w:tc>
        <w:tc>
          <w:tcPr>
            <w:tcW w:w="38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420"/>
              <w:spacing w:after="0"/>
              <w:rPr>
                <w:sz w:val="20"/>
                <w:szCs w:val="20"/>
                <w:color w:val="auto"/>
              </w:rPr>
            </w:pPr>
            <w:r>
              <w:rPr>
                <w:rFonts w:ascii="Arial" w:cs="Arial" w:eastAsia="Arial" w:hAnsi="Arial"/>
                <w:sz w:val="18"/>
                <w:szCs w:val="18"/>
                <w:color w:val="auto"/>
              </w:rPr>
              <w:t>7.2%</w:t>
            </w:r>
          </w:p>
        </w:tc>
        <w:tc>
          <w:tcPr>
            <w:tcW w:w="7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7.2%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900" w:type="dxa"/>
            <w:vAlign w:val="bottom"/>
            <w:gridSpan w:val="3"/>
          </w:tcPr>
          <w:p>
            <w:pPr>
              <w:spacing w:after="0"/>
              <w:rPr>
                <w:sz w:val="20"/>
                <w:szCs w:val="20"/>
                <w:color w:val="auto"/>
              </w:rPr>
            </w:pPr>
            <w:r>
              <w:rPr>
                <w:rFonts w:ascii="Arial" w:cs="Arial" w:eastAsia="Arial" w:hAnsi="Arial"/>
                <w:sz w:val="18"/>
                <w:szCs w:val="18"/>
                <w:color w:val="auto"/>
              </w:rPr>
              <w:t>Pratt &amp; Whitney</w:t>
            </w:r>
          </w:p>
        </w:tc>
        <w:tc>
          <w:tcPr>
            <w:tcW w:w="100" w:type="dxa"/>
            <w:vAlign w:val="bottom"/>
          </w:tcPr>
          <w:p>
            <w:pPr>
              <w:spacing w:after="0"/>
              <w:rPr>
                <w:sz w:val="18"/>
                <w:szCs w:val="18"/>
                <w:color w:val="auto"/>
              </w:rPr>
            </w:pPr>
          </w:p>
        </w:tc>
        <w:tc>
          <w:tcPr>
            <w:tcW w:w="480" w:type="dxa"/>
            <w:vAlign w:val="bottom"/>
          </w:tcPr>
          <w:p>
            <w:pPr>
              <w:jc w:val="right"/>
              <w:spacing w:after="0"/>
              <w:rPr>
                <w:sz w:val="20"/>
                <w:szCs w:val="20"/>
                <w:color w:val="auto"/>
              </w:rPr>
            </w:pPr>
            <w:r>
              <w:rPr>
                <w:rFonts w:ascii="Arial" w:cs="Arial" w:eastAsia="Arial" w:hAnsi="Arial"/>
                <w:sz w:val="18"/>
                <w:szCs w:val="18"/>
                <w:color w:val="auto"/>
              </w:rPr>
              <w:t>6,499</w:t>
            </w: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00" w:type="dxa"/>
            <w:vAlign w:val="bottom"/>
            <w:gridSpan w:val="2"/>
          </w:tcPr>
          <w:p>
            <w:pPr>
              <w:jc w:val="right"/>
              <w:ind w:right="220"/>
              <w:spacing w:after="0"/>
              <w:rPr>
                <w:sz w:val="20"/>
                <w:szCs w:val="20"/>
                <w:color w:val="auto"/>
              </w:rPr>
            </w:pPr>
            <w:r>
              <w:rPr>
                <w:rFonts w:ascii="Arial" w:cs="Arial" w:eastAsia="Arial" w:hAnsi="Arial"/>
                <w:sz w:val="18"/>
                <w:szCs w:val="18"/>
                <w:color w:val="auto"/>
              </w:rPr>
              <w:t>5,875</w:t>
            </w:r>
          </w:p>
        </w:tc>
        <w:tc>
          <w:tcPr>
            <w:tcW w:w="1040" w:type="dxa"/>
            <w:vAlign w:val="bottom"/>
            <w:gridSpan w:val="3"/>
          </w:tcPr>
          <w:p>
            <w:pPr>
              <w:jc w:val="right"/>
              <w:ind w:right="380"/>
              <w:spacing w:after="0"/>
              <w:rPr>
                <w:sz w:val="20"/>
                <w:szCs w:val="20"/>
                <w:color w:val="auto"/>
              </w:rPr>
            </w:pPr>
            <w:r>
              <w:rPr>
                <w:rFonts w:ascii="Arial" w:cs="Arial" w:eastAsia="Arial" w:hAnsi="Arial"/>
                <w:sz w:val="18"/>
                <w:szCs w:val="18"/>
                <w:color w:val="auto"/>
              </w:rPr>
              <w:t>1,072</w:t>
            </w:r>
          </w:p>
        </w:tc>
        <w:tc>
          <w:tcPr>
            <w:tcW w:w="100" w:type="dxa"/>
            <w:vAlign w:val="bottom"/>
          </w:tcPr>
          <w:p>
            <w:pPr>
              <w:spacing w:after="0"/>
              <w:rPr>
                <w:sz w:val="18"/>
                <w:szCs w:val="18"/>
                <w:color w:val="auto"/>
              </w:rPr>
            </w:pPr>
          </w:p>
        </w:tc>
        <w:tc>
          <w:tcPr>
            <w:tcW w:w="400" w:type="dxa"/>
            <w:vAlign w:val="bottom"/>
          </w:tcPr>
          <w:p>
            <w:pPr>
              <w:jc w:val="right"/>
              <w:spacing w:after="0"/>
              <w:rPr>
                <w:sz w:val="20"/>
                <w:szCs w:val="20"/>
                <w:color w:val="auto"/>
              </w:rPr>
            </w:pPr>
            <w:r>
              <w:rPr>
                <w:rFonts w:ascii="Arial" w:cs="Arial" w:eastAsia="Arial" w:hAnsi="Arial"/>
                <w:sz w:val="18"/>
                <w:szCs w:val="18"/>
                <w:color w:val="auto"/>
                <w:w w:val="84"/>
              </w:rPr>
              <w:t>1,012</w:t>
            </w:r>
          </w:p>
        </w:tc>
        <w:tc>
          <w:tcPr>
            <w:tcW w:w="380" w:type="dxa"/>
            <w:vAlign w:val="bottom"/>
          </w:tcPr>
          <w:p>
            <w:pPr>
              <w:spacing w:after="0"/>
              <w:rPr>
                <w:sz w:val="18"/>
                <w:szCs w:val="18"/>
                <w:color w:val="auto"/>
              </w:rPr>
            </w:pPr>
          </w:p>
        </w:tc>
        <w:tc>
          <w:tcPr>
            <w:tcW w:w="1100" w:type="dxa"/>
            <w:vAlign w:val="bottom"/>
            <w:gridSpan w:val="2"/>
          </w:tcPr>
          <w:p>
            <w:pPr>
              <w:jc w:val="right"/>
              <w:ind w:right="420"/>
              <w:spacing w:after="0"/>
              <w:rPr>
                <w:sz w:val="20"/>
                <w:szCs w:val="20"/>
                <w:color w:val="auto"/>
              </w:rPr>
            </w:pPr>
            <w:r>
              <w:rPr>
                <w:rFonts w:ascii="Arial" w:cs="Arial" w:eastAsia="Arial" w:hAnsi="Arial"/>
                <w:sz w:val="18"/>
                <w:szCs w:val="18"/>
                <w:color w:val="auto"/>
              </w:rPr>
              <w:t>16.5%</w:t>
            </w:r>
          </w:p>
        </w:tc>
        <w:tc>
          <w:tcPr>
            <w:tcW w:w="720" w:type="dxa"/>
            <w:vAlign w:val="bottom"/>
            <w:gridSpan w:val="2"/>
          </w:tcPr>
          <w:p>
            <w:pPr>
              <w:jc w:val="right"/>
              <w:spacing w:after="0"/>
              <w:rPr>
                <w:sz w:val="20"/>
                <w:szCs w:val="20"/>
                <w:color w:val="auto"/>
              </w:rPr>
            </w:pPr>
            <w:r>
              <w:rPr>
                <w:rFonts w:ascii="Arial" w:cs="Arial" w:eastAsia="Arial" w:hAnsi="Arial"/>
                <w:sz w:val="18"/>
                <w:szCs w:val="18"/>
                <w:color w:val="auto"/>
              </w:rPr>
              <w:t>17.2%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90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Hamilton Sundstrand</w:t>
            </w:r>
          </w:p>
        </w:tc>
        <w:tc>
          <w:tcPr>
            <w:tcW w:w="10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3,111</w:t>
            </w: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2,717</w:t>
            </w:r>
          </w:p>
        </w:tc>
        <w:tc>
          <w:tcPr>
            <w:tcW w:w="1040" w:type="dxa"/>
            <w:vAlign w:val="bottom"/>
            <w:gridSpan w:val="3"/>
            <w:shd w:val="clear" w:color="auto" w:fill="CCEEFF"/>
          </w:tcPr>
          <w:p>
            <w:pPr>
              <w:jc w:val="right"/>
              <w:ind w:right="380"/>
              <w:spacing w:after="0"/>
              <w:rPr>
                <w:sz w:val="20"/>
                <w:szCs w:val="20"/>
                <w:color w:val="auto"/>
              </w:rPr>
            </w:pPr>
            <w:r>
              <w:rPr>
                <w:rFonts w:ascii="Arial" w:cs="Arial" w:eastAsia="Arial" w:hAnsi="Arial"/>
                <w:sz w:val="18"/>
                <w:szCs w:val="18"/>
                <w:color w:val="auto"/>
              </w:rPr>
              <w:t>509</w:t>
            </w:r>
          </w:p>
        </w:tc>
        <w:tc>
          <w:tcPr>
            <w:tcW w:w="100" w:type="dxa"/>
            <w:vAlign w:val="bottom"/>
            <w:shd w:val="clear" w:color="auto" w:fill="CCEEFF"/>
          </w:tcPr>
          <w:p>
            <w:pPr>
              <w:spacing w:after="0"/>
              <w:rPr>
                <w:sz w:val="18"/>
                <w:szCs w:val="18"/>
                <w:color w:val="auto"/>
              </w:rPr>
            </w:pPr>
          </w:p>
        </w:tc>
        <w:tc>
          <w:tcPr>
            <w:tcW w:w="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464</w:t>
            </w:r>
          </w:p>
        </w:tc>
        <w:tc>
          <w:tcPr>
            <w:tcW w:w="38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420"/>
              <w:spacing w:after="0"/>
              <w:rPr>
                <w:sz w:val="20"/>
                <w:szCs w:val="20"/>
                <w:color w:val="auto"/>
              </w:rPr>
            </w:pPr>
            <w:r>
              <w:rPr>
                <w:rFonts w:ascii="Arial" w:cs="Arial" w:eastAsia="Arial" w:hAnsi="Arial"/>
                <w:sz w:val="18"/>
                <w:szCs w:val="18"/>
                <w:color w:val="auto"/>
              </w:rPr>
              <w:t>16.4%</w:t>
            </w:r>
          </w:p>
        </w:tc>
        <w:tc>
          <w:tcPr>
            <w:tcW w:w="7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17.1%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900" w:type="dxa"/>
            <w:vAlign w:val="bottom"/>
            <w:gridSpan w:val="3"/>
          </w:tcPr>
          <w:p>
            <w:pPr>
              <w:spacing w:after="0"/>
              <w:rPr>
                <w:sz w:val="20"/>
                <w:szCs w:val="20"/>
                <w:color w:val="auto"/>
              </w:rPr>
            </w:pPr>
            <w:r>
              <w:rPr>
                <w:rFonts w:ascii="Arial" w:cs="Arial" w:eastAsia="Arial" w:hAnsi="Arial"/>
                <w:sz w:val="18"/>
                <w:szCs w:val="18"/>
                <w:color w:val="auto"/>
              </w:rPr>
              <w:t>Sikorsky</w:t>
            </w:r>
          </w:p>
        </w:tc>
        <w:tc>
          <w:tcPr>
            <w:tcW w:w="100" w:type="dxa"/>
            <w:vAlign w:val="bottom"/>
          </w:tcPr>
          <w:p>
            <w:pPr>
              <w:spacing w:after="0"/>
              <w:rPr>
                <w:sz w:val="18"/>
                <w:szCs w:val="18"/>
                <w:color w:val="auto"/>
              </w:rPr>
            </w:pPr>
          </w:p>
        </w:tc>
        <w:tc>
          <w:tcPr>
            <w:tcW w:w="480" w:type="dxa"/>
            <w:vAlign w:val="bottom"/>
          </w:tcPr>
          <w:p>
            <w:pPr>
              <w:jc w:val="right"/>
              <w:spacing w:after="0"/>
              <w:rPr>
                <w:sz w:val="20"/>
                <w:szCs w:val="20"/>
                <w:color w:val="auto"/>
              </w:rPr>
            </w:pPr>
            <w:r>
              <w:rPr>
                <w:rFonts w:ascii="Arial" w:cs="Arial" w:eastAsia="Arial" w:hAnsi="Arial"/>
                <w:sz w:val="18"/>
                <w:szCs w:val="18"/>
                <w:color w:val="auto"/>
              </w:rPr>
              <w:t>2,330</w:t>
            </w: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00" w:type="dxa"/>
            <w:vAlign w:val="bottom"/>
            <w:gridSpan w:val="2"/>
          </w:tcPr>
          <w:p>
            <w:pPr>
              <w:jc w:val="right"/>
              <w:ind w:right="220"/>
              <w:spacing w:after="0"/>
              <w:rPr>
                <w:sz w:val="20"/>
                <w:szCs w:val="20"/>
                <w:color w:val="auto"/>
              </w:rPr>
            </w:pPr>
            <w:r>
              <w:rPr>
                <w:rFonts w:ascii="Arial" w:cs="Arial" w:eastAsia="Arial" w:hAnsi="Arial"/>
                <w:sz w:val="18"/>
                <w:szCs w:val="18"/>
                <w:color w:val="auto"/>
              </w:rPr>
              <w:t>2,204</w:t>
            </w:r>
          </w:p>
        </w:tc>
        <w:tc>
          <w:tcPr>
            <w:tcW w:w="1040" w:type="dxa"/>
            <w:vAlign w:val="bottom"/>
            <w:gridSpan w:val="3"/>
          </w:tcPr>
          <w:p>
            <w:pPr>
              <w:jc w:val="right"/>
              <w:ind w:right="380"/>
              <w:spacing w:after="0"/>
              <w:rPr>
                <w:sz w:val="20"/>
                <w:szCs w:val="20"/>
                <w:color w:val="auto"/>
              </w:rPr>
            </w:pPr>
            <w:r>
              <w:rPr>
                <w:rFonts w:ascii="Arial" w:cs="Arial" w:eastAsia="Arial" w:hAnsi="Arial"/>
                <w:sz w:val="18"/>
                <w:szCs w:val="18"/>
                <w:color w:val="auto"/>
              </w:rPr>
              <w:t>193</w:t>
            </w:r>
          </w:p>
        </w:tc>
        <w:tc>
          <w:tcPr>
            <w:tcW w:w="100" w:type="dxa"/>
            <w:vAlign w:val="bottom"/>
          </w:tcPr>
          <w:p>
            <w:pPr>
              <w:spacing w:after="0"/>
              <w:rPr>
                <w:sz w:val="18"/>
                <w:szCs w:val="18"/>
                <w:color w:val="auto"/>
              </w:rPr>
            </w:pPr>
          </w:p>
        </w:tc>
        <w:tc>
          <w:tcPr>
            <w:tcW w:w="400" w:type="dxa"/>
            <w:vAlign w:val="bottom"/>
          </w:tcPr>
          <w:p>
            <w:pPr>
              <w:jc w:val="right"/>
              <w:spacing w:after="0"/>
              <w:rPr>
                <w:sz w:val="20"/>
                <w:szCs w:val="20"/>
                <w:color w:val="auto"/>
              </w:rPr>
            </w:pPr>
            <w:r>
              <w:rPr>
                <w:rFonts w:ascii="Arial" w:cs="Arial" w:eastAsia="Arial" w:hAnsi="Arial"/>
                <w:sz w:val="18"/>
                <w:szCs w:val="18"/>
                <w:color w:val="auto"/>
              </w:rPr>
              <w:t>160</w:t>
            </w:r>
          </w:p>
        </w:tc>
        <w:tc>
          <w:tcPr>
            <w:tcW w:w="380" w:type="dxa"/>
            <w:vAlign w:val="bottom"/>
          </w:tcPr>
          <w:p>
            <w:pPr>
              <w:spacing w:after="0"/>
              <w:rPr>
                <w:sz w:val="18"/>
                <w:szCs w:val="18"/>
                <w:color w:val="auto"/>
              </w:rPr>
            </w:pPr>
          </w:p>
        </w:tc>
        <w:tc>
          <w:tcPr>
            <w:tcW w:w="1100" w:type="dxa"/>
            <w:vAlign w:val="bottom"/>
            <w:gridSpan w:val="2"/>
          </w:tcPr>
          <w:p>
            <w:pPr>
              <w:jc w:val="right"/>
              <w:ind w:right="420"/>
              <w:spacing w:after="0"/>
              <w:rPr>
                <w:sz w:val="20"/>
                <w:szCs w:val="20"/>
                <w:color w:val="auto"/>
              </w:rPr>
            </w:pPr>
            <w:r>
              <w:rPr>
                <w:rFonts w:ascii="Arial" w:cs="Arial" w:eastAsia="Arial" w:hAnsi="Arial"/>
                <w:sz w:val="18"/>
                <w:szCs w:val="18"/>
                <w:color w:val="auto"/>
              </w:rPr>
              <w:t>8.3%</w:t>
            </w:r>
          </w:p>
        </w:tc>
        <w:tc>
          <w:tcPr>
            <w:tcW w:w="720" w:type="dxa"/>
            <w:vAlign w:val="bottom"/>
            <w:gridSpan w:val="2"/>
          </w:tcPr>
          <w:p>
            <w:pPr>
              <w:jc w:val="right"/>
              <w:spacing w:after="0"/>
              <w:rPr>
                <w:sz w:val="20"/>
                <w:szCs w:val="20"/>
                <w:color w:val="auto"/>
              </w:rPr>
            </w:pPr>
            <w:r>
              <w:rPr>
                <w:rFonts w:ascii="Arial" w:cs="Arial" w:eastAsia="Arial" w:hAnsi="Arial"/>
                <w:sz w:val="18"/>
                <w:szCs w:val="18"/>
                <w:color w:val="auto"/>
              </w:rPr>
              <w:t>7.3%</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1460" w:type="dxa"/>
            <w:vAlign w:val="bottom"/>
          </w:tcPr>
          <w:p>
            <w:pPr>
              <w:spacing w:after="0"/>
              <w:rPr>
                <w:sz w:val="2"/>
                <w:szCs w:val="2"/>
                <w:color w:val="auto"/>
              </w:rPr>
            </w:pPr>
          </w:p>
        </w:tc>
        <w:tc>
          <w:tcPr>
            <w:tcW w:w="200" w:type="dxa"/>
            <w:vAlign w:val="bottom"/>
          </w:tcPr>
          <w:p>
            <w:pPr>
              <w:spacing w:after="0"/>
              <w:rPr>
                <w:sz w:val="2"/>
                <w:szCs w:val="2"/>
                <w:color w:val="auto"/>
              </w:rPr>
            </w:pPr>
          </w:p>
        </w:tc>
        <w:tc>
          <w:tcPr>
            <w:tcW w:w="424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48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48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160" w:type="dxa"/>
            <w:vAlign w:val="bottom"/>
          </w:tcPr>
          <w:p>
            <w:pPr>
              <w:spacing w:after="0"/>
              <w:rPr>
                <w:sz w:val="2"/>
                <w:szCs w:val="2"/>
                <w:color w:val="auto"/>
              </w:rPr>
            </w:pPr>
          </w:p>
        </w:tc>
        <w:tc>
          <w:tcPr>
            <w:tcW w:w="500" w:type="dxa"/>
            <w:vAlign w:val="bottom"/>
            <w:shd w:val="clear" w:color="auto" w:fill="000000"/>
          </w:tcPr>
          <w:p>
            <w:pPr>
              <w:spacing w:after="0"/>
              <w:rPr>
                <w:sz w:val="2"/>
                <w:szCs w:val="2"/>
                <w:color w:val="auto"/>
              </w:rPr>
            </w:pPr>
          </w:p>
        </w:tc>
        <w:tc>
          <w:tcPr>
            <w:tcW w:w="38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400" w:type="dxa"/>
            <w:vAlign w:val="bottom"/>
            <w:shd w:val="clear" w:color="auto" w:fill="000000"/>
          </w:tcPr>
          <w:p>
            <w:pPr>
              <w:spacing w:after="0"/>
              <w:rPr>
                <w:sz w:val="2"/>
                <w:szCs w:val="2"/>
                <w:color w:val="auto"/>
              </w:rPr>
            </w:pPr>
          </w:p>
        </w:tc>
        <w:tc>
          <w:tcPr>
            <w:tcW w:w="380" w:type="dxa"/>
            <w:vAlign w:val="bottom"/>
          </w:tcPr>
          <w:p>
            <w:pPr>
              <w:spacing w:after="0"/>
              <w:rPr>
                <w:sz w:val="2"/>
                <w:szCs w:val="2"/>
                <w:color w:val="auto"/>
              </w:rPr>
            </w:pPr>
          </w:p>
        </w:tc>
        <w:tc>
          <w:tcPr>
            <w:tcW w:w="540" w:type="dxa"/>
            <w:vAlign w:val="bottom"/>
            <w:shd w:val="clear" w:color="auto" w:fill="000000"/>
          </w:tcPr>
          <w:p>
            <w:pPr>
              <w:spacing w:after="0"/>
              <w:rPr>
                <w:sz w:val="2"/>
                <w:szCs w:val="2"/>
                <w:color w:val="auto"/>
              </w:rPr>
            </w:pPr>
          </w:p>
        </w:tc>
        <w:tc>
          <w:tcPr>
            <w:tcW w:w="560" w:type="dxa"/>
            <w:vAlign w:val="bottom"/>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1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tcPr>
          <w:p>
            <w:pPr>
              <w:spacing w:after="0"/>
              <w:rPr>
                <w:sz w:val="18"/>
                <w:szCs w:val="18"/>
                <w:color w:val="auto"/>
              </w:rPr>
            </w:pPr>
          </w:p>
        </w:tc>
        <w:tc>
          <w:tcPr>
            <w:tcW w:w="5900" w:type="dxa"/>
            <w:vAlign w:val="bottom"/>
            <w:gridSpan w:val="3"/>
            <w:shd w:val="clear" w:color="auto" w:fill="CCEEFF"/>
          </w:tcPr>
          <w:p>
            <w:pPr>
              <w:ind w:left="420"/>
              <w:spacing w:after="0"/>
              <w:rPr>
                <w:sz w:val="20"/>
                <w:szCs w:val="20"/>
                <w:color w:val="auto"/>
              </w:rPr>
            </w:pPr>
            <w:r>
              <w:rPr>
                <w:rFonts w:ascii="Arial" w:cs="Arial" w:eastAsia="Arial" w:hAnsi="Arial"/>
                <w:sz w:val="18"/>
                <w:szCs w:val="18"/>
                <w:color w:val="auto"/>
              </w:rPr>
              <w:t>Total segment</w:t>
            </w:r>
          </w:p>
        </w:tc>
        <w:tc>
          <w:tcPr>
            <w:tcW w:w="100" w:type="dxa"/>
            <w:vAlign w:val="bottom"/>
            <w:shd w:val="clear" w:color="auto" w:fill="CCEEFF"/>
          </w:tcPr>
          <w:p>
            <w:pPr>
              <w:spacing w:after="0"/>
              <w:rPr>
                <w:sz w:val="18"/>
                <w:szCs w:val="18"/>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3"/>
              </w:rPr>
              <w:t>29,502</w:t>
            </w:r>
          </w:p>
        </w:tc>
        <w:tc>
          <w:tcPr>
            <w:tcW w:w="2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w w:val="83"/>
              </w:rPr>
              <w:t>26,162</w:t>
            </w:r>
          </w:p>
        </w:tc>
        <w:tc>
          <w:tcPr>
            <w:tcW w:w="1040" w:type="dxa"/>
            <w:vAlign w:val="bottom"/>
            <w:gridSpan w:val="3"/>
            <w:shd w:val="clear" w:color="auto" w:fill="CCEEFF"/>
          </w:tcPr>
          <w:p>
            <w:pPr>
              <w:jc w:val="right"/>
              <w:ind w:right="380"/>
              <w:spacing w:after="0"/>
              <w:rPr>
                <w:sz w:val="20"/>
                <w:szCs w:val="20"/>
                <w:color w:val="auto"/>
              </w:rPr>
            </w:pPr>
            <w:r>
              <w:rPr>
                <w:rFonts w:ascii="Arial" w:cs="Arial" w:eastAsia="Arial" w:hAnsi="Arial"/>
                <w:sz w:val="18"/>
                <w:szCs w:val="18"/>
                <w:color w:val="auto"/>
              </w:rPr>
              <w:t>4,001</w:t>
            </w:r>
          </w:p>
        </w:tc>
        <w:tc>
          <w:tcPr>
            <w:tcW w:w="100" w:type="dxa"/>
            <w:vAlign w:val="bottom"/>
            <w:shd w:val="clear" w:color="auto" w:fill="CCEEFF"/>
          </w:tcPr>
          <w:p>
            <w:pPr>
              <w:spacing w:after="0"/>
              <w:rPr>
                <w:sz w:val="18"/>
                <w:szCs w:val="18"/>
                <w:color w:val="auto"/>
              </w:rPr>
            </w:pPr>
          </w:p>
        </w:tc>
        <w:tc>
          <w:tcPr>
            <w:tcW w:w="4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4"/>
              </w:rPr>
              <w:t>3,631</w:t>
            </w:r>
          </w:p>
        </w:tc>
        <w:tc>
          <w:tcPr>
            <w:tcW w:w="38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420"/>
              <w:spacing w:after="0"/>
              <w:rPr>
                <w:sz w:val="20"/>
                <w:szCs w:val="20"/>
                <w:color w:val="auto"/>
              </w:rPr>
            </w:pPr>
            <w:r>
              <w:rPr>
                <w:rFonts w:ascii="Arial" w:cs="Arial" w:eastAsia="Arial" w:hAnsi="Arial"/>
                <w:sz w:val="18"/>
                <w:szCs w:val="18"/>
                <w:color w:val="auto"/>
              </w:rPr>
              <w:t>13.6%</w:t>
            </w:r>
          </w:p>
        </w:tc>
        <w:tc>
          <w:tcPr>
            <w:tcW w:w="7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13.9%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900" w:type="dxa"/>
            <w:vAlign w:val="bottom"/>
            <w:gridSpan w:val="3"/>
          </w:tcPr>
          <w:p>
            <w:pPr>
              <w:spacing w:after="0"/>
              <w:rPr>
                <w:sz w:val="20"/>
                <w:szCs w:val="20"/>
                <w:color w:val="auto"/>
              </w:rPr>
            </w:pPr>
            <w:r>
              <w:rPr>
                <w:rFonts w:ascii="Arial" w:cs="Arial" w:eastAsia="Arial" w:hAnsi="Arial"/>
                <w:sz w:val="18"/>
                <w:szCs w:val="18"/>
                <w:color w:val="auto"/>
              </w:rPr>
              <w:t>Eliminations and other</w:t>
            </w:r>
          </w:p>
        </w:tc>
        <w:tc>
          <w:tcPr>
            <w:tcW w:w="100" w:type="dxa"/>
            <w:vAlign w:val="bottom"/>
          </w:tcPr>
          <w:p>
            <w:pPr>
              <w:spacing w:after="0"/>
              <w:rPr>
                <w:sz w:val="18"/>
                <w:szCs w:val="18"/>
                <w:color w:val="auto"/>
              </w:rPr>
            </w:pPr>
          </w:p>
        </w:tc>
        <w:tc>
          <w:tcPr>
            <w:tcW w:w="700" w:type="dxa"/>
            <w:vAlign w:val="bottom"/>
            <w:gridSpan w:val="2"/>
          </w:tcPr>
          <w:p>
            <w:pPr>
              <w:jc w:val="right"/>
              <w:ind w:right="160"/>
              <w:spacing w:after="0"/>
              <w:rPr>
                <w:sz w:val="20"/>
                <w:szCs w:val="20"/>
                <w:color w:val="auto"/>
              </w:rPr>
            </w:pPr>
            <w:r>
              <w:rPr>
                <w:rFonts w:ascii="Arial" w:cs="Arial" w:eastAsia="Arial" w:hAnsi="Arial"/>
                <w:sz w:val="18"/>
                <w:szCs w:val="18"/>
                <w:color w:val="auto"/>
              </w:rPr>
              <w:t>(134)</w:t>
            </w: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00" w:type="dxa"/>
            <w:vAlign w:val="bottom"/>
            <w:gridSpan w:val="2"/>
          </w:tcPr>
          <w:p>
            <w:pPr>
              <w:jc w:val="right"/>
              <w:ind w:right="220"/>
              <w:spacing w:after="0"/>
              <w:rPr>
                <w:sz w:val="20"/>
                <w:szCs w:val="20"/>
                <w:color w:val="auto"/>
              </w:rPr>
            </w:pPr>
            <w:r>
              <w:rPr>
                <w:rFonts w:ascii="Arial" w:cs="Arial" w:eastAsia="Arial" w:hAnsi="Arial"/>
                <w:sz w:val="18"/>
                <w:szCs w:val="18"/>
                <w:color w:val="auto"/>
              </w:rPr>
              <w:t>20</w:t>
            </w:r>
          </w:p>
        </w:tc>
        <w:tc>
          <w:tcPr>
            <w:tcW w:w="1040" w:type="dxa"/>
            <w:vAlign w:val="bottom"/>
            <w:gridSpan w:val="3"/>
          </w:tcPr>
          <w:p>
            <w:pPr>
              <w:jc w:val="right"/>
              <w:ind w:right="320"/>
              <w:spacing w:after="0"/>
              <w:rPr>
                <w:sz w:val="20"/>
                <w:szCs w:val="20"/>
                <w:color w:val="auto"/>
              </w:rPr>
            </w:pPr>
            <w:r>
              <w:rPr>
                <w:rFonts w:ascii="Arial" w:cs="Arial" w:eastAsia="Arial" w:hAnsi="Arial"/>
                <w:sz w:val="18"/>
                <w:szCs w:val="18"/>
                <w:color w:val="auto"/>
              </w:rPr>
              <w:t>(22)</w:t>
            </w:r>
          </w:p>
        </w:tc>
        <w:tc>
          <w:tcPr>
            <w:tcW w:w="100" w:type="dxa"/>
            <w:vAlign w:val="bottom"/>
          </w:tcPr>
          <w:p>
            <w:pPr>
              <w:spacing w:after="0"/>
              <w:rPr>
                <w:sz w:val="18"/>
                <w:szCs w:val="18"/>
                <w:color w:val="auto"/>
              </w:rPr>
            </w:pPr>
          </w:p>
        </w:tc>
        <w:tc>
          <w:tcPr>
            <w:tcW w:w="780" w:type="dxa"/>
            <w:vAlign w:val="bottom"/>
            <w:gridSpan w:val="2"/>
          </w:tcPr>
          <w:p>
            <w:pPr>
              <w:jc w:val="right"/>
              <w:ind w:right="320"/>
              <w:spacing w:after="0"/>
              <w:rPr>
                <w:sz w:val="20"/>
                <w:szCs w:val="20"/>
                <w:color w:val="auto"/>
              </w:rPr>
            </w:pPr>
            <w:r>
              <w:rPr>
                <w:rFonts w:ascii="Arial" w:cs="Arial" w:eastAsia="Arial" w:hAnsi="Arial"/>
                <w:sz w:val="18"/>
                <w:szCs w:val="18"/>
                <w:color w:val="auto"/>
              </w:rPr>
              <w:t>(83)</w:t>
            </w:r>
          </w:p>
        </w:tc>
        <w:tc>
          <w:tcPr>
            <w:tcW w:w="54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90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General corporate expenses</w:t>
            </w:r>
          </w:p>
        </w:tc>
        <w:tc>
          <w:tcPr>
            <w:tcW w:w="100" w:type="dxa"/>
            <w:vAlign w:val="bottom"/>
            <w:shd w:val="clear" w:color="auto" w:fill="CCEEFF"/>
          </w:tcPr>
          <w:p>
            <w:pPr>
              <w:spacing w:after="0"/>
              <w:rPr>
                <w:sz w:val="18"/>
                <w:szCs w:val="18"/>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(206)</w:t>
            </w:r>
          </w:p>
        </w:tc>
        <w:tc>
          <w:tcPr>
            <w:tcW w:w="10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(179)</w:t>
            </w:r>
          </w:p>
        </w:tc>
        <w:tc>
          <w:tcPr>
            <w:tcW w:w="54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5920" w:type="dxa"/>
            <w:vAlign w:val="bottom"/>
            <w:gridSpan w:val="4"/>
            <w:vMerge w:val="restart"/>
          </w:tcPr>
          <w:p>
            <w:pPr>
              <w:spacing w:after="0"/>
              <w:rPr>
                <w:sz w:val="20"/>
                <w:szCs w:val="20"/>
                <w:color w:val="auto"/>
              </w:rPr>
            </w:pPr>
            <w:r>
              <w:rPr>
                <w:rFonts w:ascii="Arial" w:cs="Arial" w:eastAsia="Arial" w:hAnsi="Arial"/>
                <w:sz w:val="18"/>
                <w:szCs w:val="18"/>
                <w:color w:val="auto"/>
              </w:rPr>
              <w:t>Consolidated</w:t>
            </w:r>
          </w:p>
        </w:tc>
        <w:tc>
          <w:tcPr>
            <w:tcW w:w="100" w:type="dxa"/>
            <w:vAlign w:val="bottom"/>
            <w:shd w:val="clear" w:color="auto" w:fill="000000"/>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2"/>
        </w:trPr>
        <w:tc>
          <w:tcPr>
            <w:tcW w:w="5920" w:type="dxa"/>
            <w:vAlign w:val="bottom"/>
            <w:gridSpan w:val="4"/>
            <w:vMerge w:val="continue"/>
          </w:tcPr>
          <w:p>
            <w:pPr>
              <w:spacing w:after="0"/>
              <w:rPr>
                <w:sz w:val="19"/>
                <w:szCs w:val="19"/>
                <w:color w:val="auto"/>
              </w:rPr>
            </w:pPr>
          </w:p>
        </w:tc>
        <w:tc>
          <w:tcPr>
            <w:tcW w:w="100" w:type="dxa"/>
            <w:vAlign w:val="bottom"/>
          </w:tcPr>
          <w:p>
            <w:pPr>
              <w:jc w:val="right"/>
              <w:spacing w:after="0"/>
              <w:rPr>
                <w:sz w:val="20"/>
                <w:szCs w:val="20"/>
                <w:color w:val="auto"/>
              </w:rPr>
            </w:pPr>
            <w:r>
              <w:rPr>
                <w:rFonts w:ascii="Arial" w:cs="Arial" w:eastAsia="Arial" w:hAnsi="Arial"/>
                <w:sz w:val="18"/>
                <w:szCs w:val="18"/>
                <w:u w:val="single" w:color="auto"/>
                <w:color w:val="auto"/>
                <w:w w:val="79"/>
              </w:rPr>
              <w:t>$</w:t>
            </w:r>
          </w:p>
        </w:tc>
        <w:tc>
          <w:tcPr>
            <w:tcW w:w="480" w:type="dxa"/>
            <w:vAlign w:val="bottom"/>
          </w:tcPr>
          <w:p>
            <w:pPr>
              <w:jc w:val="right"/>
              <w:spacing w:after="0"/>
              <w:rPr>
                <w:sz w:val="20"/>
                <w:szCs w:val="20"/>
                <w:color w:val="auto"/>
              </w:rPr>
            </w:pPr>
            <w:r>
              <w:rPr>
                <w:rFonts w:ascii="Arial" w:cs="Arial" w:eastAsia="Arial" w:hAnsi="Arial"/>
                <w:sz w:val="18"/>
                <w:szCs w:val="18"/>
                <w:color w:val="auto"/>
                <w:w w:val="83"/>
              </w:rPr>
              <w:t>29,368</w:t>
            </w:r>
          </w:p>
        </w:tc>
        <w:tc>
          <w:tcPr>
            <w:tcW w:w="2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0" w:type="dxa"/>
            <w:vAlign w:val="bottom"/>
          </w:tcPr>
          <w:p>
            <w:pPr>
              <w:jc w:val="right"/>
              <w:spacing w:after="0"/>
              <w:rPr>
                <w:sz w:val="20"/>
                <w:szCs w:val="20"/>
                <w:color w:val="auto"/>
              </w:rPr>
            </w:pPr>
            <w:r>
              <w:rPr>
                <w:rFonts w:ascii="Arial" w:cs="Arial" w:eastAsia="Arial" w:hAnsi="Arial"/>
                <w:sz w:val="15"/>
                <w:szCs w:val="15"/>
                <w:u w:val="single" w:color="auto"/>
                <w:color w:val="auto"/>
                <w:w w:val="71"/>
              </w:rPr>
              <w:t>$</w:t>
            </w:r>
          </w:p>
        </w:tc>
        <w:tc>
          <w:tcPr>
            <w:tcW w:w="700" w:type="dxa"/>
            <w:vAlign w:val="bottom"/>
            <w:gridSpan w:val="2"/>
          </w:tcPr>
          <w:p>
            <w:pPr>
              <w:jc w:val="right"/>
              <w:ind w:right="220"/>
              <w:spacing w:after="0"/>
              <w:rPr>
                <w:sz w:val="20"/>
                <w:szCs w:val="20"/>
                <w:color w:val="auto"/>
              </w:rPr>
            </w:pPr>
            <w:r>
              <w:rPr>
                <w:rFonts w:ascii="Arial" w:cs="Arial" w:eastAsia="Arial" w:hAnsi="Arial"/>
                <w:sz w:val="18"/>
                <w:szCs w:val="18"/>
                <w:color w:val="auto"/>
                <w:w w:val="83"/>
              </w:rPr>
              <w:t>26,182</w:t>
            </w:r>
          </w:p>
        </w:tc>
        <w:tc>
          <w:tcPr>
            <w:tcW w:w="1040" w:type="dxa"/>
            <w:vAlign w:val="bottom"/>
            <w:gridSpan w:val="3"/>
          </w:tcPr>
          <w:p>
            <w:pPr>
              <w:jc w:val="right"/>
              <w:ind w:right="380"/>
              <w:spacing w:after="0"/>
              <w:rPr>
                <w:sz w:val="20"/>
                <w:szCs w:val="20"/>
                <w:color w:val="auto"/>
              </w:rPr>
            </w:pPr>
            <w:r>
              <w:rPr>
                <w:rFonts w:ascii="Arial" w:cs="Arial" w:eastAsia="Arial" w:hAnsi="Arial"/>
                <w:sz w:val="18"/>
                <w:szCs w:val="18"/>
                <w:u w:val="single" w:color="auto"/>
                <w:color w:val="auto"/>
              </w:rPr>
              <w:t>$</w:t>
            </w:r>
            <w:r>
              <w:rPr>
                <w:rFonts w:ascii="Arial" w:cs="Arial" w:eastAsia="Arial" w:hAnsi="Arial"/>
                <w:sz w:val="18"/>
                <w:szCs w:val="18"/>
                <w:color w:val="auto"/>
              </w:rPr>
              <w:t>3,773</w:t>
            </w:r>
          </w:p>
        </w:tc>
        <w:tc>
          <w:tcPr>
            <w:tcW w:w="100" w:type="dxa"/>
            <w:vAlign w:val="bottom"/>
          </w:tcPr>
          <w:p>
            <w:pPr>
              <w:jc w:val="right"/>
              <w:spacing w:after="0"/>
              <w:rPr>
                <w:sz w:val="20"/>
                <w:szCs w:val="20"/>
                <w:color w:val="auto"/>
              </w:rPr>
            </w:pPr>
            <w:r>
              <w:rPr>
                <w:rFonts w:ascii="Arial" w:cs="Arial" w:eastAsia="Arial" w:hAnsi="Arial"/>
                <w:sz w:val="15"/>
                <w:szCs w:val="15"/>
                <w:u w:val="single" w:color="auto"/>
                <w:color w:val="auto"/>
                <w:w w:val="71"/>
              </w:rPr>
              <w:t>$</w:t>
            </w:r>
          </w:p>
        </w:tc>
        <w:tc>
          <w:tcPr>
            <w:tcW w:w="400" w:type="dxa"/>
            <w:vAlign w:val="bottom"/>
          </w:tcPr>
          <w:p>
            <w:pPr>
              <w:jc w:val="right"/>
              <w:spacing w:after="0"/>
              <w:rPr>
                <w:sz w:val="20"/>
                <w:szCs w:val="20"/>
                <w:color w:val="auto"/>
              </w:rPr>
            </w:pPr>
            <w:r>
              <w:rPr>
                <w:rFonts w:ascii="Arial" w:cs="Arial" w:eastAsia="Arial" w:hAnsi="Arial"/>
                <w:sz w:val="18"/>
                <w:szCs w:val="18"/>
                <w:color w:val="auto"/>
                <w:w w:val="84"/>
              </w:rPr>
              <w:t>3,369</w:t>
            </w:r>
          </w:p>
        </w:tc>
        <w:tc>
          <w:tcPr>
            <w:tcW w:w="380" w:type="dxa"/>
            <w:vAlign w:val="bottom"/>
          </w:tcPr>
          <w:p>
            <w:pPr>
              <w:spacing w:after="0"/>
              <w:rPr>
                <w:sz w:val="19"/>
                <w:szCs w:val="19"/>
                <w:color w:val="auto"/>
              </w:rPr>
            </w:pPr>
          </w:p>
        </w:tc>
        <w:tc>
          <w:tcPr>
            <w:tcW w:w="1100" w:type="dxa"/>
            <w:vAlign w:val="bottom"/>
            <w:gridSpan w:val="2"/>
          </w:tcPr>
          <w:p>
            <w:pPr>
              <w:jc w:val="right"/>
              <w:ind w:right="420"/>
              <w:spacing w:after="0"/>
              <w:rPr>
                <w:sz w:val="20"/>
                <w:szCs w:val="20"/>
                <w:color w:val="auto"/>
              </w:rPr>
            </w:pPr>
            <w:r>
              <w:rPr>
                <w:rFonts w:ascii="Arial" w:cs="Arial" w:eastAsia="Arial" w:hAnsi="Arial"/>
                <w:sz w:val="18"/>
                <w:szCs w:val="18"/>
                <w:color w:val="auto"/>
              </w:rPr>
              <w:t>12.8%</w:t>
            </w:r>
          </w:p>
        </w:tc>
        <w:tc>
          <w:tcPr>
            <w:tcW w:w="720" w:type="dxa"/>
            <w:vAlign w:val="bottom"/>
            <w:gridSpan w:val="2"/>
          </w:tcPr>
          <w:p>
            <w:pPr>
              <w:jc w:val="right"/>
              <w:spacing w:after="0"/>
              <w:rPr>
                <w:sz w:val="20"/>
                <w:szCs w:val="20"/>
                <w:color w:val="auto"/>
              </w:rPr>
            </w:pPr>
            <w:r>
              <w:rPr>
                <w:rFonts w:ascii="Arial" w:cs="Arial" w:eastAsia="Arial" w:hAnsi="Arial"/>
                <w:sz w:val="18"/>
                <w:szCs w:val="18"/>
                <w:color w:val="auto"/>
              </w:rPr>
              <w:t>12.9%</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4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2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67" w:lineRule="exact"/>
        <w:rPr>
          <w:sz w:val="20"/>
          <w:szCs w:val="20"/>
          <w:color w:val="auto"/>
        </w:rPr>
      </w:pPr>
    </w:p>
    <w:p>
      <w:pPr>
        <w:ind w:left="460"/>
        <w:spacing w:after="0"/>
        <w:rPr>
          <w:sz w:val="20"/>
          <w:szCs w:val="20"/>
          <w:color w:val="auto"/>
        </w:rPr>
      </w:pPr>
      <w:r>
        <w:rPr>
          <w:rFonts w:ascii="Arial" w:cs="Arial" w:eastAsia="Arial" w:hAnsi="Arial"/>
          <w:sz w:val="16"/>
          <w:szCs w:val="16"/>
          <w:color w:val="auto"/>
        </w:rPr>
        <w:t>See Note 7 to the Condensed Consolidated Financial Statements for a discussion of restructuring charges included in segment operating results.</w:t>
      </w:r>
    </w:p>
    <w:p>
      <w:pPr>
        <w:spacing w:after="0" w:line="194" w:lineRule="exact"/>
        <w:rPr>
          <w:sz w:val="20"/>
          <w:szCs w:val="20"/>
          <w:color w:val="auto"/>
        </w:rPr>
      </w:pPr>
    </w:p>
    <w:p>
      <w:pPr>
        <w:ind w:firstLine="456"/>
        <w:spacing w:after="0" w:line="287" w:lineRule="auto"/>
        <w:rPr>
          <w:sz w:val="20"/>
          <w:szCs w:val="20"/>
          <w:color w:val="auto"/>
        </w:rPr>
      </w:pPr>
      <w:r>
        <w:rPr>
          <w:rFonts w:ascii="Arial" w:cs="Arial" w:eastAsia="Arial" w:hAnsi="Arial"/>
          <w:sz w:val="16"/>
          <w:szCs w:val="16"/>
          <w:color w:val="auto"/>
        </w:rPr>
        <w:t>In view of the risks and costs associated with developing new engines, Pratt &amp; Whitney has entered into certain collaboration arrangements in which costs, revenues and risks are shared. Revenues from Pratt &amp; Whitney’s engine programs under these collaboration arrangements are recorded as earned and the collaborator share of revenue is recorded as a reduction of revenue at that time. The collaborator share of revenue for the quarters ended June 30, 2008 and 2007 was approximately $250 million and $227 million, respectively. For the six months ended June 30, 2008 and 2007, the approximate collaborator share of revenue was $488 million and $441 million, respectively. Costs associated with engine programs under collaboration arrangements are expensed as incurred. The collaborator share of program costs is recorded as a reduction of the related expense item at that time. Upon the January 1, 2009 adoption of Emerging Issues Task Force (EITF) Issue No. 07-1, “Accounting for Collaborative Arrangements,” which requires that transactions with third parties be reported in the appropriate line item in each company’s financial statement pursuant to the guidance in EITF Issue No. 99-19, “Reporting Revenue Gross as a Principal versus Net as an Agent,” revenues will be increased by these amounts, with an offsetting increase to cost of sales in order to reflect the impact of the collaboration arrangements on a gross basis.</w:t>
      </w:r>
    </w:p>
    <w:p>
      <w:pPr>
        <w:spacing w:after="0" w:line="19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14: Accounting Pronouncements</w:t>
      </w:r>
    </w:p>
    <w:p>
      <w:pPr>
        <w:spacing w:after="0" w:line="96" w:lineRule="exact"/>
        <w:rPr>
          <w:sz w:val="20"/>
          <w:szCs w:val="20"/>
          <w:color w:val="auto"/>
        </w:rPr>
      </w:pPr>
    </w:p>
    <w:p>
      <w:pPr>
        <w:ind w:right="60" w:firstLine="456"/>
        <w:spacing w:after="0" w:line="298" w:lineRule="auto"/>
        <w:rPr>
          <w:sz w:val="20"/>
          <w:szCs w:val="20"/>
          <w:color w:val="auto"/>
        </w:rPr>
      </w:pPr>
      <w:r>
        <w:rPr>
          <w:rFonts w:ascii="Arial" w:cs="Arial" w:eastAsia="Arial" w:hAnsi="Arial"/>
          <w:sz w:val="16"/>
          <w:szCs w:val="16"/>
          <w:color w:val="auto"/>
        </w:rPr>
        <w:t>In September 2006, the FASB issued SFAS No. 157, “Fair Value Measurements” (SFAS 157), which is effective for fiscal years beginning after November 15, 2007 and for interim periods within those years. This statement defines fair value, establishes a framework for measuring fair value and expands the related disclosure requirements. This statement applies under other accounting pronouncements that require or permit fair value measurements. The statement indicates, among other things, that a fair value measurement assumes that the transaction to sell an asset or transfer a liability occurs in the principal</w:t>
      </w:r>
    </w:p>
    <w:p>
      <w:pPr>
        <w:spacing w:after="0" w:line="9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17</w:t>
      </w:r>
    </w:p>
    <w:p>
      <w:pPr>
        <w:sectPr>
          <w:pgSz w:w="11900" w:h="16838" w:orient="portrait"/>
          <w:cols w:equalWidth="0" w:num="1">
            <w:col w:w="11420"/>
          </w:cols>
          <w:pgMar w:left="240" w:top="459" w:right="239" w:bottom="1440" w:gutter="0" w:footer="0" w:header="0"/>
        </w:sectPr>
      </w:pPr>
    </w:p>
    <w:bookmarkStart w:id="17" w:name="page18"/>
    <w:bookmarkEnd w:id="1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jc w:val="both"/>
        <w:spacing w:after="0" w:line="302" w:lineRule="auto"/>
        <w:rPr>
          <w:sz w:val="20"/>
          <w:szCs w:val="20"/>
          <w:color w:val="auto"/>
        </w:rPr>
      </w:pPr>
      <w:r>
        <w:rPr>
          <w:rFonts w:ascii="Arial" w:cs="Arial" w:eastAsia="Arial" w:hAnsi="Arial"/>
          <w:sz w:val="15"/>
          <w:szCs w:val="15"/>
          <w:color w:val="auto"/>
        </w:rPr>
        <w:t>market for the asset or liability or, in the absence of a principal market, the most advantageous market for the asset or liability. SFAS 157 defines fair value based upon an exit price model. Relative to SFAS 157, the FASB issued FASB Staff Positions (FSP) 157-1, 157-2, and proposed 157-c. FSP 157-1 amends SFAS 157 to exclude SFAS 13 and its related interpretive accounting pronouncements that address leasing transactions, while FSP 157-2 delays the effective date of SFAS 157 for all nonfinancial assets and nonfinancial liabilities, except those that are recognized or disclosed at fair value in the financial statements on a recurring basis.</w:t>
      </w:r>
    </w:p>
    <w:p>
      <w:pPr>
        <w:spacing w:after="0" w:line="3" w:lineRule="exact"/>
        <w:rPr>
          <w:sz w:val="20"/>
          <w:szCs w:val="20"/>
          <w:color w:val="auto"/>
        </w:rPr>
      </w:pPr>
    </w:p>
    <w:p>
      <w:pPr>
        <w:ind w:right="40"/>
        <w:spacing w:after="0" w:line="254" w:lineRule="auto"/>
        <w:rPr>
          <w:sz w:val="20"/>
          <w:szCs w:val="20"/>
          <w:color w:val="auto"/>
        </w:rPr>
      </w:pPr>
      <w:r>
        <w:rPr>
          <w:rFonts w:ascii="Arial" w:cs="Arial" w:eastAsia="Arial" w:hAnsi="Arial"/>
          <w:sz w:val="18"/>
          <w:szCs w:val="18"/>
          <w:color w:val="auto"/>
        </w:rPr>
        <w:t>FSP 157-c clarifies the principles in SFAS 157 on the fair value measurement of liabilities. Public comments on FSP 157-c were due in February 2008, and responses and recommendations were presented to the board on April 9, 2008. We adopted SFAS 157 as of January 1, 2008, with the exception of the application of the statement to non-recurring nonfinancial assets and nonfinancial liabilities. Refer to Note 11 to the Condensed Consolidated Financial Statements for additional discussion on fair value measurements.</w:t>
      </w:r>
    </w:p>
    <w:p>
      <w:pPr>
        <w:spacing w:after="0" w:line="144" w:lineRule="exact"/>
        <w:rPr>
          <w:sz w:val="20"/>
          <w:szCs w:val="20"/>
          <w:color w:val="auto"/>
        </w:rPr>
      </w:pPr>
    </w:p>
    <w:p>
      <w:pPr>
        <w:ind w:firstLine="456"/>
        <w:spacing w:after="0" w:line="306" w:lineRule="auto"/>
        <w:rPr>
          <w:sz w:val="20"/>
          <w:szCs w:val="20"/>
          <w:color w:val="auto"/>
        </w:rPr>
      </w:pPr>
      <w:r>
        <w:rPr>
          <w:rFonts w:ascii="Arial" w:cs="Arial" w:eastAsia="Arial" w:hAnsi="Arial"/>
          <w:sz w:val="15"/>
          <w:szCs w:val="15"/>
          <w:color w:val="auto"/>
        </w:rPr>
        <w:t>In December 2007, the FASB issued SFAS No. 141 (revised 2007), “Business Combinations” (SFAS 141(R)), which replaces SFAS No. 141, “Business Combinations” (SFAS 141). SFAS 141(R) retains the underlying concepts of SFAS 141 in that all business combinations are still required to be accounted for at fair value under the acquisition method of accounting but SFAS 141(R) changed the method of applying the acquisition method in a number of significant aspects. Acquisition costs will generally be expensed as incurred; noncontrolling interests will be valued at fair value at the acquisition date; in-process research and development will be recorded at fair value as an indefinite-lived intangible asset at the acquisition date, until either abandoned or completed, at which point the useful lives will be determined; restructuring costs associated with a business combination will generally be expensed subsequent to the acquisition date; and changes in deferred tax asset valuation allowances and income tax uncertainties after the acquisition date generally will affect income tax expense. SFAS 141(R) is effective on a prospective basis for all business combinations for which the acquisition date is on or after the beginning of the first annual period subsequent to December 15, 2008, with the exception of the accounting for valuation allowances on deferred taxes and acquired tax contingencies. SFAS 141(R) amends SFAS 109 such that adjustments made to valuation allowances on deferred taxes and acquired tax contingencies associated with acquisitions that closed prior to the effective date of SFAS 141(R) would also apply the provisions of SFAS 141(R). Early adoption is not permitted. We are currently evaluating the effects, if any, that SFAS 141(R) may have on our financial statements; however, since we have significant acquired deferred tax assets for which full valuation allowances were recorded at the acquisition date, SFAS 141(R) could significantly affect the results of operations if changes in the valuation allowances occur subsequent to adoption. For additional discussion on deferred tax valuation allowances, refer to Note 9 to the Consolidated Financial Statements in 2007 Form 10-K.</w:t>
      </w:r>
    </w:p>
    <w:p>
      <w:pPr>
        <w:spacing w:after="0" w:line="108" w:lineRule="exact"/>
        <w:rPr>
          <w:sz w:val="20"/>
          <w:szCs w:val="20"/>
          <w:color w:val="auto"/>
        </w:rPr>
      </w:pPr>
    </w:p>
    <w:p>
      <w:pPr>
        <w:ind w:right="140" w:firstLine="456"/>
        <w:spacing w:after="0" w:line="290" w:lineRule="auto"/>
        <w:rPr>
          <w:sz w:val="20"/>
          <w:szCs w:val="20"/>
          <w:color w:val="auto"/>
        </w:rPr>
      </w:pPr>
      <w:r>
        <w:rPr>
          <w:rFonts w:ascii="Arial" w:cs="Arial" w:eastAsia="Arial" w:hAnsi="Arial"/>
          <w:sz w:val="16"/>
          <w:szCs w:val="16"/>
          <w:color w:val="auto"/>
        </w:rPr>
        <w:t>In December 2007, the FASB issued SFAS No. 160, “Noncontrolling Interests in Consolidated Financial Statements—an amendment of ARB No. 51.” This statement is effective for fiscal years, and interim periods within those fiscal years, beginning on or after December 15, 2008, with earlier adoption prohibited. This statement requires the recognition of a noncontrolling interest (minority interest) as equity in the consolidated financial statements and separate from the parent’s equity. The amount of net income attributable to the noncontrolling interest will be included in consolidated net income on the face of the income statement. It also amends certain of ARB No. 51’s consolidation procedures for consistency with the requirements of SFAS 141(R). This statement also includes expanded disclosure requirements regarding the interests of the parent and its noncontrolling interest. We have evaluated this new statement and have determined that the statement will not have a significant impact on the reporting of our financial position and results of operations.</w:t>
      </w:r>
    </w:p>
    <w:p>
      <w:pPr>
        <w:spacing w:after="0" w:line="118" w:lineRule="exact"/>
        <w:rPr>
          <w:sz w:val="20"/>
          <w:szCs w:val="20"/>
          <w:color w:val="auto"/>
        </w:rPr>
      </w:pPr>
    </w:p>
    <w:p>
      <w:pPr>
        <w:ind w:right="200" w:firstLine="456"/>
        <w:spacing w:after="0" w:line="302" w:lineRule="auto"/>
        <w:rPr>
          <w:sz w:val="20"/>
          <w:szCs w:val="20"/>
          <w:color w:val="auto"/>
        </w:rPr>
      </w:pPr>
      <w:r>
        <w:rPr>
          <w:rFonts w:ascii="Arial" w:cs="Arial" w:eastAsia="Arial" w:hAnsi="Arial"/>
          <w:sz w:val="15"/>
          <w:szCs w:val="15"/>
          <w:color w:val="auto"/>
        </w:rPr>
        <w:t>In December 2007, the EITF issued Issue No. 07-1, “Accounting for Collaborative Arrangements.” This Issue is effective for financial statements issued for fiscal years beginning after December 15, 2008, and interim periods within those fiscal years, and shall be applied retrospectively to all prior periods presented for all collaborative arrangements existing as of the effective date. This Issue requires that transactions with third parties (i.e., revenue generated and costs incurred by the partners) should be reported in the appropriate line item in each company’s financial statement pursuant to the guidance in EITF Issue</w:t>
      </w:r>
    </w:p>
    <w:p>
      <w:pPr>
        <w:spacing w:after="0" w:line="3" w:lineRule="exact"/>
        <w:rPr>
          <w:sz w:val="20"/>
          <w:szCs w:val="20"/>
          <w:color w:val="auto"/>
        </w:rPr>
      </w:pPr>
    </w:p>
    <w:p>
      <w:pPr>
        <w:ind w:right="20"/>
        <w:spacing w:after="0" w:line="290" w:lineRule="auto"/>
        <w:rPr>
          <w:sz w:val="20"/>
          <w:szCs w:val="20"/>
          <w:color w:val="auto"/>
        </w:rPr>
      </w:pPr>
      <w:r>
        <w:rPr>
          <w:rFonts w:ascii="Arial" w:cs="Arial" w:eastAsia="Arial" w:hAnsi="Arial"/>
          <w:sz w:val="16"/>
          <w:szCs w:val="16"/>
          <w:color w:val="auto"/>
        </w:rPr>
        <w:t>No. 99-19, “Reporting Revenue Gross as a Principal versus Net as an Agent.” This Issue also includes enhanced disclosure requirements regarding the nature and purpose of the arrangement, rights and obligations under the arrangement, accounting policy, amount and income statement classification of collaboration transactions between the parties. The collaborator share of revenue for the quarters ended June 30, 2008 and 2007 was approximately $250 million and $227 million, respectively. For the six months ended June 30, 2008 and 2007, the approximate collaborator share of revenue was $488 million and $441 million, respectively. Costs associated with engine programs under collaboration agreements are expensed as incurred. Under this Issue, revenues would be increased by these amounts with an offsetting increase to cost of sales in order to reflect the impact of the collaboration arrangements on a gross basis.</w:t>
      </w:r>
    </w:p>
    <w:p>
      <w:pPr>
        <w:spacing w:after="0" w:line="118" w:lineRule="exact"/>
        <w:rPr>
          <w:sz w:val="20"/>
          <w:szCs w:val="20"/>
          <w:color w:val="auto"/>
        </w:rPr>
      </w:pPr>
    </w:p>
    <w:p>
      <w:pPr>
        <w:ind w:right="240" w:firstLine="456"/>
        <w:spacing w:after="0" w:line="298" w:lineRule="auto"/>
        <w:rPr>
          <w:sz w:val="20"/>
          <w:szCs w:val="20"/>
          <w:color w:val="auto"/>
        </w:rPr>
      </w:pPr>
      <w:r>
        <w:rPr>
          <w:rFonts w:ascii="Arial" w:cs="Arial" w:eastAsia="Arial" w:hAnsi="Arial"/>
          <w:sz w:val="16"/>
          <w:szCs w:val="16"/>
          <w:color w:val="auto"/>
        </w:rPr>
        <w:t>In March 2008, the FASB issued SFAS No. 161, “Disclosures about Derivative Instruments and Hedging Activities, an amendment of FASB Statement No. 133” (SFAS 161). This statement is intended to improve transparency in financial reporting by requiring enhanced disclosures of an entity’s derivative instruments and hedging activities and their effects on the entity’s financial position, financial performance, and cash flows. SFAS 161 applies to all derivative instruments within the scope of SFAS 133, “Accounting for Derivative Instruments and Hedging Activities” (SFAS 133) as well as related</w:t>
      </w:r>
    </w:p>
    <w:p>
      <w:pPr>
        <w:spacing w:after="0" w:line="99"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18</w:t>
      </w:r>
    </w:p>
    <w:p>
      <w:pPr>
        <w:sectPr>
          <w:pgSz w:w="11900" w:h="16838" w:orient="portrait"/>
          <w:cols w:equalWidth="0" w:num="1">
            <w:col w:w="11380"/>
          </w:cols>
          <w:pgMar w:left="240" w:top="459" w:right="279" w:bottom="1440" w:gutter="0" w:footer="0" w:header="0"/>
        </w:sectPr>
      </w:pPr>
    </w:p>
    <w:bookmarkStart w:id="18" w:name="page19"/>
    <w:bookmarkEnd w:id="1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220"/>
        <w:spacing w:after="0" w:line="256" w:lineRule="auto"/>
        <w:rPr>
          <w:sz w:val="20"/>
          <w:szCs w:val="20"/>
          <w:color w:val="auto"/>
        </w:rPr>
      </w:pPr>
      <w:r>
        <w:rPr>
          <w:rFonts w:ascii="Arial" w:cs="Arial" w:eastAsia="Arial" w:hAnsi="Arial"/>
          <w:sz w:val="18"/>
          <w:szCs w:val="18"/>
          <w:color w:val="auto"/>
        </w:rPr>
        <w:t>hedged items, bifurcated derivatives, and nonderivative instruments that are designated and qualify as hedging instruments. Entities with instruments subject to SFAS 161 must provide more robust qualitative disclosures and expanded quantitative disclosures. SFAS 161 is effective prospectively for financial statements issued for fiscal years and interim periods beginning after November 15, 2008, with early application permitted. We are currently evaluating the disclosure implications of this statement.</w:t>
      </w:r>
    </w:p>
    <w:p>
      <w:pPr>
        <w:spacing w:after="0" w:line="143" w:lineRule="exact"/>
        <w:rPr>
          <w:sz w:val="20"/>
          <w:szCs w:val="20"/>
          <w:color w:val="auto"/>
        </w:rPr>
      </w:pPr>
    </w:p>
    <w:p>
      <w:pPr>
        <w:ind w:right="40" w:firstLine="456"/>
        <w:spacing w:after="0" w:line="289" w:lineRule="auto"/>
        <w:rPr>
          <w:sz w:val="20"/>
          <w:szCs w:val="20"/>
          <w:color w:val="auto"/>
        </w:rPr>
      </w:pPr>
      <w:r>
        <w:rPr>
          <w:rFonts w:ascii="Arial" w:cs="Arial" w:eastAsia="Arial" w:hAnsi="Arial"/>
          <w:sz w:val="16"/>
          <w:szCs w:val="16"/>
          <w:color w:val="auto"/>
        </w:rPr>
        <w:t>In April 2008, the FASB issued FSP No. FAS 142-3, “Determination of the Useful Life of Intangible Assets.” This FSP amends the factors that should be considered in developing renewal or extension assumptions used to determine the useful life of a recognized intangible asset under SFAS No. 142, “Goodwill and Other Intangible Assets” (SFAS 142). The objective of this FSP is to improve the consistency between the useful life of a recognized intangible asset under SFAS 142 and the period of expected cash flows used to measure the fair value of the asset under SFAS 141(R), and other U.S. Generally Accepted Accounting Principles (GAAP). This FSP applies to all intangible assets, whether acquired in a business combination or otherwise and shall be effective for financial statements issued for fiscal years beginning after December 15, 2008, and interim periods within those fiscal years and applied prospectively to intangible assets acquired after the effective date. Early adoption is prohibited. We have evaluated the new statement and have determined that it will not have a significant impact on the determination or reporting of our financial results.</w:t>
      </w:r>
    </w:p>
    <w:p>
      <w:pPr>
        <w:spacing w:after="0" w:line="118" w:lineRule="exact"/>
        <w:rPr>
          <w:sz w:val="20"/>
          <w:szCs w:val="20"/>
          <w:color w:val="auto"/>
        </w:rPr>
      </w:pPr>
    </w:p>
    <w:p>
      <w:pPr>
        <w:ind w:firstLine="456"/>
        <w:spacing w:after="0" w:line="289" w:lineRule="auto"/>
        <w:rPr>
          <w:sz w:val="20"/>
          <w:szCs w:val="20"/>
          <w:color w:val="auto"/>
        </w:rPr>
      </w:pPr>
      <w:r>
        <w:rPr>
          <w:rFonts w:ascii="Arial" w:cs="Arial" w:eastAsia="Arial" w:hAnsi="Arial"/>
          <w:sz w:val="16"/>
          <w:szCs w:val="16"/>
          <w:color w:val="auto"/>
        </w:rPr>
        <w:t>In May 2008, the FASB issued SFAS No. 162, “The Hierarchy of Generally Accepted Accounting Principles” (SFAS 162). This statement identifies the sources of accounting principles and the framework for selecting the principles used in the preparation of financial statements of nongovernmental entities that are presented in accordance with GAAP. With the issuance of this statement, the FASB concluded that the GAAP hierarchy should be directed toward the entity and not its auditor, and reside in the accounting literature established by the FASB as opposed to the American Institute of Certified Public Accountants (AICPA) Statement on Auditing Standards No. 69, “The Meaning of Present Fairly in Conformity With Generally Accepted Accounting Principles.” This statement is effective 60 days following the SEC’s approval of the Public Company Accounting Oversight Board amendments to AU Section 411, “The Meaning of Present Fairly in Conformity With Generally Accepted Accounting Principles.” We have evaluated the new statement and have determined that it will not have a significant impact on the determination or reporting of our financial results.</w:t>
      </w:r>
    </w:p>
    <w:p>
      <w:pPr>
        <w:spacing w:after="0" w:line="10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19</w:t>
      </w:r>
    </w:p>
    <w:p>
      <w:pPr>
        <w:sectPr>
          <w:pgSz w:w="11900" w:h="16838" w:orient="portrait"/>
          <w:cols w:equalWidth="0" w:num="1">
            <w:col w:w="11420"/>
          </w:cols>
          <w:pgMar w:left="240" w:top="459" w:right="239" w:bottom="1440" w:gutter="0" w:footer="0" w:header="0"/>
        </w:sectPr>
      </w:pPr>
    </w:p>
    <w:bookmarkStart w:id="19" w:name="page20"/>
    <w:bookmarkEnd w:id="1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60"/>
        <w:spacing w:after="0" w:line="289" w:lineRule="auto"/>
        <w:rPr>
          <w:sz w:val="20"/>
          <w:szCs w:val="20"/>
          <w:color w:val="auto"/>
        </w:rPr>
      </w:pPr>
      <w:r>
        <w:rPr>
          <w:rFonts w:ascii="Arial" w:cs="Arial" w:eastAsia="Arial" w:hAnsi="Arial"/>
          <w:sz w:val="16"/>
          <w:szCs w:val="16"/>
          <w:color w:val="auto"/>
        </w:rPr>
        <w:t>With respect to the unaudited condensed consolidated financial information of UTC for the quarter and six months ended June 30, 2008 and 2007, PricewaterhouseCoopers LLP (PricewaterhouseCoopers) reported that it has applied limited procedures in accordance with professional standards for a review of such information. However, its report dated July 22, 2008, appearing below, states that the firm did not audit and does not express an opinion on that unaudited condensed consolidated financial information. PricewaterhouseCoopers has not carried out any significant or additional audit tests beyond those that would have been necessary if their report had not been included. Accordingly, the degree of reliance on its report on such information should be restricted in light of the limited nature of the review procedures applied. PricewaterhouseCoopers is not subject to the liability provisions of Section 11 of the Securities Act of 1933 (the Act) for its report on the unaudited condensed consolidated financial information because that report is not a “report” or a “part” of a registration statement prepared or certified by PricewaterhouseCoopers within the meaning of Sections 7 and 11 of the Act.</w:t>
      </w:r>
    </w:p>
    <w:p>
      <w:pPr>
        <w:spacing w:after="0" w:line="274" w:lineRule="exact"/>
        <w:rPr>
          <w:sz w:val="20"/>
          <w:szCs w:val="20"/>
          <w:color w:val="auto"/>
        </w:rPr>
      </w:pPr>
    </w:p>
    <w:p>
      <w:pPr>
        <w:ind w:right="3480" w:firstLine="3508"/>
        <w:spacing w:after="0" w:line="394" w:lineRule="auto"/>
        <w:rPr>
          <w:sz w:val="20"/>
          <w:szCs w:val="20"/>
          <w:color w:val="auto"/>
        </w:rPr>
      </w:pPr>
      <w:r>
        <w:rPr>
          <w:rFonts w:ascii="Arial" w:cs="Arial" w:eastAsia="Arial" w:hAnsi="Arial"/>
          <w:sz w:val="18"/>
          <w:szCs w:val="18"/>
          <w:b w:val="1"/>
          <w:bCs w:val="1"/>
          <w:color w:val="auto"/>
        </w:rPr>
        <w:t xml:space="preserve">Report of Independent Registered Public Accounting Firm </w:t>
      </w:r>
      <w:r>
        <w:rPr>
          <w:rFonts w:ascii="Arial" w:cs="Arial" w:eastAsia="Arial" w:hAnsi="Arial"/>
          <w:sz w:val="18"/>
          <w:szCs w:val="18"/>
          <w:color w:val="auto"/>
        </w:rPr>
        <w:t>To the Board of Directors and Shareowners of United Technologies Corporation:</w:t>
      </w:r>
    </w:p>
    <w:p>
      <w:pPr>
        <w:spacing w:after="0" w:line="2" w:lineRule="exact"/>
        <w:rPr>
          <w:sz w:val="20"/>
          <w:szCs w:val="20"/>
          <w:color w:val="auto"/>
        </w:rPr>
      </w:pPr>
    </w:p>
    <w:p>
      <w:pPr>
        <w:ind w:right="140"/>
        <w:spacing w:after="0" w:line="256" w:lineRule="auto"/>
        <w:rPr>
          <w:sz w:val="20"/>
          <w:szCs w:val="20"/>
          <w:color w:val="auto"/>
        </w:rPr>
      </w:pPr>
      <w:r>
        <w:rPr>
          <w:rFonts w:ascii="Arial" w:cs="Arial" w:eastAsia="Arial" w:hAnsi="Arial"/>
          <w:sz w:val="18"/>
          <w:szCs w:val="18"/>
          <w:color w:val="auto"/>
        </w:rPr>
        <w:t>We have reviewed the accompanying condensed consolidated balance sheet of United Technologies Corporation (the “Corporation”) and its subsidiaries as of June 30, 2008, and the related condensed consolidated statement of operations for each of the three-month and six-month periods ended June 30, 2008 and 2007 and the condensed consolidated statement of cash flows for the six-month periods ended June 30, 2008 and 2007. This interim financial information is the responsibility of the Corporation’s management.</w:t>
      </w:r>
    </w:p>
    <w:p>
      <w:pPr>
        <w:spacing w:after="0" w:line="143" w:lineRule="exact"/>
        <w:rPr>
          <w:sz w:val="20"/>
          <w:szCs w:val="20"/>
          <w:color w:val="auto"/>
        </w:rPr>
      </w:pPr>
    </w:p>
    <w:p>
      <w:pPr>
        <w:ind w:right="280"/>
        <w:spacing w:after="0" w:line="298" w:lineRule="auto"/>
        <w:rPr>
          <w:sz w:val="20"/>
          <w:szCs w:val="20"/>
          <w:color w:val="auto"/>
        </w:rPr>
      </w:pPr>
      <w:r>
        <w:rPr>
          <w:rFonts w:ascii="Arial" w:cs="Arial" w:eastAsia="Arial" w:hAnsi="Arial"/>
          <w:sz w:val="16"/>
          <w:szCs w:val="16"/>
          <w:color w:val="auto"/>
        </w:rPr>
        <w:t>We conducted our review in accordance with the standards of the Public Company Accounting Oversight Board (United States). A review of interim financial information consists principally of applying analytical procedures and making inquiries of persons responsible for financial and accounting matters. It is substantially less in scope than an audit conducted in accordance with the standards of the Public Company Accounting Oversight Board (United States), the objective of which is the expression of an opinion regarding the financial statements taken as a whole. Accordingly, we do not express such an opinion.</w:t>
      </w:r>
    </w:p>
    <w:p>
      <w:pPr>
        <w:spacing w:after="0" w:line="113" w:lineRule="exact"/>
        <w:rPr>
          <w:sz w:val="20"/>
          <w:szCs w:val="20"/>
          <w:color w:val="auto"/>
        </w:rPr>
      </w:pPr>
    </w:p>
    <w:p>
      <w:pPr>
        <w:ind w:right="680"/>
        <w:spacing w:after="0" w:line="332" w:lineRule="auto"/>
        <w:rPr>
          <w:sz w:val="20"/>
          <w:szCs w:val="20"/>
          <w:color w:val="auto"/>
        </w:rPr>
      </w:pPr>
      <w:r>
        <w:rPr>
          <w:rFonts w:ascii="Arial" w:cs="Arial" w:eastAsia="Arial" w:hAnsi="Arial"/>
          <w:sz w:val="16"/>
          <w:szCs w:val="16"/>
          <w:color w:val="auto"/>
        </w:rPr>
        <w:t>Based on our review, we are not aware of any material modifications that should be made to the accompanying condensed consolidated interim financial information for it to be in conformity with accounting principles generally accepted in the United States of America.</w:t>
      </w:r>
    </w:p>
    <w:p>
      <w:pPr>
        <w:spacing w:after="0" w:line="85" w:lineRule="exact"/>
        <w:rPr>
          <w:sz w:val="20"/>
          <w:szCs w:val="20"/>
          <w:color w:val="auto"/>
        </w:rPr>
      </w:pPr>
    </w:p>
    <w:p>
      <w:pPr>
        <w:jc w:val="both"/>
        <w:ind w:right="380"/>
        <w:spacing w:after="0" w:line="259" w:lineRule="auto"/>
        <w:rPr>
          <w:sz w:val="20"/>
          <w:szCs w:val="20"/>
          <w:color w:val="auto"/>
        </w:rPr>
      </w:pPr>
      <w:r>
        <w:rPr>
          <w:rFonts w:ascii="Arial" w:cs="Arial" w:eastAsia="Arial" w:hAnsi="Arial"/>
          <w:sz w:val="18"/>
          <w:szCs w:val="18"/>
          <w:color w:val="auto"/>
        </w:rPr>
        <w:t xml:space="preserve">As discussed in Notes 5, 6, and 11 to the condensed consolidated interim financial information, the Corporation changed the manner in which it accounts for uncertain tax positions and the manner in which it accounts for defined benefit pension and other postretirement plans in 2007, and adopted FASB Statement No. 157, </w:t>
      </w:r>
      <w:r>
        <w:rPr>
          <w:rFonts w:ascii="Arial" w:cs="Arial" w:eastAsia="Arial" w:hAnsi="Arial"/>
          <w:sz w:val="18"/>
          <w:szCs w:val="18"/>
          <w:i w:val="1"/>
          <w:iCs w:val="1"/>
          <w:color w:val="auto"/>
        </w:rPr>
        <w:t>Fair Value Measurements,</w:t>
      </w:r>
      <w:r>
        <w:rPr>
          <w:rFonts w:ascii="Arial" w:cs="Arial" w:eastAsia="Arial" w:hAnsi="Arial"/>
          <w:sz w:val="18"/>
          <w:szCs w:val="18"/>
          <w:color w:val="auto"/>
        </w:rPr>
        <w:t xml:space="preserve"> as of January 1, 2008, respectively.</w:t>
      </w:r>
    </w:p>
    <w:p>
      <w:pPr>
        <w:spacing w:after="0" w:line="140" w:lineRule="exact"/>
        <w:rPr>
          <w:sz w:val="20"/>
          <w:szCs w:val="20"/>
          <w:color w:val="auto"/>
        </w:rPr>
      </w:pPr>
    </w:p>
    <w:p>
      <w:pPr>
        <w:spacing w:after="0" w:line="291" w:lineRule="auto"/>
        <w:rPr>
          <w:sz w:val="20"/>
          <w:szCs w:val="20"/>
          <w:color w:val="auto"/>
        </w:rPr>
      </w:pPr>
      <w:r>
        <w:rPr>
          <w:rFonts w:ascii="Arial" w:cs="Arial" w:eastAsia="Arial" w:hAnsi="Arial"/>
          <w:sz w:val="16"/>
          <w:szCs w:val="16"/>
          <w:color w:val="auto"/>
        </w:rPr>
        <w:t>We previously audited, in accordance with the standards of the Public Company Accounting Oversight Board (United States), the consolidated balance sheet as of December 31, 2007, and the related consolidated statements of operations, of cash flows and of changes in shareowners’ equity for the year then ended (not presented herein), and in our report dated February 7, 2008 (which included an explanatory paragraph with respect to the Corporation’s change in its manner of accounting for conditional asset retirement obligations, defined benefit pension and other postretirement plans, and uncertain tax positions), we expressed an unqualified opinion on those consolidated financial statements. In our opinion, the information set forth in the accompanying condensed consolidated balance sheet as of December 31, 2007, is fairly stated in all material respects in relation to the consolidated balance sheet from which it has been derived.</w:t>
      </w:r>
    </w:p>
    <w:p>
      <w:pPr>
        <w:spacing w:after="0" w:line="120" w:lineRule="exact"/>
        <w:rPr>
          <w:sz w:val="20"/>
          <w:szCs w:val="20"/>
          <w:color w:val="auto"/>
        </w:rPr>
      </w:pPr>
    </w:p>
    <w:p>
      <w:pPr>
        <w:spacing w:after="0"/>
        <w:rPr>
          <w:sz w:val="20"/>
          <w:szCs w:val="20"/>
          <w:color w:val="auto"/>
        </w:rPr>
      </w:pPr>
      <w:r>
        <w:rPr>
          <w:rFonts w:ascii="Arial" w:cs="Arial" w:eastAsia="Arial" w:hAnsi="Arial"/>
          <w:sz w:val="18"/>
          <w:szCs w:val="18"/>
          <w:color w:val="auto"/>
        </w:rPr>
        <w:t>/s/ PricewaterhouseCoopers LLP</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color w:val="auto"/>
        </w:rPr>
        <w:t>Hartford, Connecticut</w:t>
      </w:r>
    </w:p>
    <w:p>
      <w:pPr>
        <w:spacing w:after="0" w:line="15" w:lineRule="exact"/>
        <w:rPr>
          <w:sz w:val="20"/>
          <w:szCs w:val="20"/>
          <w:color w:val="auto"/>
        </w:rPr>
      </w:pPr>
    </w:p>
    <w:p>
      <w:pPr>
        <w:spacing w:after="0"/>
        <w:rPr>
          <w:sz w:val="20"/>
          <w:szCs w:val="20"/>
          <w:color w:val="auto"/>
        </w:rPr>
      </w:pPr>
      <w:r>
        <w:rPr>
          <w:rFonts w:ascii="Arial" w:cs="Arial" w:eastAsia="Arial" w:hAnsi="Arial"/>
          <w:sz w:val="18"/>
          <w:szCs w:val="18"/>
          <w:color w:val="auto"/>
        </w:rPr>
        <w:t>July 22, 2008</w:t>
      </w:r>
    </w:p>
    <w:p>
      <w:pPr>
        <w:spacing w:after="0" w:line="15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20</w:t>
      </w:r>
    </w:p>
    <w:p>
      <w:pPr>
        <w:sectPr>
          <w:pgSz w:w="11900" w:h="16838" w:orient="portrait"/>
          <w:cols w:equalWidth="0" w:num="1">
            <w:col w:w="11400"/>
          </w:cols>
          <w:pgMar w:left="240" w:top="459" w:right="259" w:bottom="1440" w:gutter="0" w:footer="0" w:header="0"/>
        </w:sectPr>
      </w:pPr>
    </w:p>
    <w:bookmarkStart w:id="20" w:name="page21"/>
    <w:bookmarkEnd w:id="2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tabs>
          <w:tab w:leader="none" w:pos="1020" w:val="left"/>
        </w:tabs>
        <w:rPr>
          <w:sz w:val="20"/>
          <w:szCs w:val="20"/>
          <w:color w:val="auto"/>
        </w:rPr>
      </w:pPr>
      <w:r>
        <w:rPr>
          <w:rFonts w:ascii="Arial" w:cs="Arial" w:eastAsia="Arial" w:hAnsi="Arial"/>
          <w:sz w:val="18"/>
          <w:szCs w:val="18"/>
          <w:b w:val="1"/>
          <w:bCs w:val="1"/>
          <w:color w:val="auto"/>
        </w:rPr>
        <w:t>Item 2.</w:t>
      </w:r>
      <w:r>
        <w:rPr>
          <w:sz w:val="20"/>
          <w:szCs w:val="20"/>
          <w:color w:val="auto"/>
        </w:rPr>
        <w:tab/>
      </w:r>
      <w:r>
        <w:rPr>
          <w:rFonts w:ascii="Arial" w:cs="Arial" w:eastAsia="Arial" w:hAnsi="Arial"/>
          <w:sz w:val="15"/>
          <w:szCs w:val="15"/>
          <w:b w:val="1"/>
          <w:bCs w:val="1"/>
          <w:color w:val="auto"/>
        </w:rPr>
        <w:t>Management’s Discussion and Analysis of Financial Condition and Results of Operations</w:t>
      </w:r>
    </w:p>
    <w:p>
      <w:pPr>
        <w:spacing w:after="0" w:line="171"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BUSINESS OVERVIEW</w:t>
      </w:r>
    </w:p>
    <w:p>
      <w:pPr>
        <w:spacing w:after="0" w:line="177" w:lineRule="exact"/>
        <w:rPr>
          <w:sz w:val="20"/>
          <w:szCs w:val="20"/>
          <w:color w:val="auto"/>
        </w:rPr>
      </w:pPr>
    </w:p>
    <w:p>
      <w:pPr>
        <w:ind w:firstLine="456"/>
        <w:spacing w:after="0" w:line="294" w:lineRule="auto"/>
        <w:rPr>
          <w:sz w:val="20"/>
          <w:szCs w:val="20"/>
          <w:color w:val="auto"/>
        </w:rPr>
      </w:pPr>
      <w:r>
        <w:rPr>
          <w:rFonts w:ascii="Arial" w:cs="Arial" w:eastAsia="Arial" w:hAnsi="Arial"/>
          <w:sz w:val="16"/>
          <w:szCs w:val="16"/>
          <w:color w:val="auto"/>
        </w:rPr>
        <w:t>We conduct our business through six principal segments: Otis, Carrier, UTC Fire &amp; Security, Pratt &amp; Whitney, Hamilton Sundstrand and Sikorsky. Otis, Carrier and UTC Fire &amp; Security are collectively referred to as the “commercial businesses,” while Pratt &amp; Whitney, Hamilton Sundstrand and Sikorsky are collectively referred to as the “aerospace businesses.” The current status of significant factors impacting our business environment in 2008 is discussed below. For additional discussion, refer to the “Business Overview” section in Management’s Discussion and Analysis of Financial Condition and Results of Operations in our 2007 Annual Report, which is incorporated by reference in our 2007 Form 10-K (2007 Form 10-K).</w:t>
      </w:r>
    </w:p>
    <w:p>
      <w:pPr>
        <w:spacing w:after="0" w:line="19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u w:val="single" w:color="auto"/>
          <w:color w:val="auto"/>
        </w:rPr>
        <w:t>General</w:t>
      </w:r>
    </w:p>
    <w:p>
      <w:pPr>
        <w:spacing w:after="0" w:line="90" w:lineRule="exact"/>
        <w:rPr>
          <w:sz w:val="20"/>
          <w:szCs w:val="20"/>
          <w:color w:val="auto"/>
        </w:rPr>
      </w:pPr>
    </w:p>
    <w:p>
      <w:pPr>
        <w:ind w:right="140" w:firstLine="456"/>
        <w:spacing w:after="0" w:line="259" w:lineRule="auto"/>
        <w:rPr>
          <w:sz w:val="20"/>
          <w:szCs w:val="20"/>
          <w:color w:val="auto"/>
        </w:rPr>
      </w:pPr>
      <w:r>
        <w:rPr>
          <w:rFonts w:ascii="Arial" w:cs="Arial" w:eastAsia="Arial" w:hAnsi="Arial"/>
          <w:sz w:val="18"/>
          <w:szCs w:val="18"/>
          <w:color w:val="auto"/>
        </w:rPr>
        <w:t>As worldwide businesses, our operations can be affected by global and regional industrial, economic and political factors. However, our geographic and industry diversity, as well as the diversity of our product sales and services, has helped limit the impact of any one industry or economy of any single country on our consolidated results.</w:t>
      </w:r>
    </w:p>
    <w:p>
      <w:pPr>
        <w:spacing w:after="0" w:line="140" w:lineRule="exact"/>
        <w:rPr>
          <w:sz w:val="20"/>
          <w:szCs w:val="20"/>
          <w:color w:val="auto"/>
        </w:rPr>
      </w:pPr>
    </w:p>
    <w:p>
      <w:pPr>
        <w:ind w:right="160" w:firstLine="456"/>
        <w:spacing w:after="0" w:line="290" w:lineRule="auto"/>
        <w:rPr>
          <w:sz w:val="20"/>
          <w:szCs w:val="20"/>
          <w:color w:val="auto"/>
        </w:rPr>
      </w:pPr>
      <w:r>
        <w:rPr>
          <w:rFonts w:ascii="Arial" w:cs="Arial" w:eastAsia="Arial" w:hAnsi="Arial"/>
          <w:sz w:val="16"/>
          <w:szCs w:val="16"/>
          <w:color w:val="auto"/>
        </w:rPr>
        <w:t>Despite a more challenging economic environment in the first half of 2008 as compared to the same period in 2007, continued growth in the commercial aerospace original equipment manufacturer (OEM) markets and global commercial construction markets led to a 13% increase in second quarter revenues year over year. Notwithstanding the growth in OEM volume, the escalation of fuel prices continues to adversely impact the commercial aerospace industry as some larger domestic airline carriers have announced plans to reduce service and capacity to help offset rising costs. Revenue passenger miles (RPMs) are again projected to increase worldwide in 2008, although at a rate lower than initially expected in part due to higher prices and slower global economic growth. For the second quarter of 2008, however, revenues remained strong with commercial aerospace aftermarket volume in the second quarter increasing 7% as compared to the same quarter in the prior year.</w:t>
      </w:r>
    </w:p>
    <w:p>
      <w:pPr>
        <w:spacing w:after="0" w:line="118" w:lineRule="exact"/>
        <w:rPr>
          <w:sz w:val="20"/>
          <w:szCs w:val="20"/>
          <w:color w:val="auto"/>
        </w:rPr>
      </w:pPr>
    </w:p>
    <w:p>
      <w:pPr>
        <w:ind w:right="120" w:firstLine="456"/>
        <w:spacing w:after="0" w:line="323" w:lineRule="auto"/>
        <w:rPr>
          <w:sz w:val="20"/>
          <w:szCs w:val="20"/>
          <w:color w:val="auto"/>
        </w:rPr>
      </w:pPr>
      <w:r>
        <w:rPr>
          <w:rFonts w:ascii="Arial" w:cs="Arial" w:eastAsia="Arial" w:hAnsi="Arial"/>
          <w:sz w:val="15"/>
          <w:szCs w:val="15"/>
          <w:color w:val="auto"/>
        </w:rPr>
        <w:t>Global infrastructure investments have continued to benefit our commercial businesses, particularly at Otis where new equipment orders remained strong. Carrier’s commercial heating, ventilating, and air conditioning (HVAC) revenue growth remained strong, while the refrigeration markets in North America and Europe declined. The U.S. economy continues to soften under the tightening of the credit markets and weakness in the U.S. residential market. The deterioration of the U.S. residential market has adversely impacted Carrier’s North American HVAC business, as well as UTC Fire &amp; Security’s U.S. residential business.</w:t>
      </w:r>
    </w:p>
    <w:p>
      <w:pPr>
        <w:spacing w:after="0" w:line="98" w:lineRule="exact"/>
        <w:rPr>
          <w:sz w:val="20"/>
          <w:szCs w:val="20"/>
          <w:color w:val="auto"/>
        </w:rPr>
      </w:pPr>
    </w:p>
    <w:p>
      <w:pPr>
        <w:ind w:right="100" w:firstLine="456"/>
        <w:spacing w:after="0" w:line="256" w:lineRule="auto"/>
        <w:rPr>
          <w:sz w:val="20"/>
          <w:szCs w:val="20"/>
          <w:color w:val="auto"/>
        </w:rPr>
      </w:pPr>
      <w:r>
        <w:rPr>
          <w:rFonts w:ascii="Arial" w:cs="Arial" w:eastAsia="Arial" w:hAnsi="Arial"/>
          <w:sz w:val="18"/>
          <w:szCs w:val="18"/>
          <w:color w:val="auto"/>
        </w:rPr>
        <w:t>Notwithstanding the foregoing, the global diversification and balance in other markets and regions across UTC, strong product acceptance, and higher opening order backlog generated organic revenue growth of 6% in the second quarter of 2008. The favorable impact of foreign currency translation (5%) and the net impact of acquisitions and divestitures completed in the past year (2%) contributed the remainder of the 13% total growth in second quarter revenues year over year.</w:t>
      </w:r>
    </w:p>
    <w:p>
      <w:pPr>
        <w:spacing w:after="0" w:line="143" w:lineRule="exact"/>
        <w:rPr>
          <w:sz w:val="20"/>
          <w:szCs w:val="20"/>
          <w:color w:val="auto"/>
        </w:rPr>
      </w:pPr>
    </w:p>
    <w:p>
      <w:pPr>
        <w:ind w:right="120" w:firstLine="456"/>
        <w:spacing w:after="0" w:line="290" w:lineRule="auto"/>
        <w:rPr>
          <w:sz w:val="20"/>
          <w:szCs w:val="20"/>
          <w:color w:val="auto"/>
        </w:rPr>
      </w:pPr>
      <w:r>
        <w:rPr>
          <w:rFonts w:ascii="Arial" w:cs="Arial" w:eastAsia="Arial" w:hAnsi="Arial"/>
          <w:sz w:val="16"/>
          <w:szCs w:val="16"/>
          <w:color w:val="auto"/>
        </w:rPr>
        <w:t>The increase in revenues in the second quarter of 2008 was accompanied by continued improvements in operational efficiencies, including savings from previously initiated restructuring actions and cost containment efforts. These operating profit improvements were partially offset by the adverse impact of higher commodity costs to generate a 13% increase in consolidated operating profit in the second quarter of 2008 as compared with the same period in 2007. After a partial recovery through pricing, the net adverse impact to earnings of higher commodity costs, excluding energy was approximately $50 million in the second quarter of 2008. We expect full year gross commodity cost increases, excluding energy, to be over $300 million, with pricing expected to offset a little more than half the impact. The favorable impact of foreign currency translation (3%) and the net impact from acquisitions and divestitures completed in the past year (1%) were offset by increased restructuring charges (4%).</w:t>
      </w:r>
    </w:p>
    <w:p>
      <w:pPr>
        <w:spacing w:after="0" w:line="118" w:lineRule="exact"/>
        <w:rPr>
          <w:sz w:val="20"/>
          <w:szCs w:val="20"/>
          <w:color w:val="auto"/>
        </w:rPr>
      </w:pPr>
    </w:p>
    <w:p>
      <w:pPr>
        <w:ind w:right="60" w:firstLine="456"/>
        <w:spacing w:after="0" w:line="298" w:lineRule="auto"/>
        <w:rPr>
          <w:sz w:val="20"/>
          <w:szCs w:val="20"/>
          <w:color w:val="auto"/>
        </w:rPr>
      </w:pPr>
      <w:r>
        <w:rPr>
          <w:rFonts w:ascii="Arial" w:cs="Arial" w:eastAsia="Arial" w:hAnsi="Arial"/>
          <w:sz w:val="16"/>
          <w:szCs w:val="16"/>
          <w:color w:val="auto"/>
        </w:rPr>
        <w:t>As previously disclosed, operating profit for the first six months of 2007 was adversely impacted by a civil fine, net of existing reserves, of $216 million levied against Otis. The European Commission’s Competition Directorate assessed a civil fine of approximately $300 million (EU Fine) against Otis, its relevant local entities and UTC, as a result of certain Otis subsidiaries in Europe violating European Union competition rules. Gains from the sale of marketable securities and certain non-core assets and lower restructuring charges in the first half of 2007 helped to offset the adverse impact of this fine.</w:t>
      </w:r>
    </w:p>
    <w:p>
      <w:pPr>
        <w:spacing w:after="0" w:line="113" w:lineRule="exact"/>
        <w:rPr>
          <w:sz w:val="20"/>
          <w:szCs w:val="20"/>
          <w:color w:val="auto"/>
        </w:rPr>
      </w:pPr>
    </w:p>
    <w:p>
      <w:pPr>
        <w:ind w:right="160" w:firstLine="456"/>
        <w:spacing w:after="0" w:line="294" w:lineRule="auto"/>
        <w:rPr>
          <w:sz w:val="20"/>
          <w:szCs w:val="20"/>
          <w:color w:val="auto"/>
        </w:rPr>
      </w:pPr>
      <w:r>
        <w:rPr>
          <w:rFonts w:ascii="Arial" w:cs="Arial" w:eastAsia="Arial" w:hAnsi="Arial"/>
          <w:sz w:val="16"/>
          <w:szCs w:val="16"/>
          <w:color w:val="auto"/>
        </w:rPr>
        <w:t>Continued weakness of the U.S. dollar against certain currencies such as the Euro generated a positive foreign currency translation impact in the second quarter of 2008, which was partially offset by the adverse impact of foreign exchange on Pratt &amp; Whitney Canada’s results. The continued weakness of the U.S. dollar has adversely impacted Pratt &amp; Whitney Canada’s operating profits as the majority of its revenues are denominated in U.S. dollars, while a significant amount of its costs are incurred in Canadian dollars. Including the adverse impact on Pratt &amp; Whitney Canada’s costs, foreign currency translation contributed $.04 and $.03 per share in the second quarter of 2008 and 2007, respectively.</w:t>
      </w:r>
    </w:p>
    <w:p>
      <w:pPr>
        <w:spacing w:after="0" w:line="10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21</w:t>
      </w:r>
    </w:p>
    <w:p>
      <w:pPr>
        <w:sectPr>
          <w:pgSz w:w="11900" w:h="16838" w:orient="portrait"/>
          <w:cols w:equalWidth="0" w:num="1">
            <w:col w:w="11420"/>
          </w:cols>
          <w:pgMar w:left="240" w:top="459" w:right="239" w:bottom="1440" w:gutter="0" w:footer="0" w:header="0"/>
        </w:sectPr>
      </w:pPr>
    </w:p>
    <w:bookmarkStart w:id="21" w:name="page22"/>
    <w:bookmarkEnd w:id="2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u w:val="single" w:color="auto"/>
          <w:color w:val="auto"/>
        </w:rPr>
        <w:t>Commercial Businesses</w:t>
      </w:r>
    </w:p>
    <w:p>
      <w:pPr>
        <w:spacing w:after="0" w:line="90" w:lineRule="exact"/>
        <w:rPr>
          <w:sz w:val="20"/>
          <w:szCs w:val="20"/>
          <w:color w:val="auto"/>
        </w:rPr>
      </w:pPr>
    </w:p>
    <w:p>
      <w:pPr>
        <w:ind w:right="40" w:firstLine="456"/>
        <w:spacing w:after="0" w:line="298" w:lineRule="auto"/>
        <w:rPr>
          <w:sz w:val="20"/>
          <w:szCs w:val="20"/>
          <w:color w:val="auto"/>
        </w:rPr>
      </w:pPr>
      <w:r>
        <w:rPr>
          <w:rFonts w:ascii="Arial" w:cs="Arial" w:eastAsia="Arial" w:hAnsi="Arial"/>
          <w:sz w:val="16"/>
          <w:szCs w:val="16"/>
          <w:color w:val="auto"/>
        </w:rPr>
        <w:t>Our commercial businesses generally serve customers in the worldwide commercial and residential property industries, although Carrier also serves customers in the commercial and transport refrigeration industries. Revenues in the commercial businesses are influenced by residential and commercial construction activity, domestic and world gross domestic product growth levels, overall global economic conditions and, for Carrier, seasonal weather conditions. To ensure adequate supply of Carrier products in the distribution channel, Carrier customarily offers its customers incentives to purchase products.</w:t>
      </w:r>
    </w:p>
    <w:p>
      <w:pPr>
        <w:spacing w:after="0" w:line="113" w:lineRule="exact"/>
        <w:rPr>
          <w:sz w:val="20"/>
          <w:szCs w:val="20"/>
          <w:color w:val="auto"/>
        </w:rPr>
      </w:pPr>
    </w:p>
    <w:p>
      <w:pPr>
        <w:ind w:right="200" w:firstLine="456"/>
        <w:spacing w:after="0" w:line="256" w:lineRule="auto"/>
        <w:rPr>
          <w:sz w:val="20"/>
          <w:szCs w:val="20"/>
          <w:color w:val="auto"/>
        </w:rPr>
      </w:pPr>
      <w:r>
        <w:rPr>
          <w:rFonts w:ascii="Arial" w:cs="Arial" w:eastAsia="Arial" w:hAnsi="Arial"/>
          <w:sz w:val="18"/>
          <w:szCs w:val="18"/>
          <w:color w:val="auto"/>
        </w:rPr>
        <w:t>Despite the continued deterioration of the U.S. residential market and lower order rates in the refrigeration business, Carrier experienced overall revenue growth of 7% in the second quarter of 2008. The favorable impact of a weaker U.S. dollar (5%), combined with world wide geographic balance and strength in the commercial HVAC business, more than offset weakness in the U.S., a poor start to the European cooling season, and lower volumes in the commercial refrigeration businesses.</w:t>
      </w:r>
    </w:p>
    <w:p>
      <w:pPr>
        <w:spacing w:after="0" w:line="143" w:lineRule="exact"/>
        <w:rPr>
          <w:sz w:val="20"/>
          <w:szCs w:val="20"/>
          <w:color w:val="auto"/>
        </w:rPr>
      </w:pPr>
    </w:p>
    <w:p>
      <w:pPr>
        <w:ind w:right="40" w:firstLine="456"/>
        <w:spacing w:after="0" w:line="256" w:lineRule="auto"/>
        <w:rPr>
          <w:sz w:val="20"/>
          <w:szCs w:val="20"/>
          <w:color w:val="auto"/>
        </w:rPr>
      </w:pPr>
      <w:r>
        <w:rPr>
          <w:rFonts w:ascii="Arial" w:cs="Arial" w:eastAsia="Arial" w:hAnsi="Arial"/>
          <w:sz w:val="18"/>
          <w:szCs w:val="18"/>
          <w:color w:val="auto"/>
        </w:rPr>
        <w:t>Within the Otis segment, organic revenue growth of 9% in the first half of 2008 was aided by the strong new equipment backlog entering the year, as well as higher modernization and repair sales in Europe, which benefited from changes to elevator safety laws in France and Spain. Revenues grew in all geographic regions with strong growth in North America, France, Russia, and China. New equipment orders remained strong in the second quarter of 2008, up 23% globally, or 14% excluding the favorable impact of foreign currency.</w:t>
      </w:r>
    </w:p>
    <w:p>
      <w:pPr>
        <w:spacing w:after="0" w:line="143" w:lineRule="exact"/>
        <w:rPr>
          <w:sz w:val="20"/>
          <w:szCs w:val="20"/>
          <w:color w:val="auto"/>
        </w:rPr>
      </w:pPr>
    </w:p>
    <w:p>
      <w:pPr>
        <w:ind w:right="640" w:firstLine="456"/>
        <w:spacing w:after="0" w:line="306" w:lineRule="auto"/>
        <w:rPr>
          <w:sz w:val="20"/>
          <w:szCs w:val="20"/>
          <w:color w:val="auto"/>
        </w:rPr>
      </w:pPr>
      <w:r>
        <w:rPr>
          <w:rFonts w:ascii="Arial" w:cs="Arial" w:eastAsia="Arial" w:hAnsi="Arial"/>
          <w:sz w:val="16"/>
          <w:szCs w:val="16"/>
          <w:color w:val="auto"/>
        </w:rPr>
        <w:t>UTC Fire &amp; Security’s second quarter revenue growth was driven by recent acquisitions, primarily Initial Electronic Security Group and Marioff Corporation in 2007, and the favorable impact of foreign currency translation. Organic revenue growth was driven primarily by growth in the Fire Safety businesses in Europe and the Americas, partially offset by the continued weakness of the U.S. residential market.</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u w:val="single" w:color="auto"/>
          <w:color w:val="auto"/>
        </w:rPr>
        <w:t>Aerospace Businesses</w:t>
      </w:r>
    </w:p>
    <w:p>
      <w:pPr>
        <w:spacing w:after="0" w:line="90" w:lineRule="exact"/>
        <w:rPr>
          <w:sz w:val="20"/>
          <w:szCs w:val="20"/>
          <w:color w:val="auto"/>
        </w:rPr>
      </w:pPr>
    </w:p>
    <w:p>
      <w:pPr>
        <w:ind w:firstLine="456"/>
        <w:spacing w:after="0" w:line="290" w:lineRule="auto"/>
        <w:rPr>
          <w:sz w:val="20"/>
          <w:szCs w:val="20"/>
          <w:color w:val="auto"/>
        </w:rPr>
      </w:pPr>
      <w:r>
        <w:rPr>
          <w:rFonts w:ascii="Arial" w:cs="Arial" w:eastAsia="Arial" w:hAnsi="Arial"/>
          <w:sz w:val="16"/>
          <w:szCs w:val="16"/>
          <w:color w:val="auto"/>
        </w:rPr>
        <w:t>The aerospace businesses serve both commercial and government aerospace customers. In addition, elements of Pratt &amp; Whitney and Hamilton Sundstrand also serve customers in the industrial markets. RPMs, U.S. government military and space spending, corporate profits, and the general economic health of airline carriers are all barometers for our aerospace businesses. Soaring fuel prices continue to adversely impact the commercial aerospace industry as some larger domestic airline carriers have announced plans to reduce service and capacity in response to rising oil prices, including retiring their older and less fuel efficient aircraft, and cutting payroll costs; while several smaller carriers have either declared bankruptcy or shut down altogether</w:t>
      </w:r>
      <w:r>
        <w:rPr>
          <w:rFonts w:ascii="Arial" w:cs="Arial" w:eastAsia="Arial" w:hAnsi="Arial"/>
          <w:sz w:val="16"/>
          <w:szCs w:val="16"/>
          <w:b w:val="1"/>
          <w:bCs w:val="1"/>
          <w:color w:val="auto"/>
        </w:rPr>
        <w:t>.</w:t>
      </w:r>
      <w:r>
        <w:rPr>
          <w:rFonts w:ascii="Arial" w:cs="Arial" w:eastAsia="Arial" w:hAnsi="Arial"/>
          <w:sz w:val="16"/>
          <w:szCs w:val="16"/>
          <w:color w:val="auto"/>
        </w:rPr>
        <w:t xml:space="preserve"> Announced service and capacity reductions are not expected to have a significant impact on our 2008 full year results although there may be reductions to Pratt &amp; Whitney’s spares volumes to the extent older aircraft are retired.</w:t>
      </w:r>
    </w:p>
    <w:p>
      <w:pPr>
        <w:spacing w:after="0" w:line="118" w:lineRule="exact"/>
        <w:rPr>
          <w:sz w:val="20"/>
          <w:szCs w:val="20"/>
          <w:color w:val="auto"/>
        </w:rPr>
      </w:pPr>
    </w:p>
    <w:p>
      <w:pPr>
        <w:ind w:right="20" w:firstLine="456"/>
        <w:spacing w:after="0" w:line="289" w:lineRule="auto"/>
        <w:rPr>
          <w:sz w:val="20"/>
          <w:szCs w:val="20"/>
          <w:color w:val="auto"/>
        </w:rPr>
      </w:pPr>
      <w:r>
        <w:rPr>
          <w:rFonts w:ascii="Arial" w:cs="Arial" w:eastAsia="Arial" w:hAnsi="Arial"/>
          <w:sz w:val="16"/>
          <w:szCs w:val="16"/>
          <w:color w:val="auto"/>
        </w:rPr>
        <w:t>Despite the airline industry adversity, the continued strong production levels at the airframe manufacturers generated commercial aerospace OEM growth in the second quarter of 2008 as compared with the same period in 2007. With slower global economic growth, however, we anticipate expected RPM worldwide growth levels to slow in the second half of the year. Commercial aerospace aftermarket revenues grew 7% in the second quarter of 2008 as compared to the same period in 2007. Government military spending is also driving helicopter demand and, as a result, Sikorsky’s military backlog remains very strong. Across all segments, military volume increased 12% in the second quarter as compared to the same period in 2007, led by Sikorsky. Also contributing to the growth in revenues at Sikorsky were increased large aircraft shipments and a favorable military configuration shift to the new Black Hawk variant. The UH-60M helicopter is the latest and most modern in a series of Black Hawk variants that Sikorsky has been delivering to the U.S. Army since 1978 and requires significant additional assembly hours relative to the previous variants.</w:t>
      </w:r>
    </w:p>
    <w:p>
      <w:pPr>
        <w:spacing w:after="0" w:line="118" w:lineRule="exact"/>
        <w:rPr>
          <w:sz w:val="20"/>
          <w:szCs w:val="20"/>
          <w:color w:val="auto"/>
        </w:rPr>
      </w:pPr>
    </w:p>
    <w:p>
      <w:pPr>
        <w:ind w:right="40" w:firstLine="456"/>
        <w:spacing w:after="0" w:line="291" w:lineRule="auto"/>
        <w:rPr>
          <w:sz w:val="20"/>
          <w:szCs w:val="20"/>
          <w:color w:val="auto"/>
        </w:rPr>
      </w:pPr>
      <w:r>
        <w:rPr>
          <w:rFonts w:ascii="Arial" w:cs="Arial" w:eastAsia="Arial" w:hAnsi="Arial"/>
          <w:sz w:val="16"/>
          <w:szCs w:val="16"/>
          <w:color w:val="auto"/>
        </w:rPr>
        <w:t>At times, the aerospace businesses enter into firm, fixed-price development contracts, which may require us to bear cost overruns related to unforeseen technical and design challenges that arise during the development stage of a particular program. Sikorsky is developing the H-92, a military derivative of the S-92, for the Canadian government, under an approximately $3 billion firm, fixed-price contract, which provides for the development, production, and logistical support of 28 helicopters. This is the largest and most expansive fixed-price development contract in Sikorsky’s history, including 20 years of service and support requirements. It is expected that delivery of the initial aircraft will be delayed approximately 24 months, until approximately the fourth quarter of 2010. Sikorsky is currently in discussions with the Canadian government concerning a potential rebaselining of the program.</w:t>
      </w:r>
    </w:p>
    <w:p>
      <w:pPr>
        <w:spacing w:after="0" w:line="120" w:lineRule="exact"/>
        <w:rPr>
          <w:sz w:val="20"/>
          <w:szCs w:val="20"/>
          <w:color w:val="auto"/>
        </w:rPr>
      </w:pPr>
    </w:p>
    <w:p>
      <w:pPr>
        <w:ind w:right="100" w:firstLine="456"/>
        <w:spacing w:after="0" w:line="259" w:lineRule="auto"/>
        <w:rPr>
          <w:sz w:val="20"/>
          <w:szCs w:val="20"/>
          <w:color w:val="auto"/>
        </w:rPr>
      </w:pPr>
      <w:r>
        <w:rPr>
          <w:rFonts w:ascii="Arial" w:cs="Arial" w:eastAsia="Arial" w:hAnsi="Arial"/>
          <w:sz w:val="18"/>
          <w:szCs w:val="18"/>
          <w:color w:val="auto"/>
        </w:rPr>
        <w:t>Overall economic conditions are also affecting the cost and availability of raw materials, such as titanium and nickel, as industry demand outpaces current capacity. The availability and pricing of these materials are expected to continue to affect aerospace performance and could have a further adverse impact on future performance depending on market conditions.</w:t>
      </w:r>
    </w:p>
    <w:p>
      <w:pPr>
        <w:spacing w:after="0" w:line="127"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22</w:t>
      </w:r>
    </w:p>
    <w:p>
      <w:pPr>
        <w:sectPr>
          <w:pgSz w:w="11900" w:h="16838" w:orient="portrait"/>
          <w:cols w:equalWidth="0" w:num="1">
            <w:col w:w="11400"/>
          </w:cols>
          <w:pgMar w:left="240" w:top="459" w:right="259" w:bottom="1440" w:gutter="0" w:footer="0" w:header="0"/>
        </w:sectPr>
      </w:pPr>
    </w:p>
    <w:bookmarkStart w:id="22" w:name="page23"/>
    <w:bookmarkEnd w:id="2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u w:val="single" w:color="auto"/>
          <w:color w:val="auto"/>
        </w:rPr>
        <w:t>Acquisition Activity</w:t>
      </w:r>
    </w:p>
    <w:p>
      <w:pPr>
        <w:spacing w:after="0" w:line="90" w:lineRule="exact"/>
        <w:rPr>
          <w:sz w:val="20"/>
          <w:szCs w:val="20"/>
          <w:color w:val="auto"/>
        </w:rPr>
      </w:pPr>
    </w:p>
    <w:p>
      <w:pPr>
        <w:ind w:right="100" w:firstLine="456"/>
        <w:spacing w:after="0" w:line="294" w:lineRule="auto"/>
        <w:rPr>
          <w:sz w:val="20"/>
          <w:szCs w:val="20"/>
          <w:color w:val="auto"/>
        </w:rPr>
      </w:pPr>
      <w:r>
        <w:rPr>
          <w:rFonts w:ascii="Arial" w:cs="Arial" w:eastAsia="Arial" w:hAnsi="Arial"/>
          <w:sz w:val="16"/>
          <w:szCs w:val="16"/>
          <w:color w:val="auto"/>
        </w:rPr>
        <w:t>Our growth strategy contemplates acquisitions. The rate and extent to which appropriate acquisition opportunities are available, acquired businesses are effectively integrated and anticipated synergies or cost savings are achieved, can affect our operations and results. During the first six months of 2008, we invested approximately $546 million in acquisitions, which consisted primarily of a number of small acquisitions in our commercial businesses. We recorded the excess of the purchase price over the estimated fair value of the assets acquired as an increase in goodwill. As a result of acquisition activity and the finalization of purchase accounting, goodwill increased approximately $416 million in the first six months of 2008.</w:t>
      </w:r>
    </w:p>
    <w:p>
      <w:pPr>
        <w:spacing w:after="0" w:line="116" w:lineRule="exact"/>
        <w:rPr>
          <w:sz w:val="20"/>
          <w:szCs w:val="20"/>
          <w:color w:val="auto"/>
        </w:rPr>
      </w:pPr>
    </w:p>
    <w:p>
      <w:pPr>
        <w:ind w:right="140" w:firstLine="456"/>
        <w:spacing w:after="0" w:line="298" w:lineRule="auto"/>
        <w:rPr>
          <w:sz w:val="20"/>
          <w:szCs w:val="20"/>
          <w:color w:val="auto"/>
        </w:rPr>
      </w:pPr>
      <w:r>
        <w:rPr>
          <w:rFonts w:ascii="Arial" w:cs="Arial" w:eastAsia="Arial" w:hAnsi="Arial"/>
          <w:sz w:val="16"/>
          <w:szCs w:val="16"/>
          <w:color w:val="auto"/>
        </w:rPr>
        <w:t>In March 2008, we announced that we have made a proposal, subject to due diligence, to the Board of Directors of Diebold, Incorporated (Diebold) to acquire all the outstanding shares of Diebold for $40.00 per share in cash, representing a total enterprise value of approximately $3.0 billion, which was rejected by the Diebold Board of Directors. Despite the initial rejection, this proposal remains outstanding. If the proposal is ultimately accepted, we would finance the acquisition with current cash balances and other readily available sources of funds.</w:t>
      </w:r>
    </w:p>
    <w:p>
      <w:pPr>
        <w:spacing w:after="0" w:line="113" w:lineRule="exact"/>
        <w:rPr>
          <w:sz w:val="20"/>
          <w:szCs w:val="20"/>
          <w:color w:val="auto"/>
        </w:rPr>
      </w:pPr>
    </w:p>
    <w:p>
      <w:pPr>
        <w:jc w:val="both"/>
        <w:ind w:firstLine="456"/>
        <w:spacing w:after="0" w:line="259" w:lineRule="auto"/>
        <w:rPr>
          <w:sz w:val="20"/>
          <w:szCs w:val="20"/>
          <w:color w:val="auto"/>
        </w:rPr>
      </w:pPr>
      <w:r>
        <w:rPr>
          <w:rFonts w:ascii="Arial" w:cs="Arial" w:eastAsia="Arial" w:hAnsi="Arial"/>
          <w:sz w:val="18"/>
          <w:szCs w:val="18"/>
          <w:color w:val="auto"/>
        </w:rPr>
        <w:t>We continue to expect to invest approximately $2 billion in acquisitions for 2008, including acquisitions made during the first six months of 2008, although this will depend upon the timing, availability and appropriate value of acquisition opportunities including the outstanding proposal, subject to due diligence, to the Board of Directors of Diebold.</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u w:val="single" w:color="auto"/>
          <w:color w:val="auto"/>
        </w:rPr>
        <w:t>Other</w:t>
      </w:r>
    </w:p>
    <w:p>
      <w:pPr>
        <w:spacing w:after="0" w:line="90" w:lineRule="exact"/>
        <w:rPr>
          <w:sz w:val="20"/>
          <w:szCs w:val="20"/>
          <w:color w:val="auto"/>
        </w:rPr>
      </w:pPr>
    </w:p>
    <w:p>
      <w:pPr>
        <w:ind w:right="360" w:firstLine="456"/>
        <w:spacing w:after="0" w:line="256" w:lineRule="auto"/>
        <w:rPr>
          <w:sz w:val="20"/>
          <w:szCs w:val="20"/>
          <w:color w:val="auto"/>
        </w:rPr>
      </w:pPr>
      <w:r>
        <w:rPr>
          <w:rFonts w:ascii="Arial" w:cs="Arial" w:eastAsia="Arial" w:hAnsi="Arial"/>
          <w:sz w:val="18"/>
          <w:szCs w:val="18"/>
          <w:color w:val="auto"/>
        </w:rPr>
        <w:t>Government legislation, policies and regulations can have a negative impact on our worldwide operations. Government regulation of refrigerants and energy efficiency standards, elevator safety codes and fire protection regulations are important to our commercial businesses. Government and market-driven safety and performance regulations, restrictions on aircraft engine noise and emissions and government procurement practices can impact our aerospace and defense businesses.</w:t>
      </w:r>
    </w:p>
    <w:p>
      <w:pPr>
        <w:spacing w:after="0" w:line="143" w:lineRule="exact"/>
        <w:rPr>
          <w:sz w:val="20"/>
          <w:szCs w:val="20"/>
          <w:color w:val="auto"/>
        </w:rPr>
      </w:pPr>
    </w:p>
    <w:p>
      <w:pPr>
        <w:ind w:right="400" w:firstLine="456"/>
        <w:spacing w:after="0" w:line="259" w:lineRule="auto"/>
        <w:rPr>
          <w:sz w:val="20"/>
          <w:szCs w:val="20"/>
          <w:color w:val="auto"/>
        </w:rPr>
      </w:pPr>
      <w:r>
        <w:rPr>
          <w:rFonts w:ascii="Arial" w:cs="Arial" w:eastAsia="Arial" w:hAnsi="Arial"/>
          <w:sz w:val="18"/>
          <w:szCs w:val="18"/>
          <w:color w:val="auto"/>
        </w:rPr>
        <w:t>Commercial airline financial distress/consolidation, global economic conditions, changes in raw material and commodity prices, interest rates, foreign currency exchange rates and energy costs create uncertainties that could impact our earnings outlook for the remainder of 2008. See Part II, Item 1A, “Risk Factors” in this Form 10-Q for further discussion.</w:t>
      </w:r>
    </w:p>
    <w:p>
      <w:pPr>
        <w:spacing w:after="0" w:line="296"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CRITICAL ACCOUNTING ESTIMATES</w:t>
      </w:r>
    </w:p>
    <w:p>
      <w:pPr>
        <w:spacing w:after="0" w:line="177" w:lineRule="exact"/>
        <w:rPr>
          <w:sz w:val="20"/>
          <w:szCs w:val="20"/>
          <w:color w:val="auto"/>
        </w:rPr>
      </w:pPr>
    </w:p>
    <w:p>
      <w:pPr>
        <w:ind w:right="40" w:firstLine="456"/>
        <w:spacing w:after="0" w:line="289" w:lineRule="auto"/>
        <w:rPr>
          <w:sz w:val="20"/>
          <w:szCs w:val="20"/>
          <w:color w:val="auto"/>
        </w:rPr>
      </w:pPr>
      <w:r>
        <w:rPr>
          <w:rFonts w:ascii="Arial" w:cs="Arial" w:eastAsia="Arial" w:hAnsi="Arial"/>
          <w:sz w:val="16"/>
          <w:szCs w:val="16"/>
          <w:color w:val="auto"/>
        </w:rPr>
        <w:t>Preparation of our financial statements requires management to make estimates and assumptions that affect the reported amounts of assets, liabilities, revenues and expenses. We believe the most complex and sensitive judgments, because of their significance to the Consolidated Financial Statements, result primarily from the need to make estimates about the effects of matters that are inherently uncertain. Management’s Discussion and Analysis and Note 1 to the Consolidated Financial Statements in our 2007 Form 10-K, describe the significant accounting estimates and policies used in preparation of the Consolidated Financial Statements. Actual results in these areas could differ from management’s estimates. As discussed below and in Note 11 to the Condensed Consolidated Financial Statements, we have adopted SFAS 157 as of January 1, 2008, with the exception of the application of the statement to nonrecurring nonfinancial assets and nonfinancial liabilities, the deferral of which was permitted under FSP 157-2. Other than this change, there have been no significant changes in our critical accounting estimates during the first six months of 2008.</w:t>
      </w:r>
    </w:p>
    <w:p>
      <w:pPr>
        <w:spacing w:after="0" w:line="118" w:lineRule="exact"/>
        <w:rPr>
          <w:sz w:val="20"/>
          <w:szCs w:val="20"/>
          <w:color w:val="auto"/>
        </w:rPr>
      </w:pPr>
    </w:p>
    <w:p>
      <w:pPr>
        <w:ind w:right="380" w:firstLine="456"/>
        <w:spacing w:after="0" w:line="332" w:lineRule="auto"/>
        <w:rPr>
          <w:sz w:val="20"/>
          <w:szCs w:val="20"/>
          <w:color w:val="auto"/>
        </w:rPr>
      </w:pPr>
      <w:r>
        <w:rPr>
          <w:rFonts w:ascii="Arial" w:cs="Arial" w:eastAsia="Arial" w:hAnsi="Arial"/>
          <w:sz w:val="16"/>
          <w:szCs w:val="16"/>
          <w:color w:val="auto"/>
        </w:rPr>
        <w:t>Substantially all of our financial assets and liabilities are measured at fair value based upon Level 1 inputs, as defined under SFAS 157. We use quoted market prices in active markets to measure and record the fair value of available for sale securities and derivatives that are exchange-traded.</w:t>
      </w:r>
    </w:p>
    <w:p>
      <w:pPr>
        <w:spacing w:after="0" w:line="7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23</w:t>
      </w:r>
    </w:p>
    <w:p>
      <w:pPr>
        <w:sectPr>
          <w:pgSz w:w="11900" w:h="16838" w:orient="portrait"/>
          <w:cols w:equalWidth="0" w:num="1">
            <w:col w:w="11420"/>
          </w:cols>
          <w:pgMar w:left="240" w:top="459" w:right="239" w:bottom="1440" w:gutter="0" w:footer="0" w:header="0"/>
        </w:sectPr>
      </w:pPr>
    </w:p>
    <w:bookmarkStart w:id="23" w:name="page24"/>
    <w:bookmarkEnd w:id="2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RESULTS OF CONTINUING OPERATIONS</w:t>
      </w:r>
    </w:p>
    <w:p>
      <w:pPr>
        <w:spacing w:after="0" w:line="177" w:lineRule="exact"/>
        <w:rPr>
          <w:sz w:val="20"/>
          <w:szCs w:val="20"/>
          <w:color w:val="auto"/>
        </w:rPr>
      </w:pPr>
    </w:p>
    <w:p>
      <w:pPr>
        <w:jc w:val="center"/>
        <w:spacing w:after="0"/>
        <w:rPr>
          <w:sz w:val="20"/>
          <w:szCs w:val="20"/>
          <w:color w:val="auto"/>
        </w:rPr>
      </w:pPr>
      <w:r>
        <w:rPr>
          <w:rFonts w:ascii="Arial" w:cs="Arial" w:eastAsia="Arial" w:hAnsi="Arial"/>
          <w:sz w:val="18"/>
          <w:szCs w:val="18"/>
          <w:b w:val="1"/>
          <w:bCs w:val="1"/>
          <w:i w:val="1"/>
          <w:iCs w:val="1"/>
          <w:u w:val="single" w:color="auto"/>
          <w:color w:val="auto"/>
        </w:rPr>
        <w:t>Revenues</w:t>
      </w:r>
    </w:p>
    <w:p>
      <w:pPr>
        <w:spacing w:after="0" w:line="195"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5080" w:type="dxa"/>
            <w:vAlign w:val="bottom"/>
          </w:tcPr>
          <w:p>
            <w:pPr>
              <w:spacing w:after="0"/>
              <w:rPr>
                <w:sz w:val="14"/>
                <w:szCs w:val="14"/>
                <w:color w:val="auto"/>
              </w:rPr>
            </w:pPr>
          </w:p>
        </w:tc>
        <w:tc>
          <w:tcPr>
            <w:tcW w:w="1380" w:type="dxa"/>
            <w:vAlign w:val="bottom"/>
            <w:gridSpan w:val="3"/>
          </w:tcPr>
          <w:p>
            <w:pPr>
              <w:jc w:val="right"/>
              <w:ind w:right="172"/>
              <w:spacing w:after="0"/>
              <w:rPr>
                <w:sz w:val="20"/>
                <w:szCs w:val="20"/>
                <w:color w:val="auto"/>
              </w:rPr>
            </w:pPr>
            <w:r>
              <w:rPr>
                <w:rFonts w:ascii="Arial" w:cs="Arial" w:eastAsia="Arial" w:hAnsi="Arial"/>
                <w:sz w:val="14"/>
                <w:szCs w:val="14"/>
                <w:b w:val="1"/>
                <w:bCs w:val="1"/>
                <w:color w:val="auto"/>
              </w:rPr>
              <w:t>Quarter Ended</w:t>
            </w:r>
          </w:p>
        </w:tc>
        <w:tc>
          <w:tcPr>
            <w:tcW w:w="22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1380" w:type="dxa"/>
            <w:vAlign w:val="bottom"/>
            <w:gridSpan w:val="3"/>
          </w:tcPr>
          <w:p>
            <w:pPr>
              <w:jc w:val="right"/>
              <w:ind w:right="140"/>
              <w:spacing w:after="0"/>
              <w:rPr>
                <w:sz w:val="20"/>
                <w:szCs w:val="20"/>
                <w:color w:val="auto"/>
              </w:rPr>
            </w:pPr>
            <w:r>
              <w:rPr>
                <w:rFonts w:ascii="Arial" w:cs="Arial" w:eastAsia="Arial" w:hAnsi="Arial"/>
                <w:sz w:val="14"/>
                <w:szCs w:val="14"/>
                <w:b w:val="1"/>
                <w:bCs w:val="1"/>
                <w:color w:val="auto"/>
              </w:rPr>
              <w:t>Six Months Ended</w:t>
            </w:r>
          </w:p>
        </w:tc>
        <w:tc>
          <w:tcPr>
            <w:tcW w:w="22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1"/>
        </w:trPr>
        <w:tc>
          <w:tcPr>
            <w:tcW w:w="6440" w:type="dxa"/>
            <w:vAlign w:val="bottom"/>
            <w:gridSpan w:val="3"/>
            <w:vMerge w:val="restart"/>
          </w:tcPr>
          <w:p>
            <w:pPr>
              <w:spacing w:after="0"/>
              <w:rPr>
                <w:sz w:val="20"/>
                <w:szCs w:val="20"/>
                <w:color w:val="auto"/>
              </w:rPr>
            </w:pPr>
            <w:r>
              <w:rPr>
                <w:rFonts w:ascii="Arial" w:cs="Arial" w:eastAsia="Arial" w:hAnsi="Arial"/>
                <w:sz w:val="14"/>
                <w:szCs w:val="14"/>
                <w:b w:val="1"/>
                <w:bCs w:val="1"/>
                <w:color w:val="auto"/>
              </w:rPr>
              <w:t>(in millions of dollars)</w:t>
            </w:r>
          </w:p>
        </w:tc>
        <w:tc>
          <w:tcPr>
            <w:tcW w:w="1380" w:type="dxa"/>
            <w:vAlign w:val="bottom"/>
            <w:tcBorders>
              <w:bottom w:val="single" w:sz="8" w:color="auto"/>
            </w:tcBorders>
            <w:gridSpan w:val="3"/>
          </w:tcPr>
          <w:p>
            <w:pPr>
              <w:jc w:val="right"/>
              <w:ind w:right="372"/>
              <w:spacing w:after="0"/>
              <w:rPr>
                <w:sz w:val="20"/>
                <w:szCs w:val="20"/>
                <w:color w:val="auto"/>
              </w:rPr>
            </w:pPr>
            <w:r>
              <w:rPr>
                <w:rFonts w:ascii="Arial" w:cs="Arial" w:eastAsia="Arial" w:hAnsi="Arial"/>
                <w:sz w:val="14"/>
                <w:szCs w:val="14"/>
                <w:b w:val="1"/>
                <w:bCs w:val="1"/>
                <w:color w:val="auto"/>
              </w:rPr>
              <w:t>June 30,</w:t>
            </w:r>
          </w:p>
        </w:tc>
        <w:tc>
          <w:tcPr>
            <w:tcW w:w="220" w:type="dxa"/>
            <w:vAlign w:val="bottom"/>
          </w:tcPr>
          <w:p>
            <w:pPr>
              <w:spacing w:after="0"/>
              <w:rPr>
                <w:sz w:val="14"/>
                <w:szCs w:val="14"/>
                <w:color w:val="auto"/>
              </w:rPr>
            </w:pPr>
          </w:p>
        </w:tc>
        <w:tc>
          <w:tcPr>
            <w:tcW w:w="980" w:type="dxa"/>
            <w:vAlign w:val="bottom"/>
            <w:gridSpan w:val="2"/>
            <w:vMerge w:val="restart"/>
          </w:tcPr>
          <w:p>
            <w:pPr>
              <w:jc w:val="right"/>
              <w:ind w:right="420"/>
              <w:spacing w:after="0"/>
              <w:rPr>
                <w:sz w:val="20"/>
                <w:szCs w:val="20"/>
                <w:color w:val="auto"/>
              </w:rPr>
            </w:pPr>
            <w:r>
              <w:rPr>
                <w:rFonts w:ascii="Arial" w:cs="Arial" w:eastAsia="Arial" w:hAnsi="Arial"/>
                <w:sz w:val="14"/>
                <w:szCs w:val="14"/>
                <w:b w:val="1"/>
                <w:bCs w:val="1"/>
                <w:color w:val="auto"/>
                <w:w w:val="82"/>
              </w:rPr>
              <w:t>% change</w:t>
            </w:r>
          </w:p>
        </w:tc>
        <w:tc>
          <w:tcPr>
            <w:tcW w:w="1380" w:type="dxa"/>
            <w:vAlign w:val="bottom"/>
            <w:tcBorders>
              <w:bottom w:val="single" w:sz="8" w:color="auto"/>
            </w:tcBorders>
            <w:gridSpan w:val="3"/>
          </w:tcPr>
          <w:p>
            <w:pPr>
              <w:jc w:val="right"/>
              <w:ind w:right="440"/>
              <w:spacing w:after="0"/>
              <w:rPr>
                <w:sz w:val="20"/>
                <w:szCs w:val="20"/>
                <w:color w:val="auto"/>
              </w:rPr>
            </w:pPr>
            <w:r>
              <w:rPr>
                <w:rFonts w:ascii="Arial" w:cs="Arial" w:eastAsia="Arial" w:hAnsi="Arial"/>
                <w:sz w:val="14"/>
                <w:szCs w:val="14"/>
                <w:b w:val="1"/>
                <w:bCs w:val="1"/>
                <w:color w:val="auto"/>
              </w:rPr>
              <w:t>June 30,</w:t>
            </w:r>
          </w:p>
        </w:tc>
        <w:tc>
          <w:tcPr>
            <w:tcW w:w="220" w:type="dxa"/>
            <w:vAlign w:val="bottom"/>
          </w:tcPr>
          <w:p>
            <w:pPr>
              <w:spacing w:after="0"/>
              <w:rPr>
                <w:sz w:val="14"/>
                <w:szCs w:val="14"/>
                <w:color w:val="auto"/>
              </w:rPr>
            </w:pPr>
          </w:p>
        </w:tc>
        <w:tc>
          <w:tcPr>
            <w:tcW w:w="800" w:type="dxa"/>
            <w:vAlign w:val="bottom"/>
            <w:gridSpan w:val="2"/>
            <w:vMerge w:val="restart"/>
          </w:tcPr>
          <w:p>
            <w:pPr>
              <w:jc w:val="right"/>
              <w:ind w:right="220"/>
              <w:spacing w:after="0"/>
              <w:rPr>
                <w:sz w:val="20"/>
                <w:szCs w:val="20"/>
                <w:color w:val="auto"/>
              </w:rPr>
            </w:pPr>
            <w:r>
              <w:rPr>
                <w:rFonts w:ascii="Arial" w:cs="Arial" w:eastAsia="Arial" w:hAnsi="Arial"/>
                <w:sz w:val="14"/>
                <w:szCs w:val="14"/>
                <w:b w:val="1"/>
                <w:bCs w:val="1"/>
                <w:color w:val="auto"/>
                <w:w w:val="85"/>
              </w:rPr>
              <w:t>% change</w:t>
            </w:r>
          </w:p>
        </w:tc>
        <w:tc>
          <w:tcPr>
            <w:tcW w:w="0" w:type="dxa"/>
            <w:vAlign w:val="bottom"/>
          </w:tcPr>
          <w:p>
            <w:pPr>
              <w:spacing w:after="0"/>
              <w:rPr>
                <w:sz w:val="1"/>
                <w:szCs w:val="1"/>
                <w:color w:val="auto"/>
              </w:rPr>
            </w:pPr>
          </w:p>
        </w:tc>
      </w:tr>
      <w:tr>
        <w:trPr>
          <w:trHeight w:val="142"/>
        </w:trPr>
        <w:tc>
          <w:tcPr>
            <w:tcW w:w="6440" w:type="dxa"/>
            <w:vAlign w:val="bottom"/>
            <w:gridSpan w:val="3"/>
            <w:vMerge w:val="continue"/>
          </w:tcPr>
          <w:p>
            <w:pPr>
              <w:spacing w:after="0"/>
              <w:rPr>
                <w:sz w:val="12"/>
                <w:szCs w:val="12"/>
                <w:color w:val="auto"/>
              </w:rPr>
            </w:pPr>
          </w:p>
        </w:tc>
        <w:tc>
          <w:tcPr>
            <w:tcW w:w="580" w:type="dxa"/>
            <w:vAlign w:val="bottom"/>
          </w:tcPr>
          <w:p>
            <w:pPr>
              <w:jc w:val="right"/>
              <w:ind w:right="82"/>
              <w:spacing w:after="0" w:line="142" w:lineRule="exact"/>
              <w:rPr>
                <w:sz w:val="20"/>
                <w:szCs w:val="20"/>
                <w:color w:val="auto"/>
              </w:rPr>
            </w:pPr>
            <w:r>
              <w:rPr>
                <w:rFonts w:ascii="Arial" w:cs="Arial" w:eastAsia="Arial" w:hAnsi="Arial"/>
                <w:sz w:val="14"/>
                <w:szCs w:val="14"/>
                <w:b w:val="1"/>
                <w:bCs w:val="1"/>
                <w:color w:val="auto"/>
              </w:rPr>
              <w:t>2008</w:t>
            </w:r>
          </w:p>
        </w:tc>
        <w:tc>
          <w:tcPr>
            <w:tcW w:w="800" w:type="dxa"/>
            <w:vAlign w:val="bottom"/>
            <w:gridSpan w:val="2"/>
          </w:tcPr>
          <w:p>
            <w:pPr>
              <w:jc w:val="right"/>
              <w:ind w:right="72"/>
              <w:spacing w:after="0" w:line="142" w:lineRule="exact"/>
              <w:rPr>
                <w:sz w:val="20"/>
                <w:szCs w:val="20"/>
                <w:color w:val="auto"/>
              </w:rPr>
            </w:pPr>
            <w:r>
              <w:rPr>
                <w:rFonts w:ascii="Arial" w:cs="Arial" w:eastAsia="Arial" w:hAnsi="Arial"/>
                <w:sz w:val="14"/>
                <w:szCs w:val="14"/>
                <w:b w:val="1"/>
                <w:bCs w:val="1"/>
                <w:color w:val="auto"/>
              </w:rPr>
              <w:t>2007</w:t>
            </w:r>
          </w:p>
        </w:tc>
        <w:tc>
          <w:tcPr>
            <w:tcW w:w="220" w:type="dxa"/>
            <w:vAlign w:val="bottom"/>
          </w:tcPr>
          <w:p>
            <w:pPr>
              <w:spacing w:after="0"/>
              <w:rPr>
                <w:sz w:val="12"/>
                <w:szCs w:val="12"/>
                <w:color w:val="auto"/>
              </w:rPr>
            </w:pPr>
          </w:p>
        </w:tc>
        <w:tc>
          <w:tcPr>
            <w:tcW w:w="980" w:type="dxa"/>
            <w:vAlign w:val="bottom"/>
            <w:gridSpan w:val="2"/>
            <w:vMerge w:val="continue"/>
          </w:tcPr>
          <w:p>
            <w:pPr>
              <w:spacing w:after="0"/>
              <w:rPr>
                <w:sz w:val="12"/>
                <w:szCs w:val="12"/>
                <w:color w:val="auto"/>
              </w:rPr>
            </w:pPr>
          </w:p>
        </w:tc>
        <w:tc>
          <w:tcPr>
            <w:tcW w:w="600" w:type="dxa"/>
            <w:vAlign w:val="bottom"/>
          </w:tcPr>
          <w:p>
            <w:pPr>
              <w:jc w:val="right"/>
              <w:ind w:right="82"/>
              <w:spacing w:after="0" w:line="142" w:lineRule="exact"/>
              <w:rPr>
                <w:sz w:val="20"/>
                <w:szCs w:val="20"/>
                <w:color w:val="auto"/>
              </w:rPr>
            </w:pPr>
            <w:r>
              <w:rPr>
                <w:rFonts w:ascii="Arial" w:cs="Arial" w:eastAsia="Arial" w:hAnsi="Arial"/>
                <w:sz w:val="14"/>
                <w:szCs w:val="14"/>
                <w:b w:val="1"/>
                <w:bCs w:val="1"/>
                <w:color w:val="auto"/>
              </w:rPr>
              <w:t>2008</w:t>
            </w:r>
          </w:p>
        </w:tc>
        <w:tc>
          <w:tcPr>
            <w:tcW w:w="780" w:type="dxa"/>
            <w:vAlign w:val="bottom"/>
            <w:gridSpan w:val="2"/>
          </w:tcPr>
          <w:p>
            <w:pPr>
              <w:jc w:val="right"/>
              <w:ind w:right="140"/>
              <w:spacing w:after="0" w:line="142" w:lineRule="exact"/>
              <w:rPr>
                <w:sz w:val="20"/>
                <w:szCs w:val="20"/>
                <w:color w:val="auto"/>
              </w:rPr>
            </w:pPr>
            <w:r>
              <w:rPr>
                <w:rFonts w:ascii="Arial" w:cs="Arial" w:eastAsia="Arial" w:hAnsi="Arial"/>
                <w:sz w:val="14"/>
                <w:szCs w:val="14"/>
                <w:b w:val="1"/>
                <w:bCs w:val="1"/>
                <w:color w:val="auto"/>
              </w:rPr>
              <w:t>2007</w:t>
            </w:r>
          </w:p>
        </w:tc>
        <w:tc>
          <w:tcPr>
            <w:tcW w:w="220" w:type="dxa"/>
            <w:vAlign w:val="bottom"/>
          </w:tcPr>
          <w:p>
            <w:pPr>
              <w:spacing w:after="0"/>
              <w:rPr>
                <w:sz w:val="12"/>
                <w:szCs w:val="12"/>
                <w:color w:val="auto"/>
              </w:rPr>
            </w:pPr>
          </w:p>
        </w:tc>
        <w:tc>
          <w:tcPr>
            <w:tcW w:w="800" w:type="dxa"/>
            <w:vAlign w:val="bottom"/>
            <w:gridSpan w:val="2"/>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20"/>
        </w:trPr>
        <w:tc>
          <w:tcPr>
            <w:tcW w:w="20" w:type="dxa"/>
            <w:vAlign w:val="bottom"/>
            <w:vMerge w:val="restart"/>
          </w:tcPr>
          <w:p>
            <w:pPr>
              <w:spacing w:after="0" w:line="20" w:lineRule="exact"/>
              <w:rPr>
                <w:sz w:val="1"/>
                <w:szCs w:val="1"/>
                <w:color w:val="auto"/>
              </w:rPr>
            </w:pPr>
          </w:p>
        </w:tc>
        <w:tc>
          <w:tcPr>
            <w:tcW w:w="1340" w:type="dxa"/>
            <w:vAlign w:val="bottom"/>
            <w:shd w:val="clear" w:color="auto" w:fill="000000"/>
          </w:tcPr>
          <w:p>
            <w:pPr>
              <w:spacing w:after="0" w:line="20" w:lineRule="exact"/>
              <w:rPr>
                <w:sz w:val="1"/>
                <w:szCs w:val="1"/>
                <w:color w:val="auto"/>
              </w:rPr>
            </w:pPr>
          </w:p>
        </w:tc>
        <w:tc>
          <w:tcPr>
            <w:tcW w:w="5080" w:type="dxa"/>
            <w:vAlign w:val="bottom"/>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vMerge w:val="continue"/>
          </w:tcPr>
          <w:p>
            <w:pPr>
              <w:spacing w:after="0"/>
              <w:rPr>
                <w:sz w:val="18"/>
                <w:szCs w:val="18"/>
                <w:color w:val="auto"/>
              </w:rPr>
            </w:pPr>
          </w:p>
        </w:tc>
        <w:tc>
          <w:tcPr>
            <w:tcW w:w="1340" w:type="dxa"/>
            <w:vAlign w:val="bottom"/>
            <w:shd w:val="clear" w:color="auto" w:fill="CCEEFF"/>
          </w:tcPr>
          <w:p>
            <w:pPr>
              <w:spacing w:after="0"/>
              <w:rPr>
                <w:sz w:val="20"/>
                <w:szCs w:val="20"/>
                <w:color w:val="auto"/>
              </w:rPr>
            </w:pPr>
            <w:r>
              <w:rPr>
                <w:rFonts w:ascii="Arial" w:cs="Arial" w:eastAsia="Arial" w:hAnsi="Arial"/>
                <w:sz w:val="18"/>
                <w:szCs w:val="18"/>
                <w:color w:val="auto"/>
              </w:rPr>
              <w:t>Sales</w:t>
            </w:r>
          </w:p>
        </w:tc>
        <w:tc>
          <w:tcPr>
            <w:tcW w:w="508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6"/>
              </w:rPr>
              <w:t>$15,535</w:t>
            </w:r>
          </w:p>
        </w:tc>
        <w:tc>
          <w:tcPr>
            <w:tcW w:w="8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$13,766</w:t>
            </w:r>
          </w:p>
        </w:tc>
        <w:tc>
          <w:tcPr>
            <w:tcW w:w="1200" w:type="dxa"/>
            <w:vAlign w:val="bottom"/>
            <w:gridSpan w:val="3"/>
            <w:shd w:val="clear" w:color="auto" w:fill="CCEEFF"/>
          </w:tcPr>
          <w:p>
            <w:pPr>
              <w:jc w:val="right"/>
              <w:ind w:right="260"/>
              <w:spacing w:after="0"/>
              <w:rPr>
                <w:sz w:val="20"/>
                <w:szCs w:val="20"/>
                <w:color w:val="auto"/>
              </w:rPr>
            </w:pPr>
            <w:r>
              <w:rPr>
                <w:rFonts w:ascii="Arial" w:cs="Arial" w:eastAsia="Arial" w:hAnsi="Arial"/>
                <w:sz w:val="18"/>
                <w:szCs w:val="18"/>
                <w:color w:val="auto"/>
              </w:rPr>
              <w:t>12.9%</w:t>
            </w: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9"/>
              </w:rPr>
              <w:t>$29,112</w:t>
            </w:r>
          </w:p>
        </w:tc>
        <w:tc>
          <w:tcPr>
            <w:tcW w:w="7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$25,702</w:t>
            </w:r>
          </w:p>
        </w:tc>
        <w:tc>
          <w:tcPr>
            <w:tcW w:w="1020" w:type="dxa"/>
            <w:vAlign w:val="bottom"/>
            <w:gridSpan w:val="3"/>
            <w:shd w:val="clear" w:color="auto" w:fill="CCEEFF"/>
          </w:tcPr>
          <w:p>
            <w:pPr>
              <w:jc w:val="right"/>
              <w:ind w:right="60"/>
              <w:spacing w:after="0"/>
              <w:rPr>
                <w:sz w:val="20"/>
                <w:szCs w:val="20"/>
                <w:color w:val="auto"/>
              </w:rPr>
            </w:pPr>
            <w:r>
              <w:rPr>
                <w:rFonts w:ascii="Arial" w:cs="Arial" w:eastAsia="Arial" w:hAnsi="Arial"/>
                <w:sz w:val="18"/>
                <w:szCs w:val="18"/>
                <w:color w:val="auto"/>
              </w:rPr>
              <w:t>13.3%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420" w:type="dxa"/>
            <w:vAlign w:val="bottom"/>
            <w:gridSpan w:val="2"/>
          </w:tcPr>
          <w:p>
            <w:pPr>
              <w:spacing w:after="0"/>
              <w:rPr>
                <w:sz w:val="20"/>
                <w:szCs w:val="20"/>
                <w:color w:val="auto"/>
              </w:rPr>
            </w:pPr>
            <w:r>
              <w:rPr>
                <w:rFonts w:ascii="Arial" w:cs="Arial" w:eastAsia="Arial" w:hAnsi="Arial"/>
                <w:sz w:val="18"/>
                <w:szCs w:val="18"/>
                <w:color w:val="auto"/>
              </w:rPr>
              <w:t>Other income, net</w:t>
            </w:r>
          </w:p>
        </w:tc>
        <w:tc>
          <w:tcPr>
            <w:tcW w:w="580" w:type="dxa"/>
            <w:vAlign w:val="bottom"/>
          </w:tcPr>
          <w:p>
            <w:pPr>
              <w:jc w:val="right"/>
              <w:spacing w:after="0"/>
              <w:rPr>
                <w:sz w:val="20"/>
                <w:szCs w:val="20"/>
                <w:color w:val="auto"/>
              </w:rPr>
            </w:pPr>
            <w:r>
              <w:rPr>
                <w:rFonts w:ascii="Arial" w:cs="Arial" w:eastAsia="Arial" w:hAnsi="Arial"/>
                <w:sz w:val="18"/>
                <w:szCs w:val="18"/>
                <w:color w:val="auto"/>
              </w:rPr>
              <w:t>132</w:t>
            </w:r>
          </w:p>
        </w:tc>
        <w:tc>
          <w:tcPr>
            <w:tcW w:w="22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138</w:t>
            </w:r>
          </w:p>
        </w:tc>
        <w:tc>
          <w:tcPr>
            <w:tcW w:w="220" w:type="dxa"/>
            <w:vAlign w:val="bottom"/>
          </w:tcPr>
          <w:p>
            <w:pPr>
              <w:spacing w:after="0"/>
              <w:rPr>
                <w:sz w:val="18"/>
                <w:szCs w:val="18"/>
                <w:color w:val="auto"/>
              </w:rPr>
            </w:pPr>
          </w:p>
        </w:tc>
        <w:tc>
          <w:tcPr>
            <w:tcW w:w="980" w:type="dxa"/>
            <w:vAlign w:val="bottom"/>
            <w:gridSpan w:val="2"/>
          </w:tcPr>
          <w:p>
            <w:pPr>
              <w:jc w:val="right"/>
              <w:ind w:right="200"/>
              <w:spacing w:after="0"/>
              <w:rPr>
                <w:sz w:val="20"/>
                <w:szCs w:val="20"/>
                <w:color w:val="auto"/>
              </w:rPr>
            </w:pPr>
            <w:r>
              <w:rPr>
                <w:rFonts w:ascii="Arial" w:cs="Arial" w:eastAsia="Arial" w:hAnsi="Arial"/>
                <w:sz w:val="18"/>
                <w:szCs w:val="18"/>
                <w:color w:val="auto"/>
              </w:rPr>
              <w:t>(4.3)%</w:t>
            </w:r>
          </w:p>
        </w:tc>
        <w:tc>
          <w:tcPr>
            <w:tcW w:w="600" w:type="dxa"/>
            <w:vAlign w:val="bottom"/>
          </w:tcPr>
          <w:p>
            <w:pPr>
              <w:jc w:val="right"/>
              <w:spacing w:after="0"/>
              <w:rPr>
                <w:sz w:val="20"/>
                <w:szCs w:val="20"/>
                <w:color w:val="auto"/>
              </w:rPr>
            </w:pPr>
            <w:r>
              <w:rPr>
                <w:rFonts w:ascii="Arial" w:cs="Arial" w:eastAsia="Arial" w:hAnsi="Arial"/>
                <w:sz w:val="18"/>
                <w:szCs w:val="18"/>
                <w:color w:val="auto"/>
              </w:rPr>
              <w:t>256</w:t>
            </w:r>
          </w:p>
        </w:tc>
        <w:tc>
          <w:tcPr>
            <w:tcW w:w="780" w:type="dxa"/>
            <w:vAlign w:val="bottom"/>
            <w:gridSpan w:val="2"/>
          </w:tcPr>
          <w:p>
            <w:pPr>
              <w:jc w:val="right"/>
              <w:spacing w:after="0"/>
              <w:rPr>
                <w:sz w:val="20"/>
                <w:szCs w:val="20"/>
                <w:color w:val="auto"/>
              </w:rPr>
            </w:pPr>
            <w:r>
              <w:rPr>
                <w:rFonts w:ascii="Arial" w:cs="Arial" w:eastAsia="Arial" w:hAnsi="Arial"/>
                <w:sz w:val="18"/>
                <w:szCs w:val="18"/>
                <w:color w:val="auto"/>
              </w:rPr>
              <w:t>480</w:t>
            </w:r>
          </w:p>
        </w:tc>
        <w:tc>
          <w:tcPr>
            <w:tcW w:w="1020" w:type="dxa"/>
            <w:vAlign w:val="bottom"/>
            <w:gridSpan w:val="3"/>
          </w:tcPr>
          <w:p>
            <w:pPr>
              <w:jc w:val="right"/>
              <w:ind w:right="20"/>
              <w:spacing w:after="0"/>
              <w:rPr>
                <w:sz w:val="20"/>
                <w:szCs w:val="20"/>
                <w:color w:val="auto"/>
              </w:rPr>
            </w:pPr>
            <w:r>
              <w:rPr>
                <w:rFonts w:ascii="Arial" w:cs="Arial" w:eastAsia="Arial" w:hAnsi="Arial"/>
                <w:sz w:val="18"/>
                <w:szCs w:val="18"/>
                <w:color w:val="auto"/>
              </w:rPr>
              <w:t>(46.7)%</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1340" w:type="dxa"/>
            <w:vAlign w:val="bottom"/>
          </w:tcPr>
          <w:p>
            <w:pPr>
              <w:spacing w:after="0"/>
              <w:rPr>
                <w:sz w:val="2"/>
                <w:szCs w:val="2"/>
                <w:color w:val="auto"/>
              </w:rPr>
            </w:pPr>
          </w:p>
        </w:tc>
        <w:tc>
          <w:tcPr>
            <w:tcW w:w="5080" w:type="dxa"/>
            <w:vAlign w:val="bottom"/>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400" w:type="dxa"/>
            <w:vAlign w:val="bottom"/>
          </w:tcPr>
          <w:p>
            <w:pPr>
              <w:spacing w:after="0"/>
              <w:rPr>
                <w:sz w:val="2"/>
                <w:szCs w:val="2"/>
                <w:color w:val="auto"/>
              </w:rPr>
            </w:pPr>
          </w:p>
        </w:tc>
        <w:tc>
          <w:tcPr>
            <w:tcW w:w="60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64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Total revenues</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u w:val="single" w:color="auto"/>
                <w:color w:val="auto"/>
                <w:w w:val="86"/>
              </w:rPr>
              <w:t>$</w:t>
            </w:r>
            <w:r>
              <w:rPr>
                <w:rFonts w:ascii="Arial" w:cs="Arial" w:eastAsia="Arial" w:hAnsi="Arial"/>
                <w:sz w:val="18"/>
                <w:szCs w:val="18"/>
                <w:color w:val="auto"/>
                <w:w w:val="86"/>
              </w:rPr>
              <w:t>15,667</w:t>
            </w:r>
          </w:p>
        </w:tc>
        <w:tc>
          <w:tcPr>
            <w:tcW w:w="800" w:type="dxa"/>
            <w:vAlign w:val="bottom"/>
            <w:gridSpan w:val="2"/>
            <w:shd w:val="clear" w:color="auto" w:fill="CCEEFF"/>
          </w:tcPr>
          <w:p>
            <w:pPr>
              <w:jc w:val="right"/>
              <w:spacing w:after="0"/>
              <w:rPr>
                <w:sz w:val="20"/>
                <w:szCs w:val="20"/>
                <w:color w:val="auto"/>
              </w:rPr>
            </w:pPr>
            <w:r>
              <w:rPr>
                <w:rFonts w:ascii="Arial" w:cs="Arial" w:eastAsia="Arial" w:hAnsi="Arial"/>
                <w:sz w:val="18"/>
                <w:szCs w:val="18"/>
                <w:u w:val="single" w:color="auto"/>
                <w:color w:val="auto"/>
              </w:rPr>
              <w:t>$</w:t>
            </w:r>
            <w:r>
              <w:rPr>
                <w:rFonts w:ascii="Arial" w:cs="Arial" w:eastAsia="Arial" w:hAnsi="Arial"/>
                <w:sz w:val="18"/>
                <w:szCs w:val="18"/>
                <w:color w:val="auto"/>
              </w:rPr>
              <w:t>13,904</w:t>
            </w:r>
          </w:p>
        </w:tc>
        <w:tc>
          <w:tcPr>
            <w:tcW w:w="1200" w:type="dxa"/>
            <w:vAlign w:val="bottom"/>
            <w:gridSpan w:val="3"/>
            <w:shd w:val="clear" w:color="auto" w:fill="CCEEFF"/>
          </w:tcPr>
          <w:p>
            <w:pPr>
              <w:jc w:val="right"/>
              <w:ind w:right="260"/>
              <w:spacing w:after="0"/>
              <w:rPr>
                <w:sz w:val="20"/>
                <w:szCs w:val="20"/>
                <w:color w:val="auto"/>
              </w:rPr>
            </w:pPr>
            <w:r>
              <w:rPr>
                <w:rFonts w:ascii="Arial" w:cs="Arial" w:eastAsia="Arial" w:hAnsi="Arial"/>
                <w:sz w:val="18"/>
                <w:szCs w:val="18"/>
                <w:color w:val="auto"/>
              </w:rPr>
              <w:t>12.7%</w:t>
            </w: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u w:val="single" w:color="auto"/>
                <w:color w:val="auto"/>
                <w:w w:val="89"/>
              </w:rPr>
              <w:t>$</w:t>
            </w:r>
            <w:r>
              <w:rPr>
                <w:rFonts w:ascii="Arial" w:cs="Arial" w:eastAsia="Arial" w:hAnsi="Arial"/>
                <w:sz w:val="18"/>
                <w:szCs w:val="18"/>
                <w:color w:val="auto"/>
                <w:w w:val="89"/>
              </w:rPr>
              <w:t>29,368</w:t>
            </w:r>
          </w:p>
        </w:tc>
        <w:tc>
          <w:tcPr>
            <w:tcW w:w="780" w:type="dxa"/>
            <w:vAlign w:val="bottom"/>
            <w:gridSpan w:val="2"/>
            <w:shd w:val="clear" w:color="auto" w:fill="CCEEFF"/>
          </w:tcPr>
          <w:p>
            <w:pPr>
              <w:jc w:val="right"/>
              <w:spacing w:after="0"/>
              <w:rPr>
                <w:sz w:val="20"/>
                <w:szCs w:val="20"/>
                <w:color w:val="auto"/>
              </w:rPr>
            </w:pPr>
            <w:r>
              <w:rPr>
                <w:rFonts w:ascii="Arial" w:cs="Arial" w:eastAsia="Arial" w:hAnsi="Arial"/>
                <w:sz w:val="18"/>
                <w:szCs w:val="18"/>
                <w:u w:val="single" w:color="auto"/>
                <w:color w:val="auto"/>
              </w:rPr>
              <w:t>$</w:t>
            </w:r>
            <w:r>
              <w:rPr>
                <w:rFonts w:ascii="Arial" w:cs="Arial" w:eastAsia="Arial" w:hAnsi="Arial"/>
                <w:sz w:val="18"/>
                <w:szCs w:val="18"/>
                <w:color w:val="auto"/>
              </w:rPr>
              <w:t>26,182</w:t>
            </w:r>
          </w:p>
        </w:tc>
        <w:tc>
          <w:tcPr>
            <w:tcW w:w="1020" w:type="dxa"/>
            <w:vAlign w:val="bottom"/>
            <w:gridSpan w:val="3"/>
            <w:shd w:val="clear" w:color="auto" w:fill="CCEEFF"/>
          </w:tcPr>
          <w:p>
            <w:pPr>
              <w:jc w:val="right"/>
              <w:ind w:right="60"/>
              <w:spacing w:after="0"/>
              <w:rPr>
                <w:sz w:val="20"/>
                <w:szCs w:val="20"/>
                <w:color w:val="auto"/>
              </w:rPr>
            </w:pPr>
            <w:r>
              <w:rPr>
                <w:rFonts w:ascii="Arial" w:cs="Arial" w:eastAsia="Arial" w:hAnsi="Arial"/>
                <w:sz w:val="18"/>
                <w:szCs w:val="18"/>
                <w:color w:val="auto"/>
              </w:rPr>
              <w:t>12.2%</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340" w:type="dxa"/>
            <w:vAlign w:val="bottom"/>
          </w:tcPr>
          <w:p>
            <w:pPr>
              <w:spacing w:after="0" w:line="20" w:lineRule="exact"/>
              <w:rPr>
                <w:sz w:val="1"/>
                <w:szCs w:val="1"/>
                <w:color w:val="auto"/>
              </w:rPr>
            </w:pPr>
          </w:p>
        </w:tc>
        <w:tc>
          <w:tcPr>
            <w:tcW w:w="5080" w:type="dxa"/>
            <w:vAlign w:val="bottom"/>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67" w:lineRule="exact"/>
        <w:rPr>
          <w:sz w:val="20"/>
          <w:szCs w:val="20"/>
          <w:color w:val="auto"/>
        </w:rPr>
      </w:pPr>
    </w:p>
    <w:p>
      <w:pPr>
        <w:ind w:right="60" w:firstLine="456"/>
        <w:spacing w:after="0" w:line="256" w:lineRule="auto"/>
        <w:rPr>
          <w:sz w:val="20"/>
          <w:szCs w:val="20"/>
          <w:color w:val="auto"/>
        </w:rPr>
      </w:pPr>
      <w:r>
        <w:rPr>
          <w:rFonts w:ascii="Arial" w:cs="Arial" w:eastAsia="Arial" w:hAnsi="Arial"/>
          <w:sz w:val="18"/>
          <w:szCs w:val="18"/>
          <w:color w:val="auto"/>
        </w:rPr>
        <w:t>Revenue growth in the second quarter of 2008 includes organic growth of 6%, revenue contributed by acquired companies of 2%, and the favorable impact from foreign currency translation of 5% resulting from the weakness of the U.S. dollar relative to currencies such as the Euro. The growth in organic revenue reflects the strength in the commercial aerospace OEM and commercial HVAC markets, the strong opening new equipment backlog at Otis and the demand for military helicopters as discussed previously in the “Business Overview” section.</w:t>
      </w:r>
    </w:p>
    <w:p>
      <w:pPr>
        <w:spacing w:after="0" w:line="143" w:lineRule="exact"/>
        <w:rPr>
          <w:sz w:val="20"/>
          <w:szCs w:val="20"/>
          <w:color w:val="auto"/>
        </w:rPr>
      </w:pPr>
    </w:p>
    <w:p>
      <w:pPr>
        <w:ind w:right="120" w:firstLine="456"/>
        <w:spacing w:after="0" w:line="254" w:lineRule="auto"/>
        <w:rPr>
          <w:sz w:val="20"/>
          <w:szCs w:val="20"/>
          <w:color w:val="auto"/>
        </w:rPr>
      </w:pPr>
      <w:r>
        <w:rPr>
          <w:rFonts w:ascii="Arial" w:cs="Arial" w:eastAsia="Arial" w:hAnsi="Arial"/>
          <w:sz w:val="18"/>
          <w:szCs w:val="18"/>
          <w:color w:val="auto"/>
        </w:rPr>
        <w:t>The six month revenue increase of 12% consists of organic growth of 7%, the favorable impact of foreign currency translation of 4%, and revenue contributed by acquired companies of 2% partially offset by a decrease in other income of 1%. As with the second quarter growth, the six month revenue growth is due largely to strong new equipment backlog entering the year at Otis, the strength in the commercial aerospace OEM markets and the demand for military helicopters. The decrease in other income in the first six months of 2008, as compared with 2007, is largely related to the absence of gains reflected in the first quarter of 2007, which included approximately $150 million related to the sale of certain marketable securities and an $84 million gain recognized on the sale of land by Otis.</w:t>
      </w:r>
    </w:p>
    <w:p>
      <w:pPr>
        <w:spacing w:after="0" w:line="306" w:lineRule="exact"/>
        <w:rPr>
          <w:sz w:val="20"/>
          <w:szCs w:val="20"/>
          <w:color w:val="auto"/>
        </w:rPr>
      </w:pPr>
    </w:p>
    <w:p>
      <w:pPr>
        <w:jc w:val="center"/>
        <w:spacing w:after="0"/>
        <w:rPr>
          <w:sz w:val="20"/>
          <w:szCs w:val="20"/>
          <w:color w:val="auto"/>
        </w:rPr>
      </w:pPr>
      <w:r>
        <w:rPr>
          <w:rFonts w:ascii="Arial" w:cs="Arial" w:eastAsia="Arial" w:hAnsi="Arial"/>
          <w:sz w:val="18"/>
          <w:szCs w:val="18"/>
          <w:b w:val="1"/>
          <w:bCs w:val="1"/>
          <w:i w:val="1"/>
          <w:iCs w:val="1"/>
          <w:u w:val="single" w:color="auto"/>
          <w:color w:val="auto"/>
        </w:rPr>
        <w:t>Gross Margin</w:t>
      </w:r>
    </w:p>
    <w:p>
      <w:pPr>
        <w:spacing w:after="0" w:line="195"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6580" w:type="dxa"/>
            <w:vAlign w:val="bottom"/>
          </w:tcPr>
          <w:p>
            <w:pPr>
              <w:spacing w:after="0"/>
              <w:rPr>
                <w:sz w:val="14"/>
                <w:szCs w:val="14"/>
                <w:color w:val="auto"/>
              </w:rPr>
            </w:pPr>
          </w:p>
        </w:tc>
        <w:tc>
          <w:tcPr>
            <w:tcW w:w="1880" w:type="dxa"/>
            <w:vAlign w:val="bottom"/>
            <w:gridSpan w:val="4"/>
          </w:tcPr>
          <w:p>
            <w:pPr>
              <w:jc w:val="right"/>
              <w:ind w:right="720"/>
              <w:spacing w:after="0"/>
              <w:rPr>
                <w:sz w:val="20"/>
                <w:szCs w:val="20"/>
                <w:color w:val="auto"/>
              </w:rPr>
            </w:pPr>
            <w:r>
              <w:rPr>
                <w:rFonts w:ascii="Arial" w:cs="Arial" w:eastAsia="Arial" w:hAnsi="Arial"/>
                <w:sz w:val="14"/>
                <w:szCs w:val="14"/>
                <w:b w:val="1"/>
                <w:bCs w:val="1"/>
                <w:color w:val="auto"/>
              </w:rPr>
              <w:t>Quarter Ended</w:t>
            </w:r>
          </w:p>
        </w:tc>
        <w:tc>
          <w:tcPr>
            <w:tcW w:w="1600" w:type="dxa"/>
            <w:vAlign w:val="bottom"/>
            <w:gridSpan w:val="4"/>
          </w:tcPr>
          <w:p>
            <w:pPr>
              <w:jc w:val="right"/>
              <w:ind w:right="340"/>
              <w:spacing w:after="0"/>
              <w:rPr>
                <w:sz w:val="20"/>
                <w:szCs w:val="20"/>
                <w:color w:val="auto"/>
              </w:rPr>
            </w:pPr>
            <w:r>
              <w:rPr>
                <w:rFonts w:ascii="Arial" w:cs="Arial" w:eastAsia="Arial" w:hAnsi="Arial"/>
                <w:sz w:val="14"/>
                <w:szCs w:val="14"/>
                <w:b w:val="1"/>
                <w:bCs w:val="1"/>
                <w:color w:val="auto"/>
              </w:rPr>
              <w:t>Six Months Ended</w:t>
            </w:r>
          </w:p>
        </w:tc>
        <w:tc>
          <w:tcPr>
            <w:tcW w:w="0" w:type="dxa"/>
            <w:vAlign w:val="bottom"/>
          </w:tcPr>
          <w:p>
            <w:pPr>
              <w:spacing w:after="0"/>
              <w:rPr>
                <w:sz w:val="1"/>
                <w:szCs w:val="1"/>
                <w:color w:val="auto"/>
              </w:rPr>
            </w:pPr>
          </w:p>
        </w:tc>
      </w:tr>
      <w:tr>
        <w:trPr>
          <w:trHeight w:val="161"/>
        </w:trPr>
        <w:tc>
          <w:tcPr>
            <w:tcW w:w="1360" w:type="dxa"/>
            <w:vAlign w:val="bottom"/>
            <w:gridSpan w:val="2"/>
            <w:vMerge w:val="restart"/>
          </w:tcPr>
          <w:p>
            <w:pPr>
              <w:spacing w:after="0"/>
              <w:rPr>
                <w:sz w:val="20"/>
                <w:szCs w:val="20"/>
                <w:color w:val="auto"/>
              </w:rPr>
            </w:pPr>
            <w:r>
              <w:rPr>
                <w:rFonts w:ascii="Arial" w:cs="Arial" w:eastAsia="Arial" w:hAnsi="Arial"/>
                <w:sz w:val="14"/>
                <w:szCs w:val="14"/>
                <w:b w:val="1"/>
                <w:bCs w:val="1"/>
                <w:color w:val="auto"/>
                <w:w w:val="92"/>
              </w:rPr>
              <w:t>(in millions of dollars)</w:t>
            </w:r>
          </w:p>
        </w:tc>
        <w:tc>
          <w:tcPr>
            <w:tcW w:w="6580" w:type="dxa"/>
            <w:vAlign w:val="bottom"/>
          </w:tcPr>
          <w:p>
            <w:pPr>
              <w:spacing w:after="0"/>
              <w:rPr>
                <w:sz w:val="14"/>
                <w:szCs w:val="14"/>
                <w:color w:val="auto"/>
              </w:rPr>
            </w:pPr>
          </w:p>
        </w:tc>
        <w:tc>
          <w:tcPr>
            <w:tcW w:w="1880" w:type="dxa"/>
            <w:vAlign w:val="bottom"/>
            <w:gridSpan w:val="4"/>
          </w:tcPr>
          <w:p>
            <w:pPr>
              <w:jc w:val="right"/>
              <w:ind w:right="920"/>
              <w:spacing w:after="0"/>
              <w:rPr>
                <w:sz w:val="20"/>
                <w:szCs w:val="20"/>
                <w:color w:val="auto"/>
              </w:rPr>
            </w:pPr>
            <w:r>
              <w:rPr>
                <w:rFonts w:ascii="Arial" w:cs="Arial" w:eastAsia="Arial" w:hAnsi="Arial"/>
                <w:sz w:val="14"/>
                <w:szCs w:val="14"/>
                <w:b w:val="1"/>
                <w:bCs w:val="1"/>
                <w:color w:val="auto"/>
              </w:rPr>
              <w:t>June 30,</w:t>
            </w:r>
          </w:p>
        </w:tc>
        <w:tc>
          <w:tcPr>
            <w:tcW w:w="1600" w:type="dxa"/>
            <w:vAlign w:val="bottom"/>
            <w:gridSpan w:val="4"/>
          </w:tcPr>
          <w:p>
            <w:pPr>
              <w:jc w:val="right"/>
              <w:ind w:right="640"/>
              <w:spacing w:after="0"/>
              <w:rPr>
                <w:sz w:val="20"/>
                <w:szCs w:val="20"/>
                <w:color w:val="auto"/>
              </w:rPr>
            </w:pPr>
            <w:r>
              <w:rPr>
                <w:rFonts w:ascii="Arial" w:cs="Arial" w:eastAsia="Arial" w:hAnsi="Arial"/>
                <w:sz w:val="14"/>
                <w:szCs w:val="14"/>
                <w:b w:val="1"/>
                <w:bCs w:val="1"/>
                <w:color w:val="auto"/>
              </w:rPr>
              <w:t>June 30,</w:t>
            </w:r>
          </w:p>
        </w:tc>
        <w:tc>
          <w:tcPr>
            <w:tcW w:w="0" w:type="dxa"/>
            <w:vAlign w:val="bottom"/>
          </w:tcPr>
          <w:p>
            <w:pPr>
              <w:spacing w:after="0"/>
              <w:rPr>
                <w:sz w:val="1"/>
                <w:szCs w:val="1"/>
                <w:color w:val="auto"/>
              </w:rPr>
            </w:pPr>
          </w:p>
        </w:tc>
      </w:tr>
      <w:tr>
        <w:trPr>
          <w:trHeight w:val="142"/>
        </w:trPr>
        <w:tc>
          <w:tcPr>
            <w:tcW w:w="1360" w:type="dxa"/>
            <w:vAlign w:val="bottom"/>
            <w:gridSpan w:val="2"/>
            <w:vMerge w:val="continue"/>
          </w:tcPr>
          <w:p>
            <w:pPr>
              <w:spacing w:after="0"/>
              <w:rPr>
                <w:sz w:val="12"/>
                <w:szCs w:val="12"/>
                <w:color w:val="auto"/>
              </w:rPr>
            </w:pPr>
          </w:p>
        </w:tc>
        <w:tc>
          <w:tcPr>
            <w:tcW w:w="6580" w:type="dxa"/>
            <w:vAlign w:val="bottom"/>
          </w:tcPr>
          <w:p>
            <w:pPr>
              <w:spacing w:after="0"/>
              <w:rPr>
                <w:sz w:val="12"/>
                <w:szCs w:val="12"/>
                <w:color w:val="auto"/>
              </w:rPr>
            </w:pPr>
          </w:p>
        </w:tc>
        <w:tc>
          <w:tcPr>
            <w:tcW w:w="500" w:type="dxa"/>
            <w:vAlign w:val="bottom"/>
            <w:tcBorders>
              <w:top w:val="single" w:sz="8" w:color="auto"/>
            </w:tcBorders>
          </w:tcPr>
          <w:p>
            <w:pPr>
              <w:jc w:val="right"/>
              <w:ind w:right="52"/>
              <w:spacing w:after="0" w:line="142" w:lineRule="exact"/>
              <w:rPr>
                <w:sz w:val="20"/>
                <w:szCs w:val="20"/>
                <w:color w:val="auto"/>
              </w:rPr>
            </w:pPr>
            <w:r>
              <w:rPr>
                <w:rFonts w:ascii="Arial" w:cs="Arial" w:eastAsia="Arial" w:hAnsi="Arial"/>
                <w:sz w:val="14"/>
                <w:szCs w:val="14"/>
                <w:b w:val="1"/>
                <w:bCs w:val="1"/>
                <w:color w:val="auto"/>
              </w:rPr>
              <w:t>2008</w:t>
            </w:r>
          </w:p>
        </w:tc>
        <w:tc>
          <w:tcPr>
            <w:tcW w:w="440" w:type="dxa"/>
            <w:vAlign w:val="bottom"/>
            <w:tcBorders>
              <w:top w:val="single" w:sz="8" w:color="auto"/>
            </w:tcBorders>
          </w:tcPr>
          <w:p>
            <w:pPr>
              <w:spacing w:after="0"/>
              <w:rPr>
                <w:sz w:val="12"/>
                <w:szCs w:val="12"/>
                <w:color w:val="auto"/>
              </w:rPr>
            </w:pPr>
          </w:p>
        </w:tc>
        <w:tc>
          <w:tcPr>
            <w:tcW w:w="500" w:type="dxa"/>
            <w:vAlign w:val="bottom"/>
            <w:tcBorders>
              <w:top w:val="single" w:sz="8" w:color="auto"/>
            </w:tcBorders>
          </w:tcPr>
          <w:p>
            <w:pPr>
              <w:jc w:val="right"/>
              <w:ind w:right="39"/>
              <w:spacing w:after="0" w:line="142" w:lineRule="exact"/>
              <w:rPr>
                <w:sz w:val="20"/>
                <w:szCs w:val="20"/>
                <w:color w:val="auto"/>
              </w:rPr>
            </w:pPr>
            <w:r>
              <w:rPr>
                <w:rFonts w:ascii="Arial" w:cs="Arial" w:eastAsia="Arial" w:hAnsi="Arial"/>
                <w:sz w:val="14"/>
                <w:szCs w:val="14"/>
                <w:b w:val="1"/>
                <w:bCs w:val="1"/>
                <w:color w:val="auto"/>
              </w:rPr>
              <w:t>2007</w:t>
            </w:r>
          </w:p>
        </w:tc>
        <w:tc>
          <w:tcPr>
            <w:tcW w:w="440" w:type="dxa"/>
            <w:vAlign w:val="bottom"/>
          </w:tcPr>
          <w:p>
            <w:pPr>
              <w:spacing w:after="0"/>
              <w:rPr>
                <w:sz w:val="12"/>
                <w:szCs w:val="12"/>
                <w:color w:val="auto"/>
              </w:rPr>
            </w:pPr>
          </w:p>
        </w:tc>
        <w:tc>
          <w:tcPr>
            <w:tcW w:w="500" w:type="dxa"/>
            <w:vAlign w:val="bottom"/>
            <w:tcBorders>
              <w:top w:val="single" w:sz="8" w:color="auto"/>
            </w:tcBorders>
          </w:tcPr>
          <w:p>
            <w:pPr>
              <w:jc w:val="right"/>
              <w:ind w:right="24"/>
              <w:spacing w:after="0" w:line="142" w:lineRule="exact"/>
              <w:rPr>
                <w:sz w:val="20"/>
                <w:szCs w:val="20"/>
                <w:color w:val="auto"/>
              </w:rPr>
            </w:pPr>
            <w:r>
              <w:rPr>
                <w:rFonts w:ascii="Arial" w:cs="Arial" w:eastAsia="Arial" w:hAnsi="Arial"/>
                <w:sz w:val="14"/>
                <w:szCs w:val="14"/>
                <w:b w:val="1"/>
                <w:bCs w:val="1"/>
                <w:color w:val="auto"/>
              </w:rPr>
              <w:t>2008</w:t>
            </w:r>
          </w:p>
        </w:tc>
        <w:tc>
          <w:tcPr>
            <w:tcW w:w="460" w:type="dxa"/>
            <w:vAlign w:val="bottom"/>
            <w:tcBorders>
              <w:top w:val="single" w:sz="8" w:color="auto"/>
            </w:tcBorders>
          </w:tcPr>
          <w:p>
            <w:pPr>
              <w:spacing w:after="0"/>
              <w:rPr>
                <w:sz w:val="12"/>
                <w:szCs w:val="12"/>
                <w:color w:val="auto"/>
              </w:rPr>
            </w:pPr>
          </w:p>
        </w:tc>
        <w:tc>
          <w:tcPr>
            <w:tcW w:w="500" w:type="dxa"/>
            <w:vAlign w:val="bottom"/>
            <w:tcBorders>
              <w:top w:val="single" w:sz="8" w:color="auto"/>
            </w:tcBorders>
          </w:tcPr>
          <w:p>
            <w:pPr>
              <w:jc w:val="right"/>
              <w:ind w:right="39"/>
              <w:spacing w:after="0" w:line="142" w:lineRule="exact"/>
              <w:rPr>
                <w:sz w:val="20"/>
                <w:szCs w:val="20"/>
                <w:color w:val="auto"/>
              </w:rPr>
            </w:pPr>
            <w:r>
              <w:rPr>
                <w:rFonts w:ascii="Arial" w:cs="Arial" w:eastAsia="Arial" w:hAnsi="Arial"/>
                <w:sz w:val="14"/>
                <w:szCs w:val="14"/>
                <w:b w:val="1"/>
                <w:bCs w:val="1"/>
                <w:color w:val="auto"/>
              </w:rPr>
              <w:t>2007</w:t>
            </w:r>
          </w:p>
        </w:tc>
        <w:tc>
          <w:tcPr>
            <w:tcW w:w="1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0"/>
        </w:trPr>
        <w:tc>
          <w:tcPr>
            <w:tcW w:w="20" w:type="dxa"/>
            <w:vAlign w:val="bottom"/>
            <w:vMerge w:val="restart"/>
          </w:tcPr>
          <w:p>
            <w:pPr>
              <w:spacing w:after="0" w:line="20" w:lineRule="exact"/>
              <w:rPr>
                <w:sz w:val="1"/>
                <w:szCs w:val="1"/>
                <w:color w:val="auto"/>
              </w:rPr>
            </w:pPr>
          </w:p>
        </w:tc>
        <w:tc>
          <w:tcPr>
            <w:tcW w:w="1340" w:type="dxa"/>
            <w:vAlign w:val="bottom"/>
            <w:shd w:val="clear" w:color="auto" w:fill="000000"/>
          </w:tcPr>
          <w:p>
            <w:pPr>
              <w:spacing w:after="0" w:line="20" w:lineRule="exact"/>
              <w:rPr>
                <w:sz w:val="1"/>
                <w:szCs w:val="1"/>
                <w:color w:val="auto"/>
              </w:rPr>
            </w:pPr>
          </w:p>
        </w:tc>
        <w:tc>
          <w:tcPr>
            <w:tcW w:w="6580" w:type="dxa"/>
            <w:vAlign w:val="bottom"/>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vMerge w:val="continue"/>
          </w:tcPr>
          <w:p>
            <w:pPr>
              <w:spacing w:after="0"/>
              <w:rPr>
                <w:sz w:val="18"/>
                <w:szCs w:val="18"/>
                <w:color w:val="auto"/>
              </w:rPr>
            </w:pPr>
          </w:p>
        </w:tc>
        <w:tc>
          <w:tcPr>
            <w:tcW w:w="1340" w:type="dxa"/>
            <w:vAlign w:val="bottom"/>
            <w:shd w:val="clear" w:color="auto" w:fill="CCEEFF"/>
          </w:tcPr>
          <w:p>
            <w:pPr>
              <w:spacing w:after="0"/>
              <w:rPr>
                <w:sz w:val="20"/>
                <w:szCs w:val="20"/>
                <w:color w:val="auto"/>
              </w:rPr>
            </w:pPr>
            <w:r>
              <w:rPr>
                <w:rFonts w:ascii="Arial" w:cs="Arial" w:eastAsia="Arial" w:hAnsi="Arial"/>
                <w:sz w:val="18"/>
                <w:szCs w:val="18"/>
                <w:color w:val="auto"/>
              </w:rPr>
              <w:t>Gross margin</w:t>
            </w:r>
          </w:p>
        </w:tc>
        <w:tc>
          <w:tcPr>
            <w:tcW w:w="7520" w:type="dxa"/>
            <w:vAlign w:val="bottom"/>
            <w:gridSpan w:val="3"/>
            <w:shd w:val="clear" w:color="auto" w:fill="CCEEFF"/>
          </w:tcPr>
          <w:p>
            <w:pPr>
              <w:jc w:val="right"/>
              <w:ind w:right="440"/>
              <w:spacing w:after="0"/>
              <w:rPr>
                <w:sz w:val="20"/>
                <w:szCs w:val="20"/>
                <w:color w:val="auto"/>
              </w:rPr>
            </w:pPr>
            <w:r>
              <w:rPr>
                <w:rFonts w:ascii="Arial" w:cs="Arial" w:eastAsia="Arial" w:hAnsi="Arial"/>
                <w:sz w:val="18"/>
                <w:szCs w:val="18"/>
                <w:color w:val="auto"/>
              </w:rPr>
              <w:t>$4,176</w:t>
            </w: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7"/>
              </w:rPr>
              <w:t>$3,637</w:t>
            </w:r>
          </w:p>
        </w:tc>
        <w:tc>
          <w:tcPr>
            <w:tcW w:w="440" w:type="dxa"/>
            <w:vAlign w:val="bottom"/>
            <w:shd w:val="clear" w:color="auto" w:fill="CCEEFF"/>
          </w:tcPr>
          <w:p>
            <w:pPr>
              <w:spacing w:after="0"/>
              <w:rPr>
                <w:sz w:val="18"/>
                <w:szCs w:val="18"/>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7"/>
              </w:rPr>
              <w:t>$7,772</w:t>
            </w:r>
          </w:p>
        </w:tc>
        <w:tc>
          <w:tcPr>
            <w:tcW w:w="46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w w:val="87"/>
              </w:rPr>
              <w:t>$6,577</w:t>
            </w: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1340" w:type="dxa"/>
            <w:vAlign w:val="bottom"/>
          </w:tcPr>
          <w:p>
            <w:pPr>
              <w:spacing w:after="0"/>
              <w:rPr>
                <w:sz w:val="20"/>
                <w:szCs w:val="20"/>
                <w:color w:val="auto"/>
              </w:rPr>
            </w:pPr>
            <w:r>
              <w:rPr>
                <w:rFonts w:ascii="Arial" w:cs="Arial" w:eastAsia="Arial" w:hAnsi="Arial"/>
                <w:sz w:val="18"/>
                <w:szCs w:val="18"/>
                <w:color w:val="auto"/>
                <w:w w:val="82"/>
              </w:rPr>
              <w:t>Percentage of sales</w:t>
            </w:r>
          </w:p>
        </w:tc>
        <w:tc>
          <w:tcPr>
            <w:tcW w:w="7520" w:type="dxa"/>
            <w:vAlign w:val="bottom"/>
            <w:gridSpan w:val="3"/>
          </w:tcPr>
          <w:p>
            <w:pPr>
              <w:jc w:val="right"/>
              <w:ind w:right="300"/>
              <w:spacing w:after="0"/>
              <w:rPr>
                <w:sz w:val="20"/>
                <w:szCs w:val="20"/>
                <w:color w:val="auto"/>
              </w:rPr>
            </w:pPr>
            <w:r>
              <w:rPr>
                <w:rFonts w:ascii="Arial" w:cs="Arial" w:eastAsia="Arial" w:hAnsi="Arial"/>
                <w:sz w:val="18"/>
                <w:szCs w:val="18"/>
                <w:color w:val="auto"/>
              </w:rPr>
              <w:t>26.9%</w:t>
            </w:r>
          </w:p>
        </w:tc>
        <w:tc>
          <w:tcPr>
            <w:tcW w:w="940" w:type="dxa"/>
            <w:vAlign w:val="bottom"/>
            <w:gridSpan w:val="2"/>
          </w:tcPr>
          <w:p>
            <w:pPr>
              <w:jc w:val="right"/>
              <w:ind w:right="300"/>
              <w:spacing w:after="0"/>
              <w:rPr>
                <w:sz w:val="20"/>
                <w:szCs w:val="20"/>
                <w:color w:val="auto"/>
              </w:rPr>
            </w:pPr>
            <w:r>
              <w:rPr>
                <w:rFonts w:ascii="Arial" w:cs="Arial" w:eastAsia="Arial" w:hAnsi="Arial"/>
                <w:sz w:val="18"/>
                <w:szCs w:val="18"/>
                <w:color w:val="auto"/>
              </w:rPr>
              <w:t>26.4%</w:t>
            </w:r>
          </w:p>
        </w:tc>
        <w:tc>
          <w:tcPr>
            <w:tcW w:w="960" w:type="dxa"/>
            <w:vAlign w:val="bottom"/>
            <w:gridSpan w:val="2"/>
          </w:tcPr>
          <w:p>
            <w:pPr>
              <w:jc w:val="right"/>
              <w:ind w:right="300"/>
              <w:spacing w:after="0"/>
              <w:rPr>
                <w:sz w:val="20"/>
                <w:szCs w:val="20"/>
                <w:color w:val="auto"/>
              </w:rPr>
            </w:pPr>
            <w:r>
              <w:rPr>
                <w:rFonts w:ascii="Arial" w:cs="Arial" w:eastAsia="Arial" w:hAnsi="Arial"/>
                <w:sz w:val="18"/>
                <w:szCs w:val="18"/>
                <w:color w:val="auto"/>
              </w:rPr>
              <w:t>26.7%</w:t>
            </w:r>
          </w:p>
        </w:tc>
        <w:tc>
          <w:tcPr>
            <w:tcW w:w="640" w:type="dxa"/>
            <w:vAlign w:val="bottom"/>
            <w:gridSpan w:val="2"/>
          </w:tcPr>
          <w:p>
            <w:pPr>
              <w:jc w:val="right"/>
              <w:spacing w:after="0"/>
              <w:rPr>
                <w:sz w:val="20"/>
                <w:szCs w:val="20"/>
                <w:color w:val="auto"/>
              </w:rPr>
            </w:pPr>
            <w:r>
              <w:rPr>
                <w:rFonts w:ascii="Arial" w:cs="Arial" w:eastAsia="Arial" w:hAnsi="Arial"/>
                <w:sz w:val="18"/>
                <w:szCs w:val="18"/>
                <w:color w:val="auto"/>
              </w:rPr>
              <w:t>25.6%</w:t>
            </w:r>
          </w:p>
        </w:tc>
        <w:tc>
          <w:tcPr>
            <w:tcW w:w="0" w:type="dxa"/>
            <w:vAlign w:val="bottom"/>
          </w:tcPr>
          <w:p>
            <w:pPr>
              <w:spacing w:after="0"/>
              <w:rPr>
                <w:sz w:val="1"/>
                <w:szCs w:val="1"/>
                <w:color w:val="auto"/>
              </w:rPr>
            </w:pPr>
          </w:p>
        </w:tc>
      </w:tr>
    </w:tbl>
    <w:p>
      <w:pPr>
        <w:spacing w:after="0" w:line="147" w:lineRule="exact"/>
        <w:rPr>
          <w:sz w:val="20"/>
          <w:szCs w:val="20"/>
          <w:color w:val="auto"/>
        </w:rPr>
      </w:pPr>
    </w:p>
    <w:p>
      <w:pPr>
        <w:ind w:right="60" w:firstLine="456"/>
        <w:spacing w:after="0" w:line="255" w:lineRule="auto"/>
        <w:rPr>
          <w:sz w:val="20"/>
          <w:szCs w:val="20"/>
          <w:color w:val="auto"/>
        </w:rPr>
      </w:pPr>
      <w:r>
        <w:rPr>
          <w:rFonts w:ascii="Arial" w:cs="Arial" w:eastAsia="Arial" w:hAnsi="Arial"/>
          <w:sz w:val="18"/>
          <w:szCs w:val="18"/>
          <w:color w:val="auto"/>
        </w:rPr>
        <w:t>Gross margin increases for the second quarter of 2008, as compared to the same period of 2007, resulted from higher volumes, savings from previously initiated restructuring actions, net operational efficiencies and the favorability of foreign exchange translation. Gross margin as a percentage of sales improved 50 basis points as compared with the second quarter of 2007 as the factors noted above more than offset the adverse impact of higher commodity and restructuring costs. After a partial recovery through pricing, the net adverse impact to earnings of higher commodity costs was approximately $50 million in the second quarter and for the six months ended June 30, 2008.</w:t>
      </w:r>
    </w:p>
    <w:p>
      <w:pPr>
        <w:spacing w:after="0" w:line="143" w:lineRule="exact"/>
        <w:rPr>
          <w:sz w:val="20"/>
          <w:szCs w:val="20"/>
          <w:color w:val="auto"/>
        </w:rPr>
      </w:pPr>
    </w:p>
    <w:p>
      <w:pPr>
        <w:ind w:right="500" w:firstLine="456"/>
        <w:spacing w:after="0" w:line="306" w:lineRule="auto"/>
        <w:rPr>
          <w:sz w:val="20"/>
          <w:szCs w:val="20"/>
          <w:color w:val="auto"/>
        </w:rPr>
      </w:pPr>
      <w:r>
        <w:rPr>
          <w:rFonts w:ascii="Arial" w:cs="Arial" w:eastAsia="Arial" w:hAnsi="Arial"/>
          <w:sz w:val="16"/>
          <w:szCs w:val="16"/>
          <w:color w:val="auto"/>
        </w:rPr>
        <w:t>For the first six months of 2008, gross margin as a percentage of sales increased by 110 basis points, as compared to the same period of 2007. This improvement is primarily due to the absence of the first quarter 2007 EU Fine, net of reserves (approximately $216 million). The adverse impact of foreign exchange at Pratt &amp; Whitney Canada was largely offset by savings from previously initiated restructuring actions and net operational efficiencies.</w:t>
      </w:r>
    </w:p>
    <w:p>
      <w:pPr>
        <w:spacing w:after="0" w:line="269" w:lineRule="exact"/>
        <w:rPr>
          <w:sz w:val="20"/>
          <w:szCs w:val="20"/>
          <w:color w:val="auto"/>
        </w:rPr>
      </w:pPr>
    </w:p>
    <w:p>
      <w:pPr>
        <w:jc w:val="center"/>
        <w:spacing w:after="0"/>
        <w:rPr>
          <w:sz w:val="20"/>
          <w:szCs w:val="20"/>
          <w:color w:val="auto"/>
        </w:rPr>
      </w:pPr>
      <w:r>
        <w:rPr>
          <w:rFonts w:ascii="Arial" w:cs="Arial" w:eastAsia="Arial" w:hAnsi="Arial"/>
          <w:sz w:val="18"/>
          <w:szCs w:val="18"/>
          <w:b w:val="1"/>
          <w:bCs w:val="1"/>
          <w:i w:val="1"/>
          <w:iCs w:val="1"/>
          <w:u w:val="single" w:color="auto"/>
          <w:color w:val="auto"/>
        </w:rPr>
        <w:t>Research and Development</w:t>
      </w:r>
    </w:p>
    <w:p>
      <w:pPr>
        <w:spacing w:after="0" w:line="207"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33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520" w:type="dxa"/>
            <w:vAlign w:val="bottom"/>
            <w:gridSpan w:val="5"/>
          </w:tcPr>
          <w:p>
            <w:pPr>
              <w:ind w:left="100"/>
              <w:spacing w:after="0"/>
              <w:rPr>
                <w:sz w:val="20"/>
                <w:szCs w:val="20"/>
                <w:color w:val="auto"/>
              </w:rPr>
            </w:pPr>
            <w:r>
              <w:rPr>
                <w:rFonts w:ascii="Arial" w:cs="Arial" w:eastAsia="Arial" w:hAnsi="Arial"/>
                <w:sz w:val="14"/>
                <w:szCs w:val="14"/>
                <w:b w:val="1"/>
                <w:bCs w:val="1"/>
                <w:color w:val="auto"/>
                <w:w w:val="89"/>
              </w:rPr>
              <w:t>Quarter Ended June 30,</w:t>
            </w:r>
          </w:p>
        </w:tc>
        <w:tc>
          <w:tcPr>
            <w:tcW w:w="22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2520" w:type="dxa"/>
            <w:vAlign w:val="bottom"/>
            <w:gridSpan w:val="7"/>
          </w:tcPr>
          <w:p>
            <w:pPr>
              <w:ind w:left="20"/>
              <w:spacing w:after="0"/>
              <w:rPr>
                <w:sz w:val="20"/>
                <w:szCs w:val="20"/>
                <w:color w:val="auto"/>
              </w:rPr>
            </w:pPr>
            <w:r>
              <w:rPr>
                <w:rFonts w:ascii="Arial" w:cs="Arial" w:eastAsia="Arial" w:hAnsi="Arial"/>
                <w:sz w:val="14"/>
                <w:szCs w:val="14"/>
                <w:b w:val="1"/>
                <w:bCs w:val="1"/>
                <w:color w:val="auto"/>
              </w:rPr>
              <w:t>Six Months Ended June 30,</w:t>
            </w:r>
          </w:p>
        </w:tc>
        <w:tc>
          <w:tcPr>
            <w:tcW w:w="0" w:type="dxa"/>
            <w:vAlign w:val="bottom"/>
          </w:tcPr>
          <w:p>
            <w:pPr>
              <w:spacing w:after="0"/>
              <w:rPr>
                <w:sz w:val="1"/>
                <w:szCs w:val="1"/>
                <w:color w:val="auto"/>
              </w:rPr>
            </w:pPr>
          </w:p>
        </w:tc>
      </w:tr>
      <w:tr>
        <w:trPr>
          <w:trHeight w:val="142"/>
        </w:trPr>
        <w:tc>
          <w:tcPr>
            <w:tcW w:w="4660" w:type="dxa"/>
            <w:vAlign w:val="bottom"/>
            <w:gridSpan w:val="3"/>
            <w:vMerge w:val="restart"/>
          </w:tcPr>
          <w:p>
            <w:pPr>
              <w:jc w:val="center"/>
              <w:ind w:right="3380"/>
              <w:spacing w:after="0"/>
              <w:rPr>
                <w:sz w:val="20"/>
                <w:szCs w:val="20"/>
                <w:color w:val="auto"/>
              </w:rPr>
            </w:pPr>
            <w:r>
              <w:rPr>
                <w:rFonts w:ascii="Arial" w:cs="Arial" w:eastAsia="Arial" w:hAnsi="Arial"/>
                <w:sz w:val="14"/>
                <w:szCs w:val="14"/>
                <w:b w:val="1"/>
                <w:bCs w:val="1"/>
                <w:color w:val="auto"/>
                <w:w w:val="87"/>
              </w:rPr>
              <w:t>(in millions of dollars)</w:t>
            </w:r>
          </w:p>
        </w:tc>
        <w:tc>
          <w:tcPr>
            <w:tcW w:w="160" w:type="dxa"/>
            <w:vAlign w:val="bottom"/>
            <w:tcBorders>
              <w:top w:val="single" w:sz="8" w:color="auto"/>
              <w:bottom w:val="single" w:sz="8" w:color="auto"/>
            </w:tcBorders>
          </w:tcPr>
          <w:p>
            <w:pPr>
              <w:spacing w:after="0"/>
              <w:rPr>
                <w:sz w:val="12"/>
                <w:szCs w:val="12"/>
                <w:color w:val="auto"/>
              </w:rPr>
            </w:pPr>
          </w:p>
        </w:tc>
        <w:tc>
          <w:tcPr>
            <w:tcW w:w="340" w:type="dxa"/>
            <w:vAlign w:val="bottom"/>
            <w:tcBorders>
              <w:top w:val="single" w:sz="8" w:color="auto"/>
              <w:bottom w:val="single" w:sz="8" w:color="auto"/>
            </w:tcBorders>
          </w:tcPr>
          <w:p>
            <w:pPr>
              <w:spacing w:after="0"/>
              <w:rPr>
                <w:sz w:val="12"/>
                <w:szCs w:val="12"/>
                <w:color w:val="auto"/>
              </w:rPr>
            </w:pPr>
          </w:p>
        </w:tc>
        <w:tc>
          <w:tcPr>
            <w:tcW w:w="20" w:type="dxa"/>
            <w:vAlign w:val="bottom"/>
            <w:tcBorders>
              <w:top w:val="single" w:sz="8" w:color="auto"/>
              <w:bottom w:val="single" w:sz="8" w:color="auto"/>
            </w:tcBorders>
          </w:tcPr>
          <w:p>
            <w:pPr>
              <w:spacing w:after="0"/>
              <w:rPr>
                <w:sz w:val="12"/>
                <w:szCs w:val="12"/>
                <w:color w:val="auto"/>
              </w:rPr>
            </w:pPr>
          </w:p>
        </w:tc>
        <w:tc>
          <w:tcPr>
            <w:tcW w:w="840" w:type="dxa"/>
            <w:vAlign w:val="bottom"/>
            <w:tcBorders>
              <w:top w:val="single" w:sz="8" w:color="auto"/>
              <w:bottom w:val="single" w:sz="8" w:color="auto"/>
            </w:tcBorders>
            <w:gridSpan w:val="2"/>
          </w:tcPr>
          <w:p>
            <w:pPr>
              <w:jc w:val="right"/>
              <w:ind w:right="460"/>
              <w:spacing w:after="0" w:line="142" w:lineRule="exact"/>
              <w:rPr>
                <w:sz w:val="20"/>
                <w:szCs w:val="20"/>
                <w:color w:val="auto"/>
              </w:rPr>
            </w:pPr>
            <w:r>
              <w:rPr>
                <w:rFonts w:ascii="Arial" w:cs="Arial" w:eastAsia="Arial" w:hAnsi="Arial"/>
                <w:sz w:val="14"/>
                <w:szCs w:val="14"/>
                <w:b w:val="1"/>
                <w:bCs w:val="1"/>
                <w:color w:val="auto"/>
                <w:w w:val="89"/>
              </w:rPr>
              <w:t>2008</w:t>
            </w:r>
          </w:p>
        </w:tc>
        <w:tc>
          <w:tcPr>
            <w:tcW w:w="380" w:type="dxa"/>
            <w:vAlign w:val="bottom"/>
            <w:tcBorders>
              <w:top w:val="single" w:sz="8" w:color="auto"/>
            </w:tcBorders>
          </w:tcPr>
          <w:p>
            <w:pPr>
              <w:spacing w:after="0"/>
              <w:rPr>
                <w:sz w:val="12"/>
                <w:szCs w:val="12"/>
                <w:color w:val="auto"/>
              </w:rPr>
            </w:pPr>
          </w:p>
        </w:tc>
        <w:tc>
          <w:tcPr>
            <w:tcW w:w="160" w:type="dxa"/>
            <w:vAlign w:val="bottom"/>
            <w:tcBorders>
              <w:top w:val="single" w:sz="8" w:color="auto"/>
              <w:bottom w:val="single" w:sz="8" w:color="auto"/>
            </w:tcBorders>
          </w:tcPr>
          <w:p>
            <w:pPr>
              <w:spacing w:after="0"/>
              <w:rPr>
                <w:sz w:val="12"/>
                <w:szCs w:val="12"/>
                <w:color w:val="auto"/>
              </w:rPr>
            </w:pPr>
          </w:p>
        </w:tc>
        <w:tc>
          <w:tcPr>
            <w:tcW w:w="340" w:type="dxa"/>
            <w:vAlign w:val="bottom"/>
            <w:tcBorders>
              <w:top w:val="single" w:sz="8" w:color="auto"/>
              <w:bottom w:val="single" w:sz="8" w:color="auto"/>
            </w:tcBorders>
          </w:tcPr>
          <w:p>
            <w:pPr>
              <w:spacing w:after="0"/>
              <w:rPr>
                <w:sz w:val="12"/>
                <w:szCs w:val="12"/>
                <w:color w:val="auto"/>
              </w:rPr>
            </w:pPr>
          </w:p>
        </w:tc>
        <w:tc>
          <w:tcPr>
            <w:tcW w:w="40" w:type="dxa"/>
            <w:vAlign w:val="bottom"/>
            <w:tcBorders>
              <w:top w:val="single" w:sz="8" w:color="auto"/>
              <w:bottom w:val="single" w:sz="8" w:color="auto"/>
            </w:tcBorders>
          </w:tcPr>
          <w:p>
            <w:pPr>
              <w:spacing w:after="0"/>
              <w:rPr>
                <w:sz w:val="12"/>
                <w:szCs w:val="12"/>
                <w:color w:val="auto"/>
              </w:rPr>
            </w:pPr>
          </w:p>
        </w:tc>
        <w:tc>
          <w:tcPr>
            <w:tcW w:w="820" w:type="dxa"/>
            <w:vAlign w:val="bottom"/>
            <w:tcBorders>
              <w:top w:val="single" w:sz="8" w:color="auto"/>
              <w:bottom w:val="single" w:sz="8" w:color="auto"/>
            </w:tcBorders>
            <w:gridSpan w:val="2"/>
          </w:tcPr>
          <w:p>
            <w:pPr>
              <w:jc w:val="right"/>
              <w:ind w:right="472"/>
              <w:spacing w:after="0" w:line="142" w:lineRule="exact"/>
              <w:rPr>
                <w:sz w:val="20"/>
                <w:szCs w:val="20"/>
                <w:color w:val="auto"/>
              </w:rPr>
            </w:pPr>
            <w:r>
              <w:rPr>
                <w:rFonts w:ascii="Arial" w:cs="Arial" w:eastAsia="Arial" w:hAnsi="Arial"/>
                <w:sz w:val="14"/>
                <w:szCs w:val="14"/>
                <w:b w:val="1"/>
                <w:bCs w:val="1"/>
                <w:color w:val="auto"/>
                <w:w w:val="83"/>
              </w:rPr>
              <w:t>2007</w:t>
            </w:r>
          </w:p>
        </w:tc>
        <w:tc>
          <w:tcPr>
            <w:tcW w:w="2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0" w:type="dxa"/>
            <w:vAlign w:val="bottom"/>
            <w:tcBorders>
              <w:top w:val="single" w:sz="8" w:color="auto"/>
              <w:bottom w:val="single" w:sz="8" w:color="auto"/>
            </w:tcBorders>
          </w:tcPr>
          <w:p>
            <w:pPr>
              <w:spacing w:after="0"/>
              <w:rPr>
                <w:sz w:val="12"/>
                <w:szCs w:val="12"/>
                <w:color w:val="auto"/>
              </w:rPr>
            </w:pPr>
          </w:p>
        </w:tc>
        <w:tc>
          <w:tcPr>
            <w:tcW w:w="420" w:type="dxa"/>
            <w:vAlign w:val="bottom"/>
            <w:tcBorders>
              <w:top w:val="single" w:sz="8" w:color="auto"/>
              <w:bottom w:val="single" w:sz="8" w:color="auto"/>
            </w:tcBorders>
          </w:tcPr>
          <w:p>
            <w:pPr>
              <w:spacing w:after="0"/>
              <w:rPr>
                <w:sz w:val="12"/>
                <w:szCs w:val="12"/>
                <w:color w:val="auto"/>
              </w:rPr>
            </w:pPr>
          </w:p>
        </w:tc>
        <w:tc>
          <w:tcPr>
            <w:tcW w:w="20" w:type="dxa"/>
            <w:vAlign w:val="bottom"/>
            <w:tcBorders>
              <w:top w:val="single" w:sz="8" w:color="auto"/>
              <w:bottom w:val="single" w:sz="8" w:color="auto"/>
            </w:tcBorders>
          </w:tcPr>
          <w:p>
            <w:pPr>
              <w:spacing w:after="0"/>
              <w:rPr>
                <w:sz w:val="12"/>
                <w:szCs w:val="12"/>
                <w:color w:val="auto"/>
              </w:rPr>
            </w:pPr>
          </w:p>
        </w:tc>
        <w:tc>
          <w:tcPr>
            <w:tcW w:w="840" w:type="dxa"/>
            <w:vAlign w:val="bottom"/>
            <w:tcBorders>
              <w:top w:val="single" w:sz="8" w:color="auto"/>
              <w:bottom w:val="single" w:sz="8" w:color="auto"/>
            </w:tcBorders>
            <w:gridSpan w:val="2"/>
          </w:tcPr>
          <w:p>
            <w:pPr>
              <w:jc w:val="right"/>
              <w:ind w:right="492"/>
              <w:spacing w:after="0" w:line="142" w:lineRule="exact"/>
              <w:rPr>
                <w:sz w:val="20"/>
                <w:szCs w:val="20"/>
                <w:color w:val="auto"/>
              </w:rPr>
            </w:pPr>
            <w:r>
              <w:rPr>
                <w:rFonts w:ascii="Arial" w:cs="Arial" w:eastAsia="Arial" w:hAnsi="Arial"/>
                <w:sz w:val="14"/>
                <w:szCs w:val="14"/>
                <w:b w:val="1"/>
                <w:bCs w:val="1"/>
                <w:color w:val="auto"/>
                <w:w w:val="83"/>
              </w:rPr>
              <w:t>2008</w:t>
            </w:r>
          </w:p>
        </w:tc>
        <w:tc>
          <w:tcPr>
            <w:tcW w:w="380" w:type="dxa"/>
            <w:vAlign w:val="bottom"/>
            <w:tcBorders>
              <w:top w:val="single" w:sz="8" w:color="auto"/>
            </w:tcBorders>
          </w:tcPr>
          <w:p>
            <w:pPr>
              <w:spacing w:after="0"/>
              <w:rPr>
                <w:sz w:val="12"/>
                <w:szCs w:val="12"/>
                <w:color w:val="auto"/>
              </w:rPr>
            </w:pPr>
          </w:p>
        </w:tc>
        <w:tc>
          <w:tcPr>
            <w:tcW w:w="100" w:type="dxa"/>
            <w:vAlign w:val="bottom"/>
            <w:tcBorders>
              <w:top w:val="single" w:sz="8" w:color="auto"/>
              <w:bottom w:val="single" w:sz="8" w:color="auto"/>
            </w:tcBorders>
          </w:tcPr>
          <w:p>
            <w:pPr>
              <w:spacing w:after="0"/>
              <w:rPr>
                <w:sz w:val="12"/>
                <w:szCs w:val="12"/>
                <w:color w:val="auto"/>
              </w:rPr>
            </w:pPr>
          </w:p>
        </w:tc>
        <w:tc>
          <w:tcPr>
            <w:tcW w:w="400" w:type="dxa"/>
            <w:vAlign w:val="bottom"/>
            <w:tcBorders>
              <w:top w:val="single" w:sz="8" w:color="auto"/>
              <w:bottom w:val="single" w:sz="8" w:color="auto"/>
            </w:tcBorders>
          </w:tcPr>
          <w:p>
            <w:pPr>
              <w:spacing w:after="0"/>
              <w:rPr>
                <w:sz w:val="12"/>
                <w:szCs w:val="12"/>
                <w:color w:val="auto"/>
              </w:rPr>
            </w:pPr>
          </w:p>
        </w:tc>
        <w:tc>
          <w:tcPr>
            <w:tcW w:w="880" w:type="dxa"/>
            <w:vAlign w:val="bottom"/>
            <w:tcBorders>
              <w:top w:val="single" w:sz="8" w:color="auto"/>
              <w:bottom w:val="single" w:sz="8" w:color="auto"/>
            </w:tcBorders>
            <w:gridSpan w:val="2"/>
          </w:tcPr>
          <w:p>
            <w:pPr>
              <w:jc w:val="right"/>
              <w:ind w:right="560"/>
              <w:spacing w:after="0" w:line="142" w:lineRule="exact"/>
              <w:rPr>
                <w:sz w:val="20"/>
                <w:szCs w:val="20"/>
                <w:color w:val="auto"/>
              </w:rPr>
            </w:pPr>
            <w:r>
              <w:rPr>
                <w:rFonts w:ascii="Arial" w:cs="Arial" w:eastAsia="Arial" w:hAnsi="Arial"/>
                <w:sz w:val="14"/>
                <w:szCs w:val="14"/>
                <w:b w:val="1"/>
                <w:bCs w:val="1"/>
                <w:color w:val="auto"/>
                <w:w w:val="96"/>
              </w:rPr>
              <w:t>2007</w:t>
            </w:r>
          </w:p>
        </w:tc>
        <w:tc>
          <w:tcPr>
            <w:tcW w:w="1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4660" w:type="dxa"/>
            <w:vAlign w:val="bottom"/>
            <w:gridSpan w:val="3"/>
            <w:vMerge w:val="continue"/>
          </w:tcPr>
          <w:p>
            <w:pPr>
              <w:spacing w:after="0"/>
              <w:rPr>
                <w:sz w:val="12"/>
                <w:szCs w:val="12"/>
                <w:color w:val="auto"/>
              </w:rPr>
            </w:pPr>
          </w:p>
        </w:tc>
        <w:tc>
          <w:tcPr>
            <w:tcW w:w="520" w:type="dxa"/>
            <w:vAlign w:val="bottom"/>
            <w:gridSpan w:val="3"/>
          </w:tcPr>
          <w:p>
            <w:pPr>
              <w:jc w:val="right"/>
              <w:ind w:right="40"/>
              <w:spacing w:after="0" w:line="142" w:lineRule="exact"/>
              <w:rPr>
                <w:sz w:val="20"/>
                <w:szCs w:val="20"/>
                <w:color w:val="auto"/>
              </w:rPr>
            </w:pPr>
            <w:r>
              <w:rPr>
                <w:rFonts w:ascii="Arial" w:cs="Arial" w:eastAsia="Arial" w:hAnsi="Arial"/>
                <w:sz w:val="14"/>
                <w:szCs w:val="14"/>
                <w:b w:val="1"/>
                <w:bCs w:val="1"/>
                <w:color w:val="auto"/>
                <w:w w:val="86"/>
              </w:rPr>
              <w:t>Amount</w:t>
            </w:r>
          </w:p>
        </w:tc>
        <w:tc>
          <w:tcPr>
            <w:tcW w:w="240" w:type="dxa"/>
            <w:vAlign w:val="bottom"/>
          </w:tcPr>
          <w:p>
            <w:pPr>
              <w:spacing w:after="0"/>
              <w:rPr>
                <w:sz w:val="12"/>
                <w:szCs w:val="12"/>
                <w:color w:val="auto"/>
              </w:rPr>
            </w:pPr>
          </w:p>
        </w:tc>
        <w:tc>
          <w:tcPr>
            <w:tcW w:w="600" w:type="dxa"/>
            <w:vAlign w:val="bottom"/>
          </w:tcPr>
          <w:p>
            <w:pPr>
              <w:jc w:val="center"/>
              <w:spacing w:after="0" w:line="142" w:lineRule="exact"/>
              <w:rPr>
                <w:sz w:val="20"/>
                <w:szCs w:val="20"/>
                <w:color w:val="auto"/>
              </w:rPr>
            </w:pPr>
            <w:r>
              <w:rPr>
                <w:rFonts w:ascii="Arial" w:cs="Arial" w:eastAsia="Arial" w:hAnsi="Arial"/>
                <w:sz w:val="14"/>
                <w:szCs w:val="14"/>
                <w:b w:val="1"/>
                <w:bCs w:val="1"/>
                <w:color w:val="auto"/>
                <w:w w:val="85"/>
              </w:rPr>
              <w:t>% of Sales</w:t>
            </w:r>
          </w:p>
        </w:tc>
        <w:tc>
          <w:tcPr>
            <w:tcW w:w="380" w:type="dxa"/>
            <w:vAlign w:val="bottom"/>
          </w:tcPr>
          <w:p>
            <w:pPr>
              <w:spacing w:after="0"/>
              <w:rPr>
                <w:sz w:val="12"/>
                <w:szCs w:val="12"/>
                <w:color w:val="auto"/>
              </w:rPr>
            </w:pPr>
          </w:p>
        </w:tc>
        <w:tc>
          <w:tcPr>
            <w:tcW w:w="540" w:type="dxa"/>
            <w:vAlign w:val="bottom"/>
            <w:gridSpan w:val="3"/>
          </w:tcPr>
          <w:p>
            <w:pPr>
              <w:jc w:val="right"/>
              <w:ind w:right="60"/>
              <w:spacing w:after="0" w:line="142" w:lineRule="exact"/>
              <w:rPr>
                <w:sz w:val="20"/>
                <w:szCs w:val="20"/>
                <w:color w:val="auto"/>
              </w:rPr>
            </w:pPr>
            <w:r>
              <w:rPr>
                <w:rFonts w:ascii="Arial" w:cs="Arial" w:eastAsia="Arial" w:hAnsi="Arial"/>
                <w:sz w:val="14"/>
                <w:szCs w:val="14"/>
                <w:b w:val="1"/>
                <w:bCs w:val="1"/>
                <w:color w:val="auto"/>
                <w:w w:val="86"/>
              </w:rPr>
              <w:t>Amount</w:t>
            </w:r>
          </w:p>
        </w:tc>
        <w:tc>
          <w:tcPr>
            <w:tcW w:w="220" w:type="dxa"/>
            <w:vAlign w:val="bottom"/>
          </w:tcPr>
          <w:p>
            <w:pPr>
              <w:spacing w:after="0"/>
              <w:rPr>
                <w:sz w:val="12"/>
                <w:szCs w:val="12"/>
                <w:color w:val="auto"/>
              </w:rPr>
            </w:pPr>
          </w:p>
        </w:tc>
        <w:tc>
          <w:tcPr>
            <w:tcW w:w="600" w:type="dxa"/>
            <w:vAlign w:val="bottom"/>
          </w:tcPr>
          <w:p>
            <w:pPr>
              <w:jc w:val="right"/>
              <w:spacing w:after="0" w:line="142" w:lineRule="exact"/>
              <w:rPr>
                <w:sz w:val="20"/>
                <w:szCs w:val="20"/>
                <w:color w:val="auto"/>
              </w:rPr>
            </w:pPr>
            <w:r>
              <w:rPr>
                <w:rFonts w:ascii="Arial" w:cs="Arial" w:eastAsia="Arial" w:hAnsi="Arial"/>
                <w:sz w:val="14"/>
                <w:szCs w:val="14"/>
                <w:b w:val="1"/>
                <w:bCs w:val="1"/>
                <w:color w:val="auto"/>
                <w:w w:val="82"/>
              </w:rPr>
              <w:t>% of Sales</w:t>
            </w:r>
          </w:p>
        </w:tc>
        <w:tc>
          <w:tcPr>
            <w:tcW w:w="2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520" w:type="dxa"/>
            <w:vAlign w:val="bottom"/>
            <w:gridSpan w:val="3"/>
          </w:tcPr>
          <w:p>
            <w:pPr>
              <w:spacing w:after="0" w:line="142" w:lineRule="exact"/>
              <w:rPr>
                <w:sz w:val="20"/>
                <w:szCs w:val="20"/>
                <w:color w:val="auto"/>
              </w:rPr>
            </w:pPr>
            <w:r>
              <w:rPr>
                <w:rFonts w:ascii="Arial" w:cs="Arial" w:eastAsia="Arial" w:hAnsi="Arial"/>
                <w:sz w:val="14"/>
                <w:szCs w:val="14"/>
                <w:b w:val="1"/>
                <w:bCs w:val="1"/>
                <w:color w:val="auto"/>
                <w:w w:val="94"/>
              </w:rPr>
              <w:t>Amount</w:t>
            </w:r>
          </w:p>
        </w:tc>
        <w:tc>
          <w:tcPr>
            <w:tcW w:w="220" w:type="dxa"/>
            <w:vAlign w:val="bottom"/>
          </w:tcPr>
          <w:p>
            <w:pPr>
              <w:spacing w:after="0"/>
              <w:rPr>
                <w:sz w:val="12"/>
                <w:szCs w:val="12"/>
                <w:color w:val="auto"/>
              </w:rPr>
            </w:pPr>
          </w:p>
        </w:tc>
        <w:tc>
          <w:tcPr>
            <w:tcW w:w="620" w:type="dxa"/>
            <w:vAlign w:val="bottom"/>
          </w:tcPr>
          <w:p>
            <w:pPr>
              <w:spacing w:after="0" w:line="142" w:lineRule="exact"/>
              <w:rPr>
                <w:sz w:val="20"/>
                <w:szCs w:val="20"/>
                <w:color w:val="auto"/>
              </w:rPr>
            </w:pPr>
            <w:r>
              <w:rPr>
                <w:rFonts w:ascii="Arial" w:cs="Arial" w:eastAsia="Arial" w:hAnsi="Arial"/>
                <w:sz w:val="14"/>
                <w:szCs w:val="14"/>
                <w:b w:val="1"/>
                <w:bCs w:val="1"/>
                <w:color w:val="auto"/>
                <w:w w:val="85"/>
              </w:rPr>
              <w:t>% of Sales</w:t>
            </w:r>
          </w:p>
        </w:tc>
        <w:tc>
          <w:tcPr>
            <w:tcW w:w="380" w:type="dxa"/>
            <w:vAlign w:val="bottom"/>
          </w:tcPr>
          <w:p>
            <w:pPr>
              <w:spacing w:after="0"/>
              <w:rPr>
                <w:sz w:val="12"/>
                <w:szCs w:val="12"/>
                <w:color w:val="auto"/>
              </w:rPr>
            </w:pPr>
          </w:p>
        </w:tc>
        <w:tc>
          <w:tcPr>
            <w:tcW w:w="500" w:type="dxa"/>
            <w:vAlign w:val="bottom"/>
            <w:gridSpan w:val="2"/>
          </w:tcPr>
          <w:p>
            <w:pPr>
              <w:ind w:left="20"/>
              <w:spacing w:after="0" w:line="142" w:lineRule="exact"/>
              <w:rPr>
                <w:sz w:val="20"/>
                <w:szCs w:val="20"/>
                <w:color w:val="auto"/>
              </w:rPr>
            </w:pPr>
            <w:r>
              <w:rPr>
                <w:rFonts w:ascii="Arial" w:cs="Arial" w:eastAsia="Arial" w:hAnsi="Arial"/>
                <w:sz w:val="14"/>
                <w:szCs w:val="14"/>
                <w:b w:val="1"/>
                <w:bCs w:val="1"/>
                <w:color w:val="auto"/>
                <w:w w:val="86"/>
              </w:rPr>
              <w:t>Amount</w:t>
            </w:r>
          </w:p>
        </w:tc>
        <w:tc>
          <w:tcPr>
            <w:tcW w:w="880" w:type="dxa"/>
            <w:vAlign w:val="bottom"/>
            <w:gridSpan w:val="2"/>
          </w:tcPr>
          <w:p>
            <w:pPr>
              <w:jc w:val="right"/>
              <w:spacing w:after="0" w:line="142" w:lineRule="exact"/>
              <w:rPr>
                <w:sz w:val="20"/>
                <w:szCs w:val="20"/>
                <w:color w:val="auto"/>
              </w:rPr>
            </w:pPr>
            <w:r>
              <w:rPr>
                <w:rFonts w:ascii="Arial" w:cs="Arial" w:eastAsia="Arial" w:hAnsi="Arial"/>
                <w:sz w:val="14"/>
                <w:szCs w:val="14"/>
                <w:b w:val="1"/>
                <w:bCs w:val="1"/>
                <w:color w:val="auto"/>
              </w:rPr>
              <w:t>% of Sales</w:t>
            </w:r>
          </w:p>
        </w:tc>
        <w:tc>
          <w:tcPr>
            <w:tcW w:w="1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0"/>
        </w:trPr>
        <w:tc>
          <w:tcPr>
            <w:tcW w:w="20" w:type="dxa"/>
            <w:vAlign w:val="bottom"/>
            <w:vMerge w:val="restart"/>
          </w:tcPr>
          <w:p>
            <w:pPr>
              <w:spacing w:after="0" w:line="20" w:lineRule="exact"/>
              <w:rPr>
                <w:sz w:val="1"/>
                <w:szCs w:val="1"/>
                <w:color w:val="auto"/>
              </w:rPr>
            </w:pPr>
          </w:p>
        </w:tc>
        <w:tc>
          <w:tcPr>
            <w:tcW w:w="1340" w:type="dxa"/>
            <w:vAlign w:val="bottom"/>
            <w:shd w:val="clear" w:color="auto" w:fill="000000"/>
          </w:tcPr>
          <w:p>
            <w:pPr>
              <w:spacing w:after="0" w:line="20" w:lineRule="exact"/>
              <w:rPr>
                <w:sz w:val="1"/>
                <w:szCs w:val="1"/>
                <w:color w:val="auto"/>
              </w:rPr>
            </w:pPr>
          </w:p>
        </w:tc>
        <w:tc>
          <w:tcPr>
            <w:tcW w:w="330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420" w:type="dxa"/>
            <w:vAlign w:val="bottom"/>
            <w:shd w:val="clear" w:color="auto" w:fill="000000"/>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vMerge w:val="continue"/>
          </w:tcPr>
          <w:p>
            <w:pPr>
              <w:spacing w:after="0"/>
              <w:rPr>
                <w:sz w:val="18"/>
                <w:szCs w:val="18"/>
                <w:color w:val="auto"/>
              </w:rPr>
            </w:pPr>
          </w:p>
        </w:tc>
        <w:tc>
          <w:tcPr>
            <w:tcW w:w="1340" w:type="dxa"/>
            <w:vAlign w:val="bottom"/>
            <w:shd w:val="clear" w:color="auto" w:fill="CCEEFF"/>
          </w:tcPr>
          <w:p>
            <w:pPr>
              <w:jc w:val="center"/>
              <w:ind w:right="32"/>
              <w:spacing w:after="0"/>
              <w:rPr>
                <w:sz w:val="20"/>
                <w:szCs w:val="20"/>
                <w:color w:val="auto"/>
              </w:rPr>
            </w:pPr>
            <w:r>
              <w:rPr>
                <w:rFonts w:ascii="Arial" w:cs="Arial" w:eastAsia="Arial" w:hAnsi="Arial"/>
                <w:sz w:val="18"/>
                <w:szCs w:val="18"/>
                <w:color w:val="auto"/>
                <w:w w:val="88"/>
              </w:rPr>
              <w:t>Company-funded</w:t>
            </w:r>
          </w:p>
        </w:tc>
        <w:tc>
          <w:tcPr>
            <w:tcW w:w="3300" w:type="dxa"/>
            <w:vAlign w:val="bottom"/>
            <w:shd w:val="clear" w:color="auto" w:fill="CCEEFF"/>
          </w:tcPr>
          <w:p>
            <w:pPr>
              <w:spacing w:after="0"/>
              <w:rPr>
                <w:sz w:val="18"/>
                <w:szCs w:val="18"/>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3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434</w:t>
            </w:r>
          </w:p>
        </w:tc>
        <w:tc>
          <w:tcPr>
            <w:tcW w:w="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2.8%</w:t>
            </w: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3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416</w:t>
            </w:r>
          </w:p>
        </w:tc>
        <w:tc>
          <w:tcPr>
            <w:tcW w:w="1080" w:type="dxa"/>
            <w:vAlign w:val="bottom"/>
            <w:gridSpan w:val="3"/>
            <w:shd w:val="clear" w:color="auto" w:fill="CCEEFF"/>
          </w:tcPr>
          <w:p>
            <w:pPr>
              <w:jc w:val="right"/>
              <w:ind w:right="120"/>
              <w:spacing w:after="0"/>
              <w:rPr>
                <w:sz w:val="20"/>
                <w:szCs w:val="20"/>
                <w:color w:val="auto"/>
              </w:rPr>
            </w:pPr>
            <w:r>
              <w:rPr>
                <w:rFonts w:ascii="Arial" w:cs="Arial" w:eastAsia="Arial" w:hAnsi="Arial"/>
                <w:sz w:val="18"/>
                <w:szCs w:val="18"/>
                <w:color w:val="auto"/>
              </w:rPr>
              <w:t>3.0%</w:t>
            </w:r>
          </w:p>
        </w:tc>
        <w:tc>
          <w:tcPr>
            <w:tcW w:w="220" w:type="dxa"/>
            <w:vAlign w:val="bottom"/>
            <w:gridSpan w:val="2"/>
            <w:shd w:val="clear" w:color="auto" w:fill="CCEEFF"/>
          </w:tcPr>
          <w:p>
            <w:pPr>
              <w:ind w:left="140"/>
              <w:spacing w:after="0"/>
              <w:rPr>
                <w:sz w:val="20"/>
                <w:szCs w:val="20"/>
                <w:color w:val="auto"/>
              </w:rPr>
            </w:pPr>
            <w:r>
              <w:rPr>
                <w:rFonts w:ascii="Arial" w:cs="Arial" w:eastAsia="Arial" w:hAnsi="Arial"/>
                <w:sz w:val="15"/>
                <w:szCs w:val="15"/>
                <w:color w:val="auto"/>
                <w:w w:val="71"/>
              </w:rPr>
              <w:t>$</w:t>
            </w:r>
          </w:p>
        </w:tc>
        <w:tc>
          <w:tcPr>
            <w:tcW w:w="4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845</w:t>
            </w:r>
          </w:p>
        </w:tc>
        <w:tc>
          <w:tcPr>
            <w:tcW w:w="1220" w:type="dxa"/>
            <w:vAlign w:val="bottom"/>
            <w:gridSpan w:val="3"/>
            <w:shd w:val="clear" w:color="auto" w:fill="CCEEFF"/>
          </w:tcPr>
          <w:p>
            <w:pPr>
              <w:jc w:val="right"/>
              <w:ind w:right="240"/>
              <w:spacing w:after="0"/>
              <w:rPr>
                <w:sz w:val="20"/>
                <w:szCs w:val="20"/>
                <w:color w:val="auto"/>
              </w:rPr>
            </w:pPr>
            <w:r>
              <w:rPr>
                <w:rFonts w:ascii="Arial" w:cs="Arial" w:eastAsia="Arial" w:hAnsi="Arial"/>
                <w:sz w:val="18"/>
                <w:szCs w:val="18"/>
                <w:color w:val="auto"/>
              </w:rPr>
              <w:t>2.9%</w:t>
            </w:r>
          </w:p>
        </w:tc>
        <w:tc>
          <w:tcPr>
            <w:tcW w:w="100" w:type="dxa"/>
            <w:vAlign w:val="bottom"/>
            <w:shd w:val="clear" w:color="auto" w:fill="CCEEFF"/>
          </w:tcPr>
          <w:p>
            <w:pPr>
              <w:spacing w:after="0"/>
              <w:rPr>
                <w:sz w:val="20"/>
                <w:szCs w:val="20"/>
                <w:color w:val="auto"/>
              </w:rPr>
            </w:pPr>
            <w:r>
              <w:rPr>
                <w:rFonts w:ascii="Arial" w:cs="Arial" w:eastAsia="Arial" w:hAnsi="Arial"/>
                <w:sz w:val="18"/>
                <w:szCs w:val="18"/>
                <w:color w:val="auto"/>
                <w:w w:val="79"/>
              </w:rPr>
              <w:t>$</w:t>
            </w:r>
          </w:p>
        </w:tc>
        <w:tc>
          <w:tcPr>
            <w:tcW w:w="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798</w:t>
            </w:r>
          </w:p>
        </w:tc>
        <w:tc>
          <w:tcPr>
            <w:tcW w:w="102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3.1%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640" w:type="dxa"/>
            <w:vAlign w:val="bottom"/>
            <w:gridSpan w:val="2"/>
          </w:tcPr>
          <w:p>
            <w:pPr>
              <w:jc w:val="center"/>
              <w:ind w:right="3420"/>
              <w:spacing w:after="0"/>
              <w:rPr>
                <w:sz w:val="20"/>
                <w:szCs w:val="20"/>
                <w:color w:val="auto"/>
              </w:rPr>
            </w:pPr>
            <w:r>
              <w:rPr>
                <w:rFonts w:ascii="Arial" w:cs="Arial" w:eastAsia="Arial" w:hAnsi="Arial"/>
                <w:sz w:val="18"/>
                <w:szCs w:val="18"/>
                <w:color w:val="auto"/>
                <w:w w:val="87"/>
              </w:rPr>
              <w:t>Customer-funded</w:t>
            </w:r>
          </w:p>
        </w:tc>
        <w:tc>
          <w:tcPr>
            <w:tcW w:w="160" w:type="dxa"/>
            <w:vAlign w:val="bottom"/>
          </w:tcPr>
          <w:p>
            <w:pPr>
              <w:spacing w:after="0"/>
              <w:rPr>
                <w:sz w:val="18"/>
                <w:szCs w:val="18"/>
                <w:color w:val="auto"/>
              </w:rPr>
            </w:pPr>
          </w:p>
        </w:tc>
        <w:tc>
          <w:tcPr>
            <w:tcW w:w="340" w:type="dxa"/>
            <w:vAlign w:val="bottom"/>
          </w:tcPr>
          <w:p>
            <w:pPr>
              <w:jc w:val="right"/>
              <w:spacing w:after="0"/>
              <w:rPr>
                <w:sz w:val="20"/>
                <w:szCs w:val="20"/>
                <w:color w:val="auto"/>
              </w:rPr>
            </w:pPr>
            <w:r>
              <w:rPr>
                <w:rFonts w:ascii="Arial" w:cs="Arial" w:eastAsia="Arial" w:hAnsi="Arial"/>
                <w:sz w:val="18"/>
                <w:szCs w:val="18"/>
                <w:color w:val="auto"/>
              </w:rPr>
              <w:t>509</w:t>
            </w:r>
          </w:p>
        </w:tc>
        <w:tc>
          <w:tcPr>
            <w:tcW w:w="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80" w:type="dxa"/>
            <w:vAlign w:val="bottom"/>
            <w:gridSpan w:val="2"/>
          </w:tcPr>
          <w:p>
            <w:pPr>
              <w:jc w:val="right"/>
              <w:ind w:right="240"/>
              <w:spacing w:after="0"/>
              <w:rPr>
                <w:sz w:val="20"/>
                <w:szCs w:val="20"/>
                <w:color w:val="auto"/>
              </w:rPr>
            </w:pPr>
            <w:r>
              <w:rPr>
                <w:rFonts w:ascii="Arial" w:cs="Arial" w:eastAsia="Arial" w:hAnsi="Arial"/>
                <w:sz w:val="18"/>
                <w:szCs w:val="18"/>
                <w:color w:val="auto"/>
              </w:rPr>
              <w:t>3.3%</w:t>
            </w:r>
          </w:p>
        </w:tc>
        <w:tc>
          <w:tcPr>
            <w:tcW w:w="160" w:type="dxa"/>
            <w:vAlign w:val="bottom"/>
          </w:tcPr>
          <w:p>
            <w:pPr>
              <w:spacing w:after="0"/>
              <w:rPr>
                <w:sz w:val="18"/>
                <w:szCs w:val="18"/>
                <w:color w:val="auto"/>
              </w:rPr>
            </w:pPr>
          </w:p>
        </w:tc>
        <w:tc>
          <w:tcPr>
            <w:tcW w:w="380" w:type="dxa"/>
            <w:vAlign w:val="bottom"/>
            <w:gridSpan w:val="2"/>
          </w:tcPr>
          <w:p>
            <w:pPr>
              <w:jc w:val="right"/>
              <w:ind w:right="40"/>
              <w:spacing w:after="0"/>
              <w:rPr>
                <w:sz w:val="20"/>
                <w:szCs w:val="20"/>
                <w:color w:val="auto"/>
              </w:rPr>
            </w:pPr>
            <w:r>
              <w:rPr>
                <w:rFonts w:ascii="Arial" w:cs="Arial" w:eastAsia="Arial" w:hAnsi="Arial"/>
                <w:sz w:val="18"/>
                <w:szCs w:val="18"/>
                <w:color w:val="auto"/>
              </w:rPr>
              <w:t>454</w:t>
            </w:r>
          </w:p>
        </w:tc>
        <w:tc>
          <w:tcPr>
            <w:tcW w:w="1080" w:type="dxa"/>
            <w:vAlign w:val="bottom"/>
            <w:gridSpan w:val="3"/>
          </w:tcPr>
          <w:p>
            <w:pPr>
              <w:jc w:val="right"/>
              <w:ind w:right="120"/>
              <w:spacing w:after="0"/>
              <w:rPr>
                <w:sz w:val="20"/>
                <w:szCs w:val="20"/>
                <w:color w:val="auto"/>
              </w:rPr>
            </w:pPr>
            <w:r>
              <w:rPr>
                <w:rFonts w:ascii="Arial" w:cs="Arial" w:eastAsia="Arial" w:hAnsi="Arial"/>
                <w:sz w:val="18"/>
                <w:szCs w:val="18"/>
                <w:color w:val="auto"/>
              </w:rPr>
              <w:t>3.3%</w:t>
            </w: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40" w:type="dxa"/>
            <w:vAlign w:val="bottom"/>
            <w:gridSpan w:val="2"/>
          </w:tcPr>
          <w:p>
            <w:pPr>
              <w:jc w:val="right"/>
              <w:ind w:right="20"/>
              <w:spacing w:after="0"/>
              <w:rPr>
                <w:sz w:val="20"/>
                <w:szCs w:val="20"/>
                <w:color w:val="auto"/>
              </w:rPr>
            </w:pPr>
            <w:r>
              <w:rPr>
                <w:rFonts w:ascii="Arial" w:cs="Arial" w:eastAsia="Arial" w:hAnsi="Arial"/>
                <w:sz w:val="18"/>
                <w:szCs w:val="18"/>
                <w:color w:val="auto"/>
                <w:w w:val="88"/>
              </w:rPr>
              <w:t>1,037</w:t>
            </w:r>
          </w:p>
        </w:tc>
        <w:tc>
          <w:tcPr>
            <w:tcW w:w="1220" w:type="dxa"/>
            <w:vAlign w:val="bottom"/>
            <w:gridSpan w:val="3"/>
          </w:tcPr>
          <w:p>
            <w:pPr>
              <w:jc w:val="right"/>
              <w:ind w:right="240"/>
              <w:spacing w:after="0"/>
              <w:rPr>
                <w:sz w:val="20"/>
                <w:szCs w:val="20"/>
                <w:color w:val="auto"/>
              </w:rPr>
            </w:pPr>
            <w:r>
              <w:rPr>
                <w:rFonts w:ascii="Arial" w:cs="Arial" w:eastAsia="Arial" w:hAnsi="Arial"/>
                <w:sz w:val="18"/>
                <w:szCs w:val="18"/>
                <w:color w:val="auto"/>
              </w:rPr>
              <w:t>3.6%</w:t>
            </w:r>
          </w:p>
        </w:tc>
        <w:tc>
          <w:tcPr>
            <w:tcW w:w="100" w:type="dxa"/>
            <w:vAlign w:val="bottom"/>
          </w:tcPr>
          <w:p>
            <w:pPr>
              <w:spacing w:after="0"/>
              <w:rPr>
                <w:sz w:val="18"/>
                <w:szCs w:val="18"/>
                <w:color w:val="auto"/>
              </w:rPr>
            </w:pPr>
          </w:p>
        </w:tc>
        <w:tc>
          <w:tcPr>
            <w:tcW w:w="400" w:type="dxa"/>
            <w:vAlign w:val="bottom"/>
          </w:tcPr>
          <w:p>
            <w:pPr>
              <w:jc w:val="right"/>
              <w:spacing w:after="0"/>
              <w:rPr>
                <w:sz w:val="20"/>
                <w:szCs w:val="20"/>
                <w:color w:val="auto"/>
              </w:rPr>
            </w:pPr>
            <w:r>
              <w:rPr>
                <w:rFonts w:ascii="Arial" w:cs="Arial" w:eastAsia="Arial" w:hAnsi="Arial"/>
                <w:sz w:val="18"/>
                <w:szCs w:val="18"/>
                <w:color w:val="auto"/>
              </w:rPr>
              <w:t>885</w:t>
            </w:r>
          </w:p>
        </w:tc>
        <w:tc>
          <w:tcPr>
            <w:tcW w:w="1020" w:type="dxa"/>
            <w:vAlign w:val="bottom"/>
            <w:gridSpan w:val="3"/>
          </w:tcPr>
          <w:p>
            <w:pPr>
              <w:jc w:val="right"/>
              <w:spacing w:after="0"/>
              <w:rPr>
                <w:sz w:val="20"/>
                <w:szCs w:val="20"/>
                <w:color w:val="auto"/>
              </w:rPr>
            </w:pPr>
            <w:r>
              <w:rPr>
                <w:rFonts w:ascii="Arial" w:cs="Arial" w:eastAsia="Arial" w:hAnsi="Arial"/>
                <w:sz w:val="18"/>
                <w:szCs w:val="18"/>
                <w:color w:val="auto"/>
              </w:rPr>
              <w:t>3.4%</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1340" w:type="dxa"/>
            <w:vAlign w:val="bottom"/>
          </w:tcPr>
          <w:p>
            <w:pPr>
              <w:spacing w:after="0"/>
              <w:rPr>
                <w:sz w:val="2"/>
                <w:szCs w:val="2"/>
                <w:color w:val="auto"/>
              </w:rPr>
            </w:pPr>
          </w:p>
        </w:tc>
        <w:tc>
          <w:tcPr>
            <w:tcW w:w="3300" w:type="dxa"/>
            <w:vAlign w:val="bottom"/>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340" w:type="dxa"/>
            <w:vAlign w:val="bottom"/>
            <w:shd w:val="clear" w:color="auto" w:fill="000000"/>
          </w:tcPr>
          <w:p>
            <w:pPr>
              <w:spacing w:after="0"/>
              <w:rPr>
                <w:sz w:val="2"/>
                <w:szCs w:val="2"/>
                <w:color w:val="auto"/>
              </w:rPr>
            </w:pPr>
          </w:p>
        </w:tc>
        <w:tc>
          <w:tcPr>
            <w:tcW w:w="20" w:type="dxa"/>
            <w:vAlign w:val="bottom"/>
          </w:tcPr>
          <w:p>
            <w:pPr>
              <w:spacing w:after="0"/>
              <w:rPr>
                <w:sz w:val="2"/>
                <w:szCs w:val="2"/>
                <w:color w:val="auto"/>
              </w:rPr>
            </w:pPr>
          </w:p>
        </w:tc>
        <w:tc>
          <w:tcPr>
            <w:tcW w:w="240" w:type="dxa"/>
            <w:vAlign w:val="bottom"/>
          </w:tcPr>
          <w:p>
            <w:pPr>
              <w:spacing w:after="0"/>
              <w:rPr>
                <w:sz w:val="2"/>
                <w:szCs w:val="2"/>
                <w:color w:val="auto"/>
              </w:rPr>
            </w:pPr>
          </w:p>
        </w:tc>
        <w:tc>
          <w:tcPr>
            <w:tcW w:w="600" w:type="dxa"/>
            <w:vAlign w:val="bottom"/>
            <w:shd w:val="clear" w:color="auto" w:fill="000000"/>
          </w:tcPr>
          <w:p>
            <w:pPr>
              <w:spacing w:after="0"/>
              <w:rPr>
                <w:sz w:val="2"/>
                <w:szCs w:val="2"/>
                <w:color w:val="auto"/>
              </w:rPr>
            </w:pPr>
          </w:p>
        </w:tc>
        <w:tc>
          <w:tcPr>
            <w:tcW w:w="380" w:type="dxa"/>
            <w:vAlign w:val="bottom"/>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340" w:type="dxa"/>
            <w:vAlign w:val="bottom"/>
            <w:shd w:val="clear" w:color="auto" w:fill="000000"/>
          </w:tcPr>
          <w:p>
            <w:pPr>
              <w:spacing w:after="0"/>
              <w:rPr>
                <w:sz w:val="2"/>
                <w:szCs w:val="2"/>
                <w:color w:val="auto"/>
              </w:rPr>
            </w:pPr>
          </w:p>
        </w:tc>
        <w:tc>
          <w:tcPr>
            <w:tcW w:w="40" w:type="dxa"/>
            <w:vAlign w:val="bottom"/>
          </w:tcPr>
          <w:p>
            <w:pPr>
              <w:spacing w:after="0"/>
              <w:rPr>
                <w:sz w:val="2"/>
                <w:szCs w:val="2"/>
                <w:color w:val="auto"/>
              </w:rPr>
            </w:pPr>
          </w:p>
        </w:tc>
        <w:tc>
          <w:tcPr>
            <w:tcW w:w="220" w:type="dxa"/>
            <w:vAlign w:val="bottom"/>
          </w:tcPr>
          <w:p>
            <w:pPr>
              <w:spacing w:after="0"/>
              <w:rPr>
                <w:sz w:val="2"/>
                <w:szCs w:val="2"/>
                <w:color w:val="auto"/>
              </w:rPr>
            </w:pPr>
          </w:p>
        </w:tc>
        <w:tc>
          <w:tcPr>
            <w:tcW w:w="600" w:type="dxa"/>
            <w:vAlign w:val="bottom"/>
            <w:shd w:val="clear" w:color="auto" w:fill="000000"/>
          </w:tcPr>
          <w:p>
            <w:pPr>
              <w:spacing w:after="0"/>
              <w:rPr>
                <w:sz w:val="2"/>
                <w:szCs w:val="2"/>
                <w:color w:val="auto"/>
              </w:rPr>
            </w:pPr>
          </w:p>
        </w:tc>
        <w:tc>
          <w:tcPr>
            <w:tcW w:w="260" w:type="dxa"/>
            <w:vAlign w:val="bottom"/>
          </w:tcPr>
          <w:p>
            <w:pPr>
              <w:spacing w:after="0"/>
              <w:rPr>
                <w:sz w:val="2"/>
                <w:szCs w:val="2"/>
                <w:color w:val="auto"/>
              </w:rPr>
            </w:pPr>
          </w:p>
        </w:tc>
        <w:tc>
          <w:tcPr>
            <w:tcW w:w="14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420" w:type="dxa"/>
            <w:vAlign w:val="bottom"/>
            <w:shd w:val="clear" w:color="auto" w:fill="000000"/>
          </w:tcPr>
          <w:p>
            <w:pPr>
              <w:spacing w:after="0"/>
              <w:rPr>
                <w:sz w:val="2"/>
                <w:szCs w:val="2"/>
                <w:color w:val="auto"/>
              </w:rPr>
            </w:pPr>
          </w:p>
        </w:tc>
        <w:tc>
          <w:tcPr>
            <w:tcW w:w="20" w:type="dxa"/>
            <w:vAlign w:val="bottom"/>
          </w:tcPr>
          <w:p>
            <w:pPr>
              <w:spacing w:after="0"/>
              <w:rPr>
                <w:sz w:val="2"/>
                <w:szCs w:val="2"/>
                <w:color w:val="auto"/>
              </w:rPr>
            </w:pPr>
          </w:p>
        </w:tc>
        <w:tc>
          <w:tcPr>
            <w:tcW w:w="220" w:type="dxa"/>
            <w:vAlign w:val="bottom"/>
          </w:tcPr>
          <w:p>
            <w:pPr>
              <w:spacing w:after="0"/>
              <w:rPr>
                <w:sz w:val="2"/>
                <w:szCs w:val="2"/>
                <w:color w:val="auto"/>
              </w:rPr>
            </w:pPr>
          </w:p>
        </w:tc>
        <w:tc>
          <w:tcPr>
            <w:tcW w:w="620" w:type="dxa"/>
            <w:vAlign w:val="bottom"/>
            <w:shd w:val="clear" w:color="auto" w:fill="000000"/>
          </w:tcPr>
          <w:p>
            <w:pPr>
              <w:spacing w:after="0"/>
              <w:rPr>
                <w:sz w:val="2"/>
                <w:szCs w:val="2"/>
                <w:color w:val="auto"/>
              </w:rPr>
            </w:pPr>
          </w:p>
        </w:tc>
        <w:tc>
          <w:tcPr>
            <w:tcW w:w="38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400" w:type="dxa"/>
            <w:vAlign w:val="bottom"/>
            <w:shd w:val="clear" w:color="auto" w:fill="000000"/>
          </w:tcPr>
          <w:p>
            <w:pPr>
              <w:spacing w:after="0"/>
              <w:rPr>
                <w:sz w:val="2"/>
                <w:szCs w:val="2"/>
                <w:color w:val="auto"/>
              </w:rPr>
            </w:pPr>
          </w:p>
        </w:tc>
        <w:tc>
          <w:tcPr>
            <w:tcW w:w="260" w:type="dxa"/>
            <w:vAlign w:val="bottom"/>
          </w:tcPr>
          <w:p>
            <w:pPr>
              <w:spacing w:after="0"/>
              <w:rPr>
                <w:sz w:val="2"/>
                <w:szCs w:val="2"/>
                <w:color w:val="auto"/>
              </w:rPr>
            </w:pPr>
          </w:p>
        </w:tc>
        <w:tc>
          <w:tcPr>
            <w:tcW w:w="620" w:type="dxa"/>
            <w:vAlign w:val="bottom"/>
            <w:shd w:val="clear" w:color="auto" w:fill="000000"/>
          </w:tcPr>
          <w:p>
            <w:pPr>
              <w:spacing w:after="0"/>
              <w:rPr>
                <w:sz w:val="2"/>
                <w:szCs w:val="2"/>
                <w:color w:val="auto"/>
              </w:rPr>
            </w:pPr>
          </w:p>
        </w:tc>
        <w:tc>
          <w:tcPr>
            <w:tcW w:w="1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tcPr>
          <w:p>
            <w:pPr>
              <w:spacing w:after="0"/>
              <w:rPr>
                <w:sz w:val="18"/>
                <w:szCs w:val="18"/>
                <w:color w:val="auto"/>
              </w:rPr>
            </w:pPr>
          </w:p>
        </w:tc>
        <w:tc>
          <w:tcPr>
            <w:tcW w:w="4640" w:type="dxa"/>
            <w:vAlign w:val="bottom"/>
            <w:gridSpan w:val="2"/>
            <w:shd w:val="clear" w:color="auto" w:fill="CCEEFF"/>
          </w:tcPr>
          <w:p>
            <w:pPr>
              <w:jc w:val="center"/>
              <w:ind w:right="3440"/>
              <w:spacing w:after="0"/>
              <w:rPr>
                <w:sz w:val="20"/>
                <w:szCs w:val="20"/>
                <w:color w:val="auto"/>
              </w:rPr>
            </w:pPr>
            <w:r>
              <w:rPr>
                <w:rFonts w:ascii="Arial" w:cs="Arial" w:eastAsia="Arial" w:hAnsi="Arial"/>
                <w:sz w:val="18"/>
                <w:szCs w:val="18"/>
                <w:color w:val="auto"/>
                <w:w w:val="89"/>
              </w:rPr>
              <w:t>Total</w:t>
            </w: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3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943</w:t>
            </w:r>
          </w:p>
        </w:tc>
        <w:tc>
          <w:tcPr>
            <w:tcW w:w="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6.1%</w:t>
            </w: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3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870</w:t>
            </w:r>
          </w:p>
        </w:tc>
        <w:tc>
          <w:tcPr>
            <w:tcW w:w="1080" w:type="dxa"/>
            <w:vAlign w:val="bottom"/>
            <w:gridSpan w:val="3"/>
            <w:shd w:val="clear" w:color="auto" w:fill="CCEEFF"/>
          </w:tcPr>
          <w:p>
            <w:pPr>
              <w:jc w:val="right"/>
              <w:ind w:right="120"/>
              <w:spacing w:after="0"/>
              <w:rPr>
                <w:sz w:val="20"/>
                <w:szCs w:val="20"/>
                <w:color w:val="auto"/>
              </w:rPr>
            </w:pPr>
            <w:r>
              <w:rPr>
                <w:rFonts w:ascii="Arial" w:cs="Arial" w:eastAsia="Arial" w:hAnsi="Arial"/>
                <w:sz w:val="18"/>
                <w:szCs w:val="18"/>
                <w:color w:val="auto"/>
              </w:rPr>
              <w:t>6.3%</w:t>
            </w:r>
          </w:p>
        </w:tc>
        <w:tc>
          <w:tcPr>
            <w:tcW w:w="220" w:type="dxa"/>
            <w:vAlign w:val="bottom"/>
            <w:gridSpan w:val="2"/>
            <w:shd w:val="clear" w:color="auto" w:fill="CCEEFF"/>
          </w:tcPr>
          <w:p>
            <w:pPr>
              <w:ind w:left="140"/>
              <w:spacing w:after="0"/>
              <w:rPr>
                <w:sz w:val="20"/>
                <w:szCs w:val="20"/>
                <w:color w:val="auto"/>
              </w:rPr>
            </w:pPr>
            <w:r>
              <w:rPr>
                <w:rFonts w:ascii="Arial" w:cs="Arial" w:eastAsia="Arial" w:hAnsi="Arial"/>
                <w:sz w:val="15"/>
                <w:szCs w:val="15"/>
                <w:u w:val="single" w:color="auto"/>
                <w:color w:val="auto"/>
                <w:w w:val="71"/>
              </w:rPr>
              <w:t>$</w:t>
            </w:r>
          </w:p>
        </w:tc>
        <w:tc>
          <w:tcPr>
            <w:tcW w:w="4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w w:val="88"/>
              </w:rPr>
              <w:t>1,882</w:t>
            </w:r>
          </w:p>
        </w:tc>
        <w:tc>
          <w:tcPr>
            <w:tcW w:w="1220" w:type="dxa"/>
            <w:vAlign w:val="bottom"/>
            <w:gridSpan w:val="3"/>
            <w:shd w:val="clear" w:color="auto" w:fill="CCEEFF"/>
          </w:tcPr>
          <w:p>
            <w:pPr>
              <w:jc w:val="right"/>
              <w:ind w:right="240"/>
              <w:spacing w:after="0"/>
              <w:rPr>
                <w:sz w:val="20"/>
                <w:szCs w:val="20"/>
                <w:color w:val="auto"/>
              </w:rPr>
            </w:pPr>
            <w:r>
              <w:rPr>
                <w:rFonts w:ascii="Arial" w:cs="Arial" w:eastAsia="Arial" w:hAnsi="Arial"/>
                <w:sz w:val="18"/>
                <w:szCs w:val="18"/>
                <w:color w:val="auto"/>
              </w:rPr>
              <w:t>6.5%</w:t>
            </w:r>
          </w:p>
        </w:tc>
        <w:tc>
          <w:tcPr>
            <w:tcW w:w="100" w:type="dxa"/>
            <w:vAlign w:val="bottom"/>
            <w:shd w:val="clear" w:color="auto" w:fill="CCEEFF"/>
          </w:tcPr>
          <w:p>
            <w:pPr>
              <w:spacing w:after="0"/>
              <w:rPr>
                <w:sz w:val="20"/>
                <w:szCs w:val="20"/>
                <w:color w:val="auto"/>
              </w:rPr>
            </w:pPr>
            <w:r>
              <w:rPr>
                <w:rFonts w:ascii="Arial" w:cs="Arial" w:eastAsia="Arial" w:hAnsi="Arial"/>
                <w:sz w:val="18"/>
                <w:szCs w:val="18"/>
                <w:u w:val="single" w:color="auto"/>
                <w:color w:val="auto"/>
                <w:w w:val="79"/>
              </w:rPr>
              <w:t>$</w:t>
            </w:r>
          </w:p>
        </w:tc>
        <w:tc>
          <w:tcPr>
            <w:tcW w:w="4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4"/>
              </w:rPr>
              <w:t>1,683</w:t>
            </w:r>
          </w:p>
        </w:tc>
        <w:tc>
          <w:tcPr>
            <w:tcW w:w="102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6.5%</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340" w:type="dxa"/>
            <w:vAlign w:val="bottom"/>
          </w:tcPr>
          <w:p>
            <w:pPr>
              <w:spacing w:after="0" w:line="20" w:lineRule="exact"/>
              <w:rPr>
                <w:sz w:val="1"/>
                <w:szCs w:val="1"/>
                <w:color w:val="auto"/>
              </w:rPr>
            </w:pPr>
          </w:p>
        </w:tc>
        <w:tc>
          <w:tcPr>
            <w:tcW w:w="330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57"/>
        </w:trPr>
        <w:tc>
          <w:tcPr>
            <w:tcW w:w="2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33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40" w:type="dxa"/>
            <w:vAlign w:val="bottom"/>
            <w:gridSpan w:val="2"/>
          </w:tcPr>
          <w:p>
            <w:pPr>
              <w:jc w:val="right"/>
              <w:ind w:right="140"/>
              <w:spacing w:after="0"/>
              <w:rPr>
                <w:sz w:val="20"/>
                <w:szCs w:val="20"/>
                <w:color w:val="auto"/>
              </w:rPr>
            </w:pPr>
            <w:r>
              <w:rPr>
                <w:rFonts w:ascii="Arial" w:cs="Arial" w:eastAsia="Arial" w:hAnsi="Arial"/>
                <w:sz w:val="18"/>
                <w:szCs w:val="18"/>
                <w:color w:val="auto"/>
              </w:rPr>
              <w:t>24</w:t>
            </w:r>
          </w:p>
        </w:tc>
        <w:tc>
          <w:tcPr>
            <w:tcW w:w="3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459" w:right="239" w:bottom="1440" w:gutter="0" w:footer="0" w:header="0"/>
        </w:sectPr>
      </w:pPr>
    </w:p>
    <w:bookmarkStart w:id="24" w:name="page25"/>
    <w:bookmarkEnd w:id="2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spacing w:after="0"/>
        <w:rPr>
          <w:sz w:val="20"/>
          <w:szCs w:val="20"/>
          <w:color w:val="auto"/>
        </w:rPr>
      </w:pPr>
      <w:r>
        <w:rPr>
          <w:rFonts w:ascii="Arial" w:cs="Arial" w:eastAsia="Arial" w:hAnsi="Arial"/>
          <w:sz w:val="15"/>
          <w:szCs w:val="15"/>
          <w:color w:val="auto"/>
        </w:rPr>
        <w:t>The increase in company-funded research and development in the second quarter and first six months of 2008, compared to the same periods in 2007, was driven</w:t>
      </w:r>
    </w:p>
    <w:p>
      <w:pPr>
        <w:spacing w:after="0" w:line="57" w:lineRule="exact"/>
        <w:rPr>
          <w:sz w:val="20"/>
          <w:szCs w:val="20"/>
          <w:color w:val="auto"/>
        </w:rPr>
      </w:pPr>
    </w:p>
    <w:p>
      <w:pPr>
        <w:spacing w:after="0" w:line="261" w:lineRule="auto"/>
        <w:rPr>
          <w:sz w:val="20"/>
          <w:szCs w:val="20"/>
          <w:color w:val="auto"/>
        </w:rPr>
      </w:pPr>
      <w:r>
        <w:rPr>
          <w:rFonts w:ascii="Arial" w:cs="Arial" w:eastAsia="Arial" w:hAnsi="Arial"/>
          <w:sz w:val="16"/>
          <w:szCs w:val="16"/>
          <w:color w:val="auto"/>
        </w:rPr>
        <w:t>largely by continued efforts on Pratt &amp; Whitney’s next generation product family, which includes the Geared Turbofan</w:t>
      </w:r>
      <w:r>
        <w:rPr>
          <w:rFonts w:ascii="Arial" w:cs="Arial" w:eastAsia="Arial" w:hAnsi="Arial"/>
          <w:sz w:val="20"/>
          <w:szCs w:val="20"/>
          <w:color w:val="auto"/>
          <w:vertAlign w:val="superscript"/>
        </w:rPr>
        <w:t>TM</w:t>
      </w:r>
      <w:r>
        <w:rPr>
          <w:rFonts w:ascii="Arial" w:cs="Arial" w:eastAsia="Arial" w:hAnsi="Arial"/>
          <w:sz w:val="16"/>
          <w:szCs w:val="16"/>
          <w:color w:val="auto"/>
        </w:rPr>
        <w:t>(GTF) engine. Company-funded research and development spending for the full year 2008 is expected to increase by approximately $200 million from 2007 levels, led by Pratt &amp; Whitney’s engineering investments on aerospace programs such as the GTF. Company funded research and development spending is subject to the variable nature of program development schedules. The increase in customer-funded research and development spending in the second quarter of 2008, compared to the same period in 2007, relates largely to increased engineering effort in space programs at Pratt &amp; Whitney and space and military programs at Hamilton Sundstrand. The increase in customer-funded research and development spending for the first six months of 2008, as compared to the same period of 2007, relates largely to increased engineering effort in space programs at Pratt &amp; Whitney and space and military programs at Hamilton Sundstrand and military programs at Sikorsky.</w:t>
      </w:r>
    </w:p>
    <w:p>
      <w:pPr>
        <w:spacing w:after="0" w:line="332" w:lineRule="exact"/>
        <w:rPr>
          <w:sz w:val="20"/>
          <w:szCs w:val="20"/>
          <w:color w:val="auto"/>
        </w:rPr>
      </w:pPr>
    </w:p>
    <w:p>
      <w:pPr>
        <w:jc w:val="center"/>
        <w:spacing w:after="0"/>
        <w:rPr>
          <w:sz w:val="20"/>
          <w:szCs w:val="20"/>
          <w:color w:val="auto"/>
        </w:rPr>
      </w:pPr>
      <w:r>
        <w:rPr>
          <w:rFonts w:ascii="Arial" w:cs="Arial" w:eastAsia="Arial" w:hAnsi="Arial"/>
          <w:sz w:val="18"/>
          <w:szCs w:val="18"/>
          <w:b w:val="1"/>
          <w:bCs w:val="1"/>
          <w:i w:val="1"/>
          <w:iCs w:val="1"/>
          <w:u w:val="single" w:color="auto"/>
          <w:color w:val="auto"/>
        </w:rPr>
        <w:t>Selling, General and Administrative</w:t>
      </w:r>
    </w:p>
    <w:p>
      <w:pPr>
        <w:spacing w:after="0" w:line="195"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6580" w:type="dxa"/>
            <w:vAlign w:val="bottom"/>
          </w:tcPr>
          <w:p>
            <w:pPr>
              <w:spacing w:after="0"/>
              <w:rPr>
                <w:sz w:val="14"/>
                <w:szCs w:val="14"/>
                <w:color w:val="auto"/>
              </w:rPr>
            </w:pPr>
          </w:p>
        </w:tc>
        <w:tc>
          <w:tcPr>
            <w:tcW w:w="1880" w:type="dxa"/>
            <w:vAlign w:val="bottom"/>
            <w:gridSpan w:val="4"/>
          </w:tcPr>
          <w:p>
            <w:pPr>
              <w:jc w:val="right"/>
              <w:ind w:right="720"/>
              <w:spacing w:after="0"/>
              <w:rPr>
                <w:sz w:val="20"/>
                <w:szCs w:val="20"/>
                <w:color w:val="auto"/>
              </w:rPr>
            </w:pPr>
            <w:r>
              <w:rPr>
                <w:rFonts w:ascii="Arial" w:cs="Arial" w:eastAsia="Arial" w:hAnsi="Arial"/>
                <w:sz w:val="14"/>
                <w:szCs w:val="14"/>
                <w:b w:val="1"/>
                <w:bCs w:val="1"/>
                <w:color w:val="auto"/>
              </w:rPr>
              <w:t>Quarter Ended</w:t>
            </w:r>
          </w:p>
        </w:tc>
        <w:tc>
          <w:tcPr>
            <w:tcW w:w="1600" w:type="dxa"/>
            <w:vAlign w:val="bottom"/>
            <w:gridSpan w:val="4"/>
          </w:tcPr>
          <w:p>
            <w:pPr>
              <w:jc w:val="right"/>
              <w:ind w:right="340"/>
              <w:spacing w:after="0"/>
              <w:rPr>
                <w:sz w:val="20"/>
                <w:szCs w:val="20"/>
                <w:color w:val="auto"/>
              </w:rPr>
            </w:pPr>
            <w:r>
              <w:rPr>
                <w:rFonts w:ascii="Arial" w:cs="Arial" w:eastAsia="Arial" w:hAnsi="Arial"/>
                <w:sz w:val="14"/>
                <w:szCs w:val="14"/>
                <w:b w:val="1"/>
                <w:bCs w:val="1"/>
                <w:color w:val="auto"/>
              </w:rPr>
              <w:t>Six Months Ended</w:t>
            </w:r>
          </w:p>
        </w:tc>
        <w:tc>
          <w:tcPr>
            <w:tcW w:w="0" w:type="dxa"/>
            <w:vAlign w:val="bottom"/>
          </w:tcPr>
          <w:p>
            <w:pPr>
              <w:spacing w:after="0"/>
              <w:rPr>
                <w:sz w:val="1"/>
                <w:szCs w:val="1"/>
                <w:color w:val="auto"/>
              </w:rPr>
            </w:pPr>
          </w:p>
        </w:tc>
      </w:tr>
      <w:tr>
        <w:trPr>
          <w:trHeight w:val="161"/>
        </w:trPr>
        <w:tc>
          <w:tcPr>
            <w:tcW w:w="1360" w:type="dxa"/>
            <w:vAlign w:val="bottom"/>
            <w:gridSpan w:val="2"/>
            <w:vMerge w:val="restart"/>
          </w:tcPr>
          <w:p>
            <w:pPr>
              <w:spacing w:after="0"/>
              <w:rPr>
                <w:sz w:val="20"/>
                <w:szCs w:val="20"/>
                <w:color w:val="auto"/>
              </w:rPr>
            </w:pPr>
            <w:r>
              <w:rPr>
                <w:rFonts w:ascii="Arial" w:cs="Arial" w:eastAsia="Arial" w:hAnsi="Arial"/>
                <w:sz w:val="14"/>
                <w:szCs w:val="14"/>
                <w:b w:val="1"/>
                <w:bCs w:val="1"/>
                <w:color w:val="auto"/>
                <w:w w:val="92"/>
              </w:rPr>
              <w:t>(in millions of dollars)</w:t>
            </w:r>
          </w:p>
        </w:tc>
        <w:tc>
          <w:tcPr>
            <w:tcW w:w="6580" w:type="dxa"/>
            <w:vAlign w:val="bottom"/>
          </w:tcPr>
          <w:p>
            <w:pPr>
              <w:spacing w:after="0"/>
              <w:rPr>
                <w:sz w:val="14"/>
                <w:szCs w:val="14"/>
                <w:color w:val="auto"/>
              </w:rPr>
            </w:pPr>
          </w:p>
        </w:tc>
        <w:tc>
          <w:tcPr>
            <w:tcW w:w="1880" w:type="dxa"/>
            <w:vAlign w:val="bottom"/>
            <w:gridSpan w:val="4"/>
          </w:tcPr>
          <w:p>
            <w:pPr>
              <w:jc w:val="right"/>
              <w:ind w:right="920"/>
              <w:spacing w:after="0"/>
              <w:rPr>
                <w:sz w:val="20"/>
                <w:szCs w:val="20"/>
                <w:color w:val="auto"/>
              </w:rPr>
            </w:pPr>
            <w:r>
              <w:rPr>
                <w:rFonts w:ascii="Arial" w:cs="Arial" w:eastAsia="Arial" w:hAnsi="Arial"/>
                <w:sz w:val="14"/>
                <w:szCs w:val="14"/>
                <w:b w:val="1"/>
                <w:bCs w:val="1"/>
                <w:color w:val="auto"/>
              </w:rPr>
              <w:t>June 30,</w:t>
            </w:r>
          </w:p>
        </w:tc>
        <w:tc>
          <w:tcPr>
            <w:tcW w:w="1600" w:type="dxa"/>
            <w:vAlign w:val="bottom"/>
            <w:gridSpan w:val="4"/>
          </w:tcPr>
          <w:p>
            <w:pPr>
              <w:jc w:val="right"/>
              <w:ind w:right="640"/>
              <w:spacing w:after="0"/>
              <w:rPr>
                <w:sz w:val="20"/>
                <w:szCs w:val="20"/>
                <w:color w:val="auto"/>
              </w:rPr>
            </w:pPr>
            <w:r>
              <w:rPr>
                <w:rFonts w:ascii="Arial" w:cs="Arial" w:eastAsia="Arial" w:hAnsi="Arial"/>
                <w:sz w:val="14"/>
                <w:szCs w:val="14"/>
                <w:b w:val="1"/>
                <w:bCs w:val="1"/>
                <w:color w:val="auto"/>
              </w:rPr>
              <w:t>June 30,</w:t>
            </w:r>
          </w:p>
        </w:tc>
        <w:tc>
          <w:tcPr>
            <w:tcW w:w="0" w:type="dxa"/>
            <w:vAlign w:val="bottom"/>
          </w:tcPr>
          <w:p>
            <w:pPr>
              <w:spacing w:after="0"/>
              <w:rPr>
                <w:sz w:val="1"/>
                <w:szCs w:val="1"/>
                <w:color w:val="auto"/>
              </w:rPr>
            </w:pPr>
          </w:p>
        </w:tc>
      </w:tr>
      <w:tr>
        <w:trPr>
          <w:trHeight w:val="142"/>
        </w:trPr>
        <w:tc>
          <w:tcPr>
            <w:tcW w:w="1360" w:type="dxa"/>
            <w:vAlign w:val="bottom"/>
            <w:gridSpan w:val="2"/>
            <w:vMerge w:val="continue"/>
          </w:tcPr>
          <w:p>
            <w:pPr>
              <w:spacing w:after="0"/>
              <w:rPr>
                <w:sz w:val="12"/>
                <w:szCs w:val="12"/>
                <w:color w:val="auto"/>
              </w:rPr>
            </w:pPr>
          </w:p>
        </w:tc>
        <w:tc>
          <w:tcPr>
            <w:tcW w:w="6580" w:type="dxa"/>
            <w:vAlign w:val="bottom"/>
          </w:tcPr>
          <w:p>
            <w:pPr>
              <w:spacing w:after="0"/>
              <w:rPr>
                <w:sz w:val="12"/>
                <w:szCs w:val="12"/>
                <w:color w:val="auto"/>
              </w:rPr>
            </w:pPr>
          </w:p>
        </w:tc>
        <w:tc>
          <w:tcPr>
            <w:tcW w:w="500" w:type="dxa"/>
            <w:vAlign w:val="bottom"/>
            <w:tcBorders>
              <w:top w:val="single" w:sz="8" w:color="auto"/>
            </w:tcBorders>
          </w:tcPr>
          <w:p>
            <w:pPr>
              <w:jc w:val="right"/>
              <w:ind w:right="52"/>
              <w:spacing w:after="0" w:line="142" w:lineRule="exact"/>
              <w:rPr>
                <w:sz w:val="20"/>
                <w:szCs w:val="20"/>
                <w:color w:val="auto"/>
              </w:rPr>
            </w:pPr>
            <w:r>
              <w:rPr>
                <w:rFonts w:ascii="Arial" w:cs="Arial" w:eastAsia="Arial" w:hAnsi="Arial"/>
                <w:sz w:val="14"/>
                <w:szCs w:val="14"/>
                <w:b w:val="1"/>
                <w:bCs w:val="1"/>
                <w:color w:val="auto"/>
              </w:rPr>
              <w:t>2008</w:t>
            </w:r>
          </w:p>
        </w:tc>
        <w:tc>
          <w:tcPr>
            <w:tcW w:w="440" w:type="dxa"/>
            <w:vAlign w:val="bottom"/>
            <w:tcBorders>
              <w:top w:val="single" w:sz="8" w:color="auto"/>
            </w:tcBorders>
          </w:tcPr>
          <w:p>
            <w:pPr>
              <w:spacing w:after="0"/>
              <w:rPr>
                <w:sz w:val="12"/>
                <w:szCs w:val="12"/>
                <w:color w:val="auto"/>
              </w:rPr>
            </w:pPr>
          </w:p>
        </w:tc>
        <w:tc>
          <w:tcPr>
            <w:tcW w:w="500" w:type="dxa"/>
            <w:vAlign w:val="bottom"/>
            <w:tcBorders>
              <w:top w:val="single" w:sz="8" w:color="auto"/>
            </w:tcBorders>
          </w:tcPr>
          <w:p>
            <w:pPr>
              <w:jc w:val="right"/>
              <w:ind w:right="39"/>
              <w:spacing w:after="0" w:line="142" w:lineRule="exact"/>
              <w:rPr>
                <w:sz w:val="20"/>
                <w:szCs w:val="20"/>
                <w:color w:val="auto"/>
              </w:rPr>
            </w:pPr>
            <w:r>
              <w:rPr>
                <w:rFonts w:ascii="Arial" w:cs="Arial" w:eastAsia="Arial" w:hAnsi="Arial"/>
                <w:sz w:val="14"/>
                <w:szCs w:val="14"/>
                <w:b w:val="1"/>
                <w:bCs w:val="1"/>
                <w:color w:val="auto"/>
              </w:rPr>
              <w:t>2007</w:t>
            </w:r>
          </w:p>
        </w:tc>
        <w:tc>
          <w:tcPr>
            <w:tcW w:w="440" w:type="dxa"/>
            <w:vAlign w:val="bottom"/>
          </w:tcPr>
          <w:p>
            <w:pPr>
              <w:spacing w:after="0"/>
              <w:rPr>
                <w:sz w:val="12"/>
                <w:szCs w:val="12"/>
                <w:color w:val="auto"/>
              </w:rPr>
            </w:pPr>
          </w:p>
        </w:tc>
        <w:tc>
          <w:tcPr>
            <w:tcW w:w="500" w:type="dxa"/>
            <w:vAlign w:val="bottom"/>
            <w:tcBorders>
              <w:top w:val="single" w:sz="8" w:color="auto"/>
            </w:tcBorders>
          </w:tcPr>
          <w:p>
            <w:pPr>
              <w:jc w:val="right"/>
              <w:ind w:right="24"/>
              <w:spacing w:after="0" w:line="142" w:lineRule="exact"/>
              <w:rPr>
                <w:sz w:val="20"/>
                <w:szCs w:val="20"/>
                <w:color w:val="auto"/>
              </w:rPr>
            </w:pPr>
            <w:r>
              <w:rPr>
                <w:rFonts w:ascii="Arial" w:cs="Arial" w:eastAsia="Arial" w:hAnsi="Arial"/>
                <w:sz w:val="14"/>
                <w:szCs w:val="14"/>
                <w:b w:val="1"/>
                <w:bCs w:val="1"/>
                <w:color w:val="auto"/>
              </w:rPr>
              <w:t>2008</w:t>
            </w:r>
          </w:p>
        </w:tc>
        <w:tc>
          <w:tcPr>
            <w:tcW w:w="460" w:type="dxa"/>
            <w:vAlign w:val="bottom"/>
            <w:tcBorders>
              <w:top w:val="single" w:sz="8" w:color="auto"/>
            </w:tcBorders>
          </w:tcPr>
          <w:p>
            <w:pPr>
              <w:spacing w:after="0"/>
              <w:rPr>
                <w:sz w:val="12"/>
                <w:szCs w:val="12"/>
                <w:color w:val="auto"/>
              </w:rPr>
            </w:pPr>
          </w:p>
        </w:tc>
        <w:tc>
          <w:tcPr>
            <w:tcW w:w="500" w:type="dxa"/>
            <w:vAlign w:val="bottom"/>
            <w:tcBorders>
              <w:top w:val="single" w:sz="8" w:color="auto"/>
            </w:tcBorders>
          </w:tcPr>
          <w:p>
            <w:pPr>
              <w:jc w:val="right"/>
              <w:ind w:right="39"/>
              <w:spacing w:after="0" w:line="142" w:lineRule="exact"/>
              <w:rPr>
                <w:sz w:val="20"/>
                <w:szCs w:val="20"/>
                <w:color w:val="auto"/>
              </w:rPr>
            </w:pPr>
            <w:r>
              <w:rPr>
                <w:rFonts w:ascii="Arial" w:cs="Arial" w:eastAsia="Arial" w:hAnsi="Arial"/>
                <w:sz w:val="14"/>
                <w:szCs w:val="14"/>
                <w:b w:val="1"/>
                <w:bCs w:val="1"/>
                <w:color w:val="auto"/>
              </w:rPr>
              <w:t>2007</w:t>
            </w:r>
          </w:p>
        </w:tc>
        <w:tc>
          <w:tcPr>
            <w:tcW w:w="1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0"/>
        </w:trPr>
        <w:tc>
          <w:tcPr>
            <w:tcW w:w="20" w:type="dxa"/>
            <w:vAlign w:val="bottom"/>
            <w:vMerge w:val="restart"/>
          </w:tcPr>
          <w:p>
            <w:pPr>
              <w:spacing w:after="0" w:line="20" w:lineRule="exact"/>
              <w:rPr>
                <w:sz w:val="1"/>
                <w:szCs w:val="1"/>
                <w:color w:val="auto"/>
              </w:rPr>
            </w:pPr>
          </w:p>
        </w:tc>
        <w:tc>
          <w:tcPr>
            <w:tcW w:w="1340" w:type="dxa"/>
            <w:vAlign w:val="bottom"/>
            <w:shd w:val="clear" w:color="auto" w:fill="000000"/>
          </w:tcPr>
          <w:p>
            <w:pPr>
              <w:spacing w:after="0" w:line="20" w:lineRule="exact"/>
              <w:rPr>
                <w:sz w:val="1"/>
                <w:szCs w:val="1"/>
                <w:color w:val="auto"/>
              </w:rPr>
            </w:pPr>
          </w:p>
        </w:tc>
        <w:tc>
          <w:tcPr>
            <w:tcW w:w="6580" w:type="dxa"/>
            <w:vAlign w:val="bottom"/>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vMerge w:val="continue"/>
          </w:tcPr>
          <w:p>
            <w:pPr>
              <w:spacing w:after="0"/>
              <w:rPr>
                <w:sz w:val="18"/>
                <w:szCs w:val="18"/>
                <w:color w:val="auto"/>
              </w:rPr>
            </w:pPr>
          </w:p>
        </w:tc>
        <w:tc>
          <w:tcPr>
            <w:tcW w:w="1340" w:type="dxa"/>
            <w:vAlign w:val="bottom"/>
            <w:shd w:val="clear" w:color="auto" w:fill="CCEEFF"/>
          </w:tcPr>
          <w:p>
            <w:pPr>
              <w:spacing w:after="0"/>
              <w:rPr>
                <w:sz w:val="20"/>
                <w:szCs w:val="20"/>
                <w:color w:val="auto"/>
              </w:rPr>
            </w:pPr>
            <w:r>
              <w:rPr>
                <w:rFonts w:ascii="Arial" w:cs="Arial" w:eastAsia="Arial" w:hAnsi="Arial"/>
                <w:sz w:val="18"/>
                <w:szCs w:val="18"/>
                <w:color w:val="auto"/>
              </w:rPr>
              <w:t>Total expenses</w:t>
            </w:r>
          </w:p>
        </w:tc>
        <w:tc>
          <w:tcPr>
            <w:tcW w:w="7520" w:type="dxa"/>
            <w:vAlign w:val="bottom"/>
            <w:gridSpan w:val="3"/>
            <w:shd w:val="clear" w:color="auto" w:fill="CCEEFF"/>
          </w:tcPr>
          <w:p>
            <w:pPr>
              <w:jc w:val="right"/>
              <w:ind w:right="440"/>
              <w:spacing w:after="0"/>
              <w:rPr>
                <w:sz w:val="20"/>
                <w:szCs w:val="20"/>
                <w:color w:val="auto"/>
              </w:rPr>
            </w:pPr>
            <w:r>
              <w:rPr>
                <w:rFonts w:ascii="Arial" w:cs="Arial" w:eastAsia="Arial" w:hAnsi="Arial"/>
                <w:sz w:val="18"/>
                <w:szCs w:val="18"/>
                <w:color w:val="auto"/>
              </w:rPr>
              <w:t>$1,775</w:t>
            </w: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7"/>
              </w:rPr>
              <w:t>$1,494</w:t>
            </w:r>
          </w:p>
        </w:tc>
        <w:tc>
          <w:tcPr>
            <w:tcW w:w="440" w:type="dxa"/>
            <w:vAlign w:val="bottom"/>
            <w:shd w:val="clear" w:color="auto" w:fill="CCEEFF"/>
          </w:tcPr>
          <w:p>
            <w:pPr>
              <w:spacing w:after="0"/>
              <w:rPr>
                <w:sz w:val="18"/>
                <w:szCs w:val="18"/>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7"/>
              </w:rPr>
              <w:t>$3,410</w:t>
            </w:r>
          </w:p>
        </w:tc>
        <w:tc>
          <w:tcPr>
            <w:tcW w:w="46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w w:val="87"/>
              </w:rPr>
              <w:t>$2,890</w:t>
            </w: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1340" w:type="dxa"/>
            <w:vAlign w:val="bottom"/>
          </w:tcPr>
          <w:p>
            <w:pPr>
              <w:spacing w:after="0"/>
              <w:rPr>
                <w:sz w:val="20"/>
                <w:szCs w:val="20"/>
                <w:color w:val="auto"/>
              </w:rPr>
            </w:pPr>
            <w:r>
              <w:rPr>
                <w:rFonts w:ascii="Arial" w:cs="Arial" w:eastAsia="Arial" w:hAnsi="Arial"/>
                <w:sz w:val="18"/>
                <w:szCs w:val="18"/>
                <w:color w:val="auto"/>
                <w:w w:val="82"/>
              </w:rPr>
              <w:t>Percentage of sales</w:t>
            </w:r>
          </w:p>
        </w:tc>
        <w:tc>
          <w:tcPr>
            <w:tcW w:w="7520" w:type="dxa"/>
            <w:vAlign w:val="bottom"/>
            <w:gridSpan w:val="3"/>
          </w:tcPr>
          <w:p>
            <w:pPr>
              <w:jc w:val="right"/>
              <w:ind w:right="300"/>
              <w:spacing w:after="0"/>
              <w:rPr>
                <w:sz w:val="20"/>
                <w:szCs w:val="20"/>
                <w:color w:val="auto"/>
              </w:rPr>
            </w:pPr>
            <w:r>
              <w:rPr>
                <w:rFonts w:ascii="Arial" w:cs="Arial" w:eastAsia="Arial" w:hAnsi="Arial"/>
                <w:sz w:val="18"/>
                <w:szCs w:val="18"/>
                <w:color w:val="auto"/>
              </w:rPr>
              <w:t>11.4%</w:t>
            </w:r>
          </w:p>
        </w:tc>
        <w:tc>
          <w:tcPr>
            <w:tcW w:w="940" w:type="dxa"/>
            <w:vAlign w:val="bottom"/>
            <w:gridSpan w:val="2"/>
          </w:tcPr>
          <w:p>
            <w:pPr>
              <w:jc w:val="right"/>
              <w:ind w:right="300"/>
              <w:spacing w:after="0"/>
              <w:rPr>
                <w:sz w:val="20"/>
                <w:szCs w:val="20"/>
                <w:color w:val="auto"/>
              </w:rPr>
            </w:pPr>
            <w:r>
              <w:rPr>
                <w:rFonts w:ascii="Arial" w:cs="Arial" w:eastAsia="Arial" w:hAnsi="Arial"/>
                <w:sz w:val="18"/>
                <w:szCs w:val="18"/>
                <w:color w:val="auto"/>
              </w:rPr>
              <w:t>10.9%</w:t>
            </w:r>
          </w:p>
        </w:tc>
        <w:tc>
          <w:tcPr>
            <w:tcW w:w="960" w:type="dxa"/>
            <w:vAlign w:val="bottom"/>
            <w:gridSpan w:val="2"/>
          </w:tcPr>
          <w:p>
            <w:pPr>
              <w:jc w:val="right"/>
              <w:ind w:right="300"/>
              <w:spacing w:after="0"/>
              <w:rPr>
                <w:sz w:val="20"/>
                <w:szCs w:val="20"/>
                <w:color w:val="auto"/>
              </w:rPr>
            </w:pPr>
            <w:r>
              <w:rPr>
                <w:rFonts w:ascii="Arial" w:cs="Arial" w:eastAsia="Arial" w:hAnsi="Arial"/>
                <w:sz w:val="18"/>
                <w:szCs w:val="18"/>
                <w:color w:val="auto"/>
              </w:rPr>
              <w:t>11.7%</w:t>
            </w:r>
          </w:p>
        </w:tc>
        <w:tc>
          <w:tcPr>
            <w:tcW w:w="640" w:type="dxa"/>
            <w:vAlign w:val="bottom"/>
            <w:gridSpan w:val="2"/>
          </w:tcPr>
          <w:p>
            <w:pPr>
              <w:jc w:val="right"/>
              <w:spacing w:after="0"/>
              <w:rPr>
                <w:sz w:val="20"/>
                <w:szCs w:val="20"/>
                <w:color w:val="auto"/>
              </w:rPr>
            </w:pPr>
            <w:r>
              <w:rPr>
                <w:rFonts w:ascii="Arial" w:cs="Arial" w:eastAsia="Arial" w:hAnsi="Arial"/>
                <w:sz w:val="18"/>
                <w:szCs w:val="18"/>
                <w:color w:val="auto"/>
              </w:rPr>
              <w:t>11.2%</w:t>
            </w:r>
          </w:p>
        </w:tc>
        <w:tc>
          <w:tcPr>
            <w:tcW w:w="0" w:type="dxa"/>
            <w:vAlign w:val="bottom"/>
          </w:tcPr>
          <w:p>
            <w:pPr>
              <w:spacing w:after="0"/>
              <w:rPr>
                <w:sz w:val="1"/>
                <w:szCs w:val="1"/>
                <w:color w:val="auto"/>
              </w:rPr>
            </w:pPr>
          </w:p>
        </w:tc>
      </w:tr>
    </w:tbl>
    <w:p>
      <w:pPr>
        <w:spacing w:after="0" w:line="147" w:lineRule="exact"/>
        <w:rPr>
          <w:sz w:val="20"/>
          <w:szCs w:val="20"/>
          <w:color w:val="auto"/>
        </w:rPr>
      </w:pPr>
    </w:p>
    <w:p>
      <w:pPr>
        <w:ind w:right="20" w:firstLine="456"/>
        <w:spacing w:after="0" w:line="291" w:lineRule="auto"/>
        <w:rPr>
          <w:sz w:val="20"/>
          <w:szCs w:val="20"/>
          <w:color w:val="auto"/>
        </w:rPr>
      </w:pPr>
      <w:r>
        <w:rPr>
          <w:rFonts w:ascii="Arial" w:cs="Arial" w:eastAsia="Arial" w:hAnsi="Arial"/>
          <w:sz w:val="16"/>
          <w:szCs w:val="16"/>
          <w:color w:val="auto"/>
        </w:rPr>
        <w:t>The increase in selling, general and administrative expenses for the quarter and six months ended June 30, 2008, compared to the same periods of 2007, is due primarily to general increases across the businesses in support of volume, higher restructuring charges, and the adverse impact of foreign currency translation. Selling, general and administrative expenses as a percentage of sales in the second quarter of 2008 as compared to the same period in the prior year increased primarily due to higher year over year restructuring charges (approximately 40 basis points) and the impact of recent acquisitions at UTC Fire &amp; Security. For the first six months of 2008, selling, general and administrative expenses increased as a percentage of sales primarily due to the impact of recent acquisitions at UTC Fire &amp; Security and higher year over year restructuring charges (approximately 20 basis points).</w:t>
      </w:r>
    </w:p>
    <w:p>
      <w:pPr>
        <w:spacing w:after="0" w:line="282" w:lineRule="exact"/>
        <w:rPr>
          <w:sz w:val="20"/>
          <w:szCs w:val="20"/>
          <w:color w:val="auto"/>
        </w:rPr>
      </w:pPr>
    </w:p>
    <w:p>
      <w:pPr>
        <w:jc w:val="center"/>
        <w:spacing w:after="0"/>
        <w:rPr>
          <w:sz w:val="20"/>
          <w:szCs w:val="20"/>
          <w:color w:val="auto"/>
        </w:rPr>
      </w:pPr>
      <w:r>
        <w:rPr>
          <w:rFonts w:ascii="Arial" w:cs="Arial" w:eastAsia="Arial" w:hAnsi="Arial"/>
          <w:sz w:val="18"/>
          <w:szCs w:val="18"/>
          <w:b w:val="1"/>
          <w:bCs w:val="1"/>
          <w:i w:val="1"/>
          <w:iCs w:val="1"/>
          <w:u w:val="single" w:color="auto"/>
          <w:color w:val="auto"/>
        </w:rPr>
        <w:t>Interest Expense</w:t>
      </w:r>
    </w:p>
    <w:p>
      <w:pPr>
        <w:spacing w:after="0" w:line="195"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3540" w:type="dxa"/>
            <w:vAlign w:val="bottom"/>
          </w:tcPr>
          <w:p>
            <w:pPr>
              <w:spacing w:after="0"/>
              <w:rPr>
                <w:sz w:val="14"/>
                <w:szCs w:val="14"/>
                <w:color w:val="auto"/>
              </w:rPr>
            </w:pPr>
          </w:p>
        </w:tc>
        <w:tc>
          <w:tcPr>
            <w:tcW w:w="3420" w:type="dxa"/>
            <w:vAlign w:val="bottom"/>
          </w:tcPr>
          <w:p>
            <w:pPr>
              <w:spacing w:after="0"/>
              <w:rPr>
                <w:sz w:val="14"/>
                <w:szCs w:val="14"/>
                <w:color w:val="auto"/>
              </w:rPr>
            </w:pPr>
          </w:p>
        </w:tc>
        <w:tc>
          <w:tcPr>
            <w:tcW w:w="1480" w:type="dxa"/>
            <w:vAlign w:val="bottom"/>
            <w:gridSpan w:val="4"/>
          </w:tcPr>
          <w:p>
            <w:pPr>
              <w:jc w:val="right"/>
              <w:ind w:right="440"/>
              <w:spacing w:after="0"/>
              <w:rPr>
                <w:sz w:val="20"/>
                <w:szCs w:val="20"/>
                <w:color w:val="auto"/>
              </w:rPr>
            </w:pPr>
            <w:r>
              <w:rPr>
                <w:rFonts w:ascii="Arial" w:cs="Arial" w:eastAsia="Arial" w:hAnsi="Arial"/>
                <w:sz w:val="14"/>
                <w:szCs w:val="14"/>
                <w:b w:val="1"/>
                <w:bCs w:val="1"/>
                <w:color w:val="auto"/>
              </w:rPr>
              <w:t>Quarter Ended</w:t>
            </w:r>
          </w:p>
        </w:tc>
        <w:tc>
          <w:tcPr>
            <w:tcW w:w="140" w:type="dxa"/>
            <w:vAlign w:val="bottom"/>
          </w:tcPr>
          <w:p>
            <w:pPr>
              <w:spacing w:after="0"/>
              <w:rPr>
                <w:sz w:val="14"/>
                <w:szCs w:val="14"/>
                <w:color w:val="auto"/>
              </w:rPr>
            </w:pPr>
          </w:p>
        </w:tc>
        <w:tc>
          <w:tcPr>
            <w:tcW w:w="1480" w:type="dxa"/>
            <w:vAlign w:val="bottom"/>
            <w:gridSpan w:val="5"/>
          </w:tcPr>
          <w:p>
            <w:pPr>
              <w:jc w:val="center"/>
              <w:ind w:right="140"/>
              <w:spacing w:after="0"/>
              <w:rPr>
                <w:sz w:val="20"/>
                <w:szCs w:val="20"/>
                <w:color w:val="auto"/>
              </w:rPr>
            </w:pPr>
            <w:r>
              <w:rPr>
                <w:rFonts w:ascii="Arial" w:cs="Arial" w:eastAsia="Arial" w:hAnsi="Arial"/>
                <w:sz w:val="14"/>
                <w:szCs w:val="14"/>
                <w:b w:val="1"/>
                <w:bCs w:val="1"/>
                <w:color w:val="auto"/>
                <w:w w:val="87"/>
              </w:rPr>
              <w:t>Six Months Ended</w:t>
            </w:r>
          </w:p>
        </w:tc>
        <w:tc>
          <w:tcPr>
            <w:tcW w:w="0" w:type="dxa"/>
            <w:vAlign w:val="bottom"/>
          </w:tcPr>
          <w:p>
            <w:pPr>
              <w:spacing w:after="0"/>
              <w:rPr>
                <w:sz w:val="1"/>
                <w:szCs w:val="1"/>
                <w:color w:val="auto"/>
              </w:rPr>
            </w:pPr>
          </w:p>
        </w:tc>
      </w:tr>
      <w:tr>
        <w:trPr>
          <w:trHeight w:val="161"/>
        </w:trPr>
        <w:tc>
          <w:tcPr>
            <w:tcW w:w="4900" w:type="dxa"/>
            <w:vAlign w:val="bottom"/>
            <w:gridSpan w:val="3"/>
            <w:vMerge w:val="restart"/>
          </w:tcPr>
          <w:p>
            <w:pPr>
              <w:spacing w:after="0"/>
              <w:rPr>
                <w:sz w:val="20"/>
                <w:szCs w:val="20"/>
                <w:color w:val="auto"/>
              </w:rPr>
            </w:pPr>
            <w:r>
              <w:rPr>
                <w:rFonts w:ascii="Arial" w:cs="Arial" w:eastAsia="Arial" w:hAnsi="Arial"/>
                <w:sz w:val="14"/>
                <w:szCs w:val="14"/>
                <w:b w:val="1"/>
                <w:bCs w:val="1"/>
                <w:color w:val="auto"/>
              </w:rPr>
              <w:t>(in millions of dollars)</w:t>
            </w:r>
          </w:p>
        </w:tc>
        <w:tc>
          <w:tcPr>
            <w:tcW w:w="3420" w:type="dxa"/>
            <w:vAlign w:val="bottom"/>
          </w:tcPr>
          <w:p>
            <w:pPr>
              <w:spacing w:after="0"/>
              <w:rPr>
                <w:sz w:val="14"/>
                <w:szCs w:val="14"/>
                <w:color w:val="auto"/>
              </w:rPr>
            </w:pPr>
          </w:p>
        </w:tc>
        <w:tc>
          <w:tcPr>
            <w:tcW w:w="1480" w:type="dxa"/>
            <w:vAlign w:val="bottom"/>
            <w:gridSpan w:val="4"/>
          </w:tcPr>
          <w:p>
            <w:pPr>
              <w:jc w:val="right"/>
              <w:ind w:right="640"/>
              <w:spacing w:after="0"/>
              <w:rPr>
                <w:sz w:val="20"/>
                <w:szCs w:val="20"/>
                <w:color w:val="auto"/>
              </w:rPr>
            </w:pPr>
            <w:r>
              <w:rPr>
                <w:rFonts w:ascii="Arial" w:cs="Arial" w:eastAsia="Arial" w:hAnsi="Arial"/>
                <w:sz w:val="14"/>
                <w:szCs w:val="14"/>
                <w:b w:val="1"/>
                <w:bCs w:val="1"/>
                <w:color w:val="auto"/>
              </w:rPr>
              <w:t>June 30,</w:t>
            </w:r>
          </w:p>
        </w:tc>
        <w:tc>
          <w:tcPr>
            <w:tcW w:w="14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560" w:type="dxa"/>
            <w:vAlign w:val="bottom"/>
            <w:gridSpan w:val="2"/>
          </w:tcPr>
          <w:p>
            <w:pPr>
              <w:jc w:val="center"/>
              <w:spacing w:after="0"/>
              <w:rPr>
                <w:sz w:val="20"/>
                <w:szCs w:val="20"/>
                <w:color w:val="auto"/>
              </w:rPr>
            </w:pPr>
            <w:r>
              <w:rPr>
                <w:rFonts w:ascii="Arial" w:cs="Arial" w:eastAsia="Arial" w:hAnsi="Arial"/>
                <w:sz w:val="14"/>
                <w:szCs w:val="14"/>
                <w:b w:val="1"/>
                <w:bCs w:val="1"/>
                <w:color w:val="auto"/>
                <w:w w:val="85"/>
              </w:rPr>
              <w:t>June 30,</w:t>
            </w:r>
          </w:p>
        </w:tc>
        <w:tc>
          <w:tcPr>
            <w:tcW w:w="3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4900" w:type="dxa"/>
            <w:vAlign w:val="bottom"/>
            <w:gridSpan w:val="3"/>
            <w:vMerge w:val="continue"/>
          </w:tcPr>
          <w:p>
            <w:pPr>
              <w:spacing w:after="0"/>
              <w:rPr>
                <w:sz w:val="12"/>
                <w:szCs w:val="12"/>
                <w:color w:val="auto"/>
              </w:rPr>
            </w:pPr>
          </w:p>
        </w:tc>
        <w:tc>
          <w:tcPr>
            <w:tcW w:w="3420" w:type="dxa"/>
            <w:vAlign w:val="bottom"/>
          </w:tcPr>
          <w:p>
            <w:pPr>
              <w:spacing w:after="0"/>
              <w:rPr>
                <w:sz w:val="12"/>
                <w:szCs w:val="12"/>
                <w:color w:val="auto"/>
              </w:rPr>
            </w:pPr>
          </w:p>
        </w:tc>
        <w:tc>
          <w:tcPr>
            <w:tcW w:w="380" w:type="dxa"/>
            <w:vAlign w:val="bottom"/>
            <w:tcBorders>
              <w:top w:val="single" w:sz="8" w:color="auto"/>
            </w:tcBorders>
          </w:tcPr>
          <w:p>
            <w:pPr>
              <w:jc w:val="right"/>
              <w:spacing w:after="0" w:line="142" w:lineRule="exact"/>
              <w:rPr>
                <w:sz w:val="20"/>
                <w:szCs w:val="20"/>
                <w:color w:val="auto"/>
              </w:rPr>
            </w:pPr>
            <w:r>
              <w:rPr>
                <w:rFonts w:ascii="Arial" w:cs="Arial" w:eastAsia="Arial" w:hAnsi="Arial"/>
                <w:sz w:val="14"/>
                <w:szCs w:val="14"/>
                <w:b w:val="1"/>
                <w:bCs w:val="1"/>
                <w:color w:val="auto"/>
                <w:w w:val="96"/>
              </w:rPr>
              <w:t>2008</w:t>
            </w:r>
          </w:p>
        </w:tc>
        <w:tc>
          <w:tcPr>
            <w:tcW w:w="440" w:type="dxa"/>
            <w:vAlign w:val="bottom"/>
            <w:tcBorders>
              <w:top w:val="single" w:sz="8" w:color="auto"/>
            </w:tcBorders>
          </w:tcPr>
          <w:p>
            <w:pPr>
              <w:spacing w:after="0"/>
              <w:rPr>
                <w:sz w:val="12"/>
                <w:szCs w:val="12"/>
                <w:color w:val="auto"/>
              </w:rPr>
            </w:pPr>
          </w:p>
        </w:tc>
        <w:tc>
          <w:tcPr>
            <w:tcW w:w="360" w:type="dxa"/>
            <w:vAlign w:val="bottom"/>
            <w:tcBorders>
              <w:top w:val="single" w:sz="8" w:color="auto"/>
            </w:tcBorders>
          </w:tcPr>
          <w:p>
            <w:pPr>
              <w:jc w:val="right"/>
              <w:spacing w:after="0" w:line="142" w:lineRule="exact"/>
              <w:rPr>
                <w:sz w:val="20"/>
                <w:szCs w:val="20"/>
                <w:color w:val="auto"/>
              </w:rPr>
            </w:pPr>
            <w:r>
              <w:rPr>
                <w:rFonts w:ascii="Arial" w:cs="Arial" w:eastAsia="Arial" w:hAnsi="Arial"/>
                <w:sz w:val="14"/>
                <w:szCs w:val="14"/>
                <w:b w:val="1"/>
                <w:bCs w:val="1"/>
                <w:color w:val="auto"/>
                <w:w w:val="96"/>
              </w:rPr>
              <w:t>2007</w:t>
            </w:r>
          </w:p>
        </w:tc>
        <w:tc>
          <w:tcPr>
            <w:tcW w:w="3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420" w:type="dxa"/>
            <w:vAlign w:val="bottom"/>
            <w:tcBorders>
              <w:top w:val="single" w:sz="8" w:color="auto"/>
            </w:tcBorders>
          </w:tcPr>
          <w:p>
            <w:pPr>
              <w:jc w:val="right"/>
              <w:spacing w:after="0" w:line="142" w:lineRule="exact"/>
              <w:rPr>
                <w:sz w:val="20"/>
                <w:szCs w:val="20"/>
                <w:color w:val="auto"/>
              </w:rPr>
            </w:pPr>
            <w:r>
              <w:rPr>
                <w:rFonts w:ascii="Arial" w:cs="Arial" w:eastAsia="Arial" w:hAnsi="Arial"/>
                <w:sz w:val="14"/>
                <w:szCs w:val="14"/>
                <w:b w:val="1"/>
                <w:bCs w:val="1"/>
                <w:color w:val="auto"/>
              </w:rPr>
              <w:t>2008</w:t>
            </w:r>
          </w:p>
        </w:tc>
        <w:tc>
          <w:tcPr>
            <w:tcW w:w="460" w:type="dxa"/>
            <w:vAlign w:val="bottom"/>
            <w:tcBorders>
              <w:top w:val="single" w:sz="8" w:color="auto"/>
            </w:tcBorders>
          </w:tcPr>
          <w:p>
            <w:pPr>
              <w:spacing w:after="0"/>
              <w:rPr>
                <w:sz w:val="12"/>
                <w:szCs w:val="12"/>
                <w:color w:val="auto"/>
              </w:rPr>
            </w:pPr>
          </w:p>
        </w:tc>
        <w:tc>
          <w:tcPr>
            <w:tcW w:w="100" w:type="dxa"/>
            <w:vAlign w:val="bottom"/>
            <w:tcBorders>
              <w:top w:val="single" w:sz="8" w:color="auto"/>
            </w:tcBorders>
          </w:tcPr>
          <w:p>
            <w:pPr>
              <w:spacing w:after="0"/>
              <w:rPr>
                <w:sz w:val="12"/>
                <w:szCs w:val="12"/>
                <w:color w:val="auto"/>
              </w:rPr>
            </w:pPr>
          </w:p>
        </w:tc>
        <w:tc>
          <w:tcPr>
            <w:tcW w:w="360" w:type="dxa"/>
            <w:vAlign w:val="bottom"/>
            <w:tcBorders>
              <w:top w:val="single" w:sz="8" w:color="auto"/>
            </w:tcBorders>
          </w:tcPr>
          <w:p>
            <w:pPr>
              <w:jc w:val="right"/>
              <w:ind w:right="19"/>
              <w:spacing w:after="0" w:line="142" w:lineRule="exact"/>
              <w:rPr>
                <w:sz w:val="20"/>
                <w:szCs w:val="20"/>
                <w:color w:val="auto"/>
              </w:rPr>
            </w:pPr>
            <w:r>
              <w:rPr>
                <w:rFonts w:ascii="Arial" w:cs="Arial" w:eastAsia="Arial" w:hAnsi="Arial"/>
                <w:sz w:val="14"/>
                <w:szCs w:val="14"/>
                <w:b w:val="1"/>
                <w:bCs w:val="1"/>
                <w:color w:val="auto"/>
                <w:w w:val="76"/>
              </w:rPr>
              <w:t>2007</w:t>
            </w:r>
          </w:p>
        </w:tc>
        <w:tc>
          <w:tcPr>
            <w:tcW w:w="1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134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w w:val="99"/>
              </w:rPr>
              <w:t>Interest expense</w:t>
            </w:r>
          </w:p>
        </w:tc>
        <w:tc>
          <w:tcPr>
            <w:tcW w:w="3540" w:type="dxa"/>
            <w:vAlign w:val="bottom"/>
            <w:shd w:val="clear" w:color="auto" w:fill="CCEEFF"/>
          </w:tcPr>
          <w:p>
            <w:pPr>
              <w:spacing w:after="0"/>
              <w:rPr>
                <w:sz w:val="18"/>
                <w:szCs w:val="18"/>
                <w:color w:val="auto"/>
              </w:rPr>
            </w:pPr>
          </w:p>
        </w:tc>
        <w:tc>
          <w:tcPr>
            <w:tcW w:w="3420" w:type="dxa"/>
            <w:vAlign w:val="bottom"/>
            <w:shd w:val="clear" w:color="auto" w:fill="CCEEFF"/>
          </w:tcPr>
          <w:p>
            <w:pPr>
              <w:spacing w:after="0"/>
              <w:rPr>
                <w:sz w:val="18"/>
                <w:szCs w:val="18"/>
                <w:color w:val="auto"/>
              </w:rPr>
            </w:pPr>
          </w:p>
        </w:tc>
        <w:tc>
          <w:tcPr>
            <w:tcW w:w="3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9"/>
              </w:rPr>
              <w:t>$176</w:t>
            </w:r>
          </w:p>
        </w:tc>
        <w:tc>
          <w:tcPr>
            <w:tcW w:w="440" w:type="dxa"/>
            <w:vAlign w:val="bottom"/>
            <w:shd w:val="clear" w:color="auto" w:fill="CCEEFF"/>
          </w:tcPr>
          <w:p>
            <w:pPr>
              <w:spacing w:after="0"/>
              <w:rPr>
                <w:sz w:val="18"/>
                <w:szCs w:val="18"/>
                <w:color w:val="auto"/>
              </w:rPr>
            </w:pPr>
          </w:p>
        </w:tc>
        <w:tc>
          <w:tcPr>
            <w:tcW w:w="3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4"/>
              </w:rPr>
              <w:t>$163</w:t>
            </w:r>
          </w:p>
        </w:tc>
        <w:tc>
          <w:tcPr>
            <w:tcW w:w="3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4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8"/>
              </w:rPr>
              <w:t>$ 341</w:t>
            </w:r>
          </w:p>
        </w:tc>
        <w:tc>
          <w:tcPr>
            <w:tcW w:w="460" w:type="dxa"/>
            <w:vAlign w:val="bottom"/>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3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313</w:t>
            </w:r>
          </w:p>
        </w:tc>
        <w:tc>
          <w:tcPr>
            <w:tcW w:w="1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4880" w:type="dxa"/>
            <w:vAlign w:val="bottom"/>
            <w:gridSpan w:val="2"/>
          </w:tcPr>
          <w:p>
            <w:pPr>
              <w:spacing w:after="0"/>
              <w:rPr>
                <w:sz w:val="20"/>
                <w:szCs w:val="20"/>
                <w:color w:val="auto"/>
              </w:rPr>
            </w:pPr>
            <w:r>
              <w:rPr>
                <w:rFonts w:ascii="Arial" w:cs="Arial" w:eastAsia="Arial" w:hAnsi="Arial"/>
                <w:sz w:val="18"/>
                <w:szCs w:val="18"/>
                <w:color w:val="auto"/>
              </w:rPr>
              <w:t>Average interest rate</w:t>
            </w:r>
          </w:p>
        </w:tc>
        <w:tc>
          <w:tcPr>
            <w:tcW w:w="4240" w:type="dxa"/>
            <w:vAlign w:val="bottom"/>
            <w:gridSpan w:val="3"/>
          </w:tcPr>
          <w:p>
            <w:pPr>
              <w:jc w:val="right"/>
              <w:ind w:right="300"/>
              <w:spacing w:after="0"/>
              <w:rPr>
                <w:sz w:val="20"/>
                <w:szCs w:val="20"/>
                <w:color w:val="auto"/>
              </w:rPr>
            </w:pPr>
            <w:r>
              <w:rPr>
                <w:rFonts w:ascii="Arial" w:cs="Arial" w:eastAsia="Arial" w:hAnsi="Arial"/>
                <w:sz w:val="18"/>
                <w:szCs w:val="18"/>
                <w:color w:val="auto"/>
              </w:rPr>
              <w:t>5.8%</w:t>
            </w:r>
          </w:p>
        </w:tc>
        <w:tc>
          <w:tcPr>
            <w:tcW w:w="660" w:type="dxa"/>
            <w:vAlign w:val="bottom"/>
            <w:gridSpan w:val="2"/>
          </w:tcPr>
          <w:p>
            <w:pPr>
              <w:jc w:val="right"/>
              <w:ind w:right="160"/>
              <w:spacing w:after="0"/>
              <w:rPr>
                <w:sz w:val="20"/>
                <w:szCs w:val="20"/>
                <w:color w:val="auto"/>
              </w:rPr>
            </w:pPr>
            <w:r>
              <w:rPr>
                <w:rFonts w:ascii="Arial" w:cs="Arial" w:eastAsia="Arial" w:hAnsi="Arial"/>
                <w:sz w:val="18"/>
                <w:szCs w:val="18"/>
                <w:color w:val="auto"/>
              </w:rPr>
              <w:t>6.2%</w:t>
            </w:r>
          </w:p>
        </w:tc>
        <w:tc>
          <w:tcPr>
            <w:tcW w:w="1020" w:type="dxa"/>
            <w:vAlign w:val="bottom"/>
            <w:gridSpan w:val="3"/>
          </w:tcPr>
          <w:p>
            <w:pPr>
              <w:jc w:val="right"/>
              <w:ind w:right="232"/>
              <w:spacing w:after="0"/>
              <w:rPr>
                <w:sz w:val="20"/>
                <w:szCs w:val="20"/>
                <w:color w:val="auto"/>
              </w:rPr>
            </w:pPr>
            <w:r>
              <w:rPr>
                <w:rFonts w:ascii="Arial" w:cs="Arial" w:eastAsia="Arial" w:hAnsi="Arial"/>
                <w:sz w:val="18"/>
                <w:szCs w:val="18"/>
                <w:color w:val="auto"/>
              </w:rPr>
              <w:t>5.9%</w:t>
            </w:r>
          </w:p>
        </w:tc>
        <w:tc>
          <w:tcPr>
            <w:tcW w:w="100" w:type="dxa"/>
            <w:vAlign w:val="bottom"/>
          </w:tcPr>
          <w:p>
            <w:pPr>
              <w:spacing w:after="0"/>
              <w:rPr>
                <w:sz w:val="19"/>
                <w:szCs w:val="19"/>
                <w:color w:val="auto"/>
              </w:rPr>
            </w:pPr>
          </w:p>
        </w:tc>
        <w:tc>
          <w:tcPr>
            <w:tcW w:w="500" w:type="dxa"/>
            <w:vAlign w:val="bottom"/>
            <w:gridSpan w:val="2"/>
          </w:tcPr>
          <w:p>
            <w:pPr>
              <w:jc w:val="right"/>
              <w:spacing w:after="0"/>
              <w:rPr>
                <w:sz w:val="20"/>
                <w:szCs w:val="20"/>
                <w:color w:val="auto"/>
              </w:rPr>
            </w:pPr>
            <w:r>
              <w:rPr>
                <w:rFonts w:ascii="Arial" w:cs="Arial" w:eastAsia="Arial" w:hAnsi="Arial"/>
                <w:sz w:val="18"/>
                <w:szCs w:val="18"/>
                <w:color w:val="auto"/>
              </w:rPr>
              <w:t>6.2%</w:t>
            </w:r>
          </w:p>
        </w:tc>
        <w:tc>
          <w:tcPr>
            <w:tcW w:w="0" w:type="dxa"/>
            <w:vAlign w:val="bottom"/>
          </w:tcPr>
          <w:p>
            <w:pPr>
              <w:spacing w:after="0"/>
              <w:rPr>
                <w:sz w:val="1"/>
                <w:szCs w:val="1"/>
                <w:color w:val="auto"/>
              </w:rPr>
            </w:pPr>
          </w:p>
        </w:tc>
      </w:tr>
    </w:tbl>
    <w:p>
      <w:pPr>
        <w:spacing w:after="0" w:line="147" w:lineRule="exact"/>
        <w:rPr>
          <w:sz w:val="20"/>
          <w:szCs w:val="20"/>
          <w:color w:val="auto"/>
        </w:rPr>
      </w:pPr>
    </w:p>
    <w:p>
      <w:pPr>
        <w:ind w:right="300" w:firstLine="456"/>
        <w:spacing w:after="0" w:line="306" w:lineRule="auto"/>
        <w:rPr>
          <w:sz w:val="20"/>
          <w:szCs w:val="20"/>
          <w:color w:val="auto"/>
        </w:rPr>
      </w:pPr>
      <w:r>
        <w:rPr>
          <w:rFonts w:ascii="Arial" w:cs="Arial" w:eastAsia="Arial" w:hAnsi="Arial"/>
          <w:sz w:val="16"/>
          <w:szCs w:val="16"/>
          <w:color w:val="auto"/>
        </w:rPr>
        <w:t>Interest expense for the quarter and six months ended June 30, 2008, as compared to the same periods in 2007, has increased primarily as a result of the issuances of $1.0 billion of long-term debt in December 2007 bearing interest at 5.375% and $1.0 billion of long-term debt in May 2008 bearing interest at 6.125%. The overall average interest rate declined as these debt issuances were at interest rates lower than the existing debt levels.</w:t>
      </w:r>
    </w:p>
    <w:p>
      <w:pPr>
        <w:spacing w:after="0" w:line="269" w:lineRule="exact"/>
        <w:rPr>
          <w:sz w:val="20"/>
          <w:szCs w:val="20"/>
          <w:color w:val="auto"/>
        </w:rPr>
      </w:pPr>
    </w:p>
    <w:p>
      <w:pPr>
        <w:jc w:val="center"/>
        <w:spacing w:after="0"/>
        <w:rPr>
          <w:sz w:val="20"/>
          <w:szCs w:val="20"/>
          <w:color w:val="auto"/>
        </w:rPr>
      </w:pPr>
      <w:r>
        <w:rPr>
          <w:rFonts w:ascii="Arial" w:cs="Arial" w:eastAsia="Arial" w:hAnsi="Arial"/>
          <w:sz w:val="18"/>
          <w:szCs w:val="18"/>
          <w:b w:val="1"/>
          <w:bCs w:val="1"/>
          <w:i w:val="1"/>
          <w:iCs w:val="1"/>
          <w:u w:val="single" w:color="auto"/>
          <w:color w:val="auto"/>
        </w:rPr>
        <w:t>Income Taxes</w:t>
      </w:r>
    </w:p>
    <w:p>
      <w:pPr>
        <w:spacing w:after="0" w:line="195"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8320" w:type="dxa"/>
            <w:vAlign w:val="bottom"/>
          </w:tcPr>
          <w:p>
            <w:pPr>
              <w:spacing w:after="0"/>
              <w:rPr>
                <w:sz w:val="14"/>
                <w:szCs w:val="14"/>
                <w:color w:val="auto"/>
              </w:rPr>
            </w:pPr>
          </w:p>
        </w:tc>
        <w:tc>
          <w:tcPr>
            <w:tcW w:w="1620" w:type="dxa"/>
            <w:vAlign w:val="bottom"/>
            <w:gridSpan w:val="5"/>
          </w:tcPr>
          <w:p>
            <w:pPr>
              <w:jc w:val="center"/>
              <w:ind w:right="460"/>
              <w:spacing w:after="0"/>
              <w:rPr>
                <w:sz w:val="20"/>
                <w:szCs w:val="20"/>
                <w:color w:val="auto"/>
              </w:rPr>
            </w:pPr>
            <w:r>
              <w:rPr>
                <w:rFonts w:ascii="Arial" w:cs="Arial" w:eastAsia="Arial" w:hAnsi="Arial"/>
                <w:sz w:val="14"/>
                <w:szCs w:val="14"/>
                <w:b w:val="1"/>
                <w:bCs w:val="1"/>
                <w:color w:val="auto"/>
                <w:w w:val="90"/>
              </w:rPr>
              <w:t>Quarter Ended</w:t>
            </w:r>
          </w:p>
        </w:tc>
        <w:tc>
          <w:tcPr>
            <w:tcW w:w="1480" w:type="dxa"/>
            <w:vAlign w:val="bottom"/>
            <w:gridSpan w:val="4"/>
          </w:tcPr>
          <w:p>
            <w:pPr>
              <w:jc w:val="center"/>
              <w:ind w:right="140"/>
              <w:spacing w:after="0"/>
              <w:rPr>
                <w:sz w:val="20"/>
                <w:szCs w:val="20"/>
                <w:color w:val="auto"/>
              </w:rPr>
            </w:pPr>
            <w:r>
              <w:rPr>
                <w:rFonts w:ascii="Arial" w:cs="Arial" w:eastAsia="Arial" w:hAnsi="Arial"/>
                <w:sz w:val="14"/>
                <w:szCs w:val="14"/>
                <w:b w:val="1"/>
                <w:bCs w:val="1"/>
                <w:color w:val="auto"/>
                <w:w w:val="87"/>
              </w:rPr>
              <w:t>Six Months Ended</w:t>
            </w:r>
          </w:p>
        </w:tc>
      </w:tr>
      <w:tr>
        <w:trPr>
          <w:trHeight w:val="161"/>
        </w:trPr>
        <w:tc>
          <w:tcPr>
            <w:tcW w:w="8320" w:type="dxa"/>
            <w:vAlign w:val="bottom"/>
          </w:tcPr>
          <w:p>
            <w:pPr>
              <w:spacing w:after="0"/>
              <w:rPr>
                <w:sz w:val="14"/>
                <w:szCs w:val="14"/>
                <w:color w:val="auto"/>
              </w:rPr>
            </w:pPr>
          </w:p>
        </w:tc>
        <w:tc>
          <w:tcPr>
            <w:tcW w:w="340" w:type="dxa"/>
            <w:vAlign w:val="bottom"/>
            <w:tcBorders>
              <w:bottom w:val="single" w:sz="8" w:color="auto"/>
            </w:tcBorders>
          </w:tcPr>
          <w:p>
            <w:pPr>
              <w:spacing w:after="0"/>
              <w:rPr>
                <w:sz w:val="14"/>
                <w:szCs w:val="14"/>
                <w:color w:val="auto"/>
              </w:rPr>
            </w:pPr>
          </w:p>
        </w:tc>
        <w:tc>
          <w:tcPr>
            <w:tcW w:w="500" w:type="dxa"/>
            <w:vAlign w:val="bottom"/>
            <w:tcBorders>
              <w:bottom w:val="single" w:sz="8" w:color="auto"/>
            </w:tcBorders>
            <w:gridSpan w:val="2"/>
          </w:tcPr>
          <w:p>
            <w:pPr>
              <w:jc w:val="center"/>
              <w:ind w:right="20"/>
              <w:spacing w:after="0"/>
              <w:rPr>
                <w:sz w:val="20"/>
                <w:szCs w:val="20"/>
                <w:color w:val="auto"/>
              </w:rPr>
            </w:pPr>
            <w:r>
              <w:rPr>
                <w:rFonts w:ascii="Arial" w:cs="Arial" w:eastAsia="Arial" w:hAnsi="Arial"/>
                <w:sz w:val="14"/>
                <w:szCs w:val="14"/>
                <w:b w:val="1"/>
                <w:bCs w:val="1"/>
                <w:color w:val="auto"/>
                <w:w w:val="85"/>
              </w:rPr>
              <w:t>June 30,</w:t>
            </w:r>
          </w:p>
        </w:tc>
        <w:tc>
          <w:tcPr>
            <w:tcW w:w="320" w:type="dxa"/>
            <w:vAlign w:val="bottom"/>
            <w:tcBorders>
              <w:bottom w:val="single" w:sz="8" w:color="auto"/>
            </w:tcBorders>
          </w:tcPr>
          <w:p>
            <w:pPr>
              <w:spacing w:after="0"/>
              <w:rPr>
                <w:sz w:val="14"/>
                <w:szCs w:val="14"/>
                <w:color w:val="auto"/>
              </w:rPr>
            </w:pPr>
          </w:p>
        </w:tc>
        <w:tc>
          <w:tcPr>
            <w:tcW w:w="460" w:type="dxa"/>
            <w:vAlign w:val="bottom"/>
          </w:tcPr>
          <w:p>
            <w:pPr>
              <w:spacing w:after="0"/>
              <w:rPr>
                <w:sz w:val="14"/>
                <w:szCs w:val="14"/>
                <w:color w:val="auto"/>
              </w:rPr>
            </w:pPr>
          </w:p>
        </w:tc>
        <w:tc>
          <w:tcPr>
            <w:tcW w:w="420" w:type="dxa"/>
            <w:vAlign w:val="bottom"/>
            <w:tcBorders>
              <w:bottom w:val="single" w:sz="8" w:color="auto"/>
            </w:tcBorders>
          </w:tcPr>
          <w:p>
            <w:pPr>
              <w:spacing w:after="0"/>
              <w:rPr>
                <w:sz w:val="14"/>
                <w:szCs w:val="14"/>
                <w:color w:val="auto"/>
              </w:rPr>
            </w:pPr>
          </w:p>
        </w:tc>
        <w:tc>
          <w:tcPr>
            <w:tcW w:w="50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85"/>
              </w:rPr>
              <w:t>June 30,</w:t>
            </w:r>
          </w:p>
        </w:tc>
        <w:tc>
          <w:tcPr>
            <w:tcW w:w="420" w:type="dxa"/>
            <w:vAlign w:val="bottom"/>
            <w:tcBorders>
              <w:bottom w:val="single" w:sz="8" w:color="auto"/>
            </w:tcBorders>
          </w:tcPr>
          <w:p>
            <w:pPr>
              <w:spacing w:after="0"/>
              <w:rPr>
                <w:sz w:val="14"/>
                <w:szCs w:val="14"/>
                <w:color w:val="auto"/>
              </w:rPr>
            </w:pPr>
          </w:p>
        </w:tc>
        <w:tc>
          <w:tcPr>
            <w:tcW w:w="140" w:type="dxa"/>
            <w:vAlign w:val="bottom"/>
          </w:tcPr>
          <w:p>
            <w:pPr>
              <w:spacing w:after="0"/>
              <w:rPr>
                <w:sz w:val="14"/>
                <w:szCs w:val="14"/>
                <w:color w:val="auto"/>
              </w:rPr>
            </w:pPr>
          </w:p>
        </w:tc>
      </w:tr>
      <w:tr>
        <w:trPr>
          <w:trHeight w:val="142"/>
        </w:trPr>
        <w:tc>
          <w:tcPr>
            <w:tcW w:w="8320" w:type="dxa"/>
            <w:vAlign w:val="bottom"/>
          </w:tcPr>
          <w:p>
            <w:pPr>
              <w:spacing w:after="0"/>
              <w:rPr>
                <w:sz w:val="12"/>
                <w:szCs w:val="12"/>
                <w:color w:val="auto"/>
              </w:rPr>
            </w:pPr>
          </w:p>
        </w:tc>
        <w:tc>
          <w:tcPr>
            <w:tcW w:w="340" w:type="dxa"/>
            <w:vAlign w:val="bottom"/>
            <w:tcBorders>
              <w:bottom w:val="single" w:sz="8" w:color="auto"/>
            </w:tcBorders>
          </w:tcPr>
          <w:p>
            <w:pPr>
              <w:ind w:left="40"/>
              <w:spacing w:after="0" w:line="142" w:lineRule="exact"/>
              <w:rPr>
                <w:sz w:val="20"/>
                <w:szCs w:val="20"/>
                <w:color w:val="auto"/>
              </w:rPr>
            </w:pPr>
            <w:r>
              <w:rPr>
                <w:rFonts w:ascii="Arial" w:cs="Arial" w:eastAsia="Arial" w:hAnsi="Arial"/>
                <w:sz w:val="14"/>
                <w:szCs w:val="14"/>
                <w:b w:val="1"/>
                <w:bCs w:val="1"/>
                <w:color w:val="auto"/>
                <w:w w:val="89"/>
              </w:rPr>
              <w:t>2008</w:t>
            </w:r>
          </w:p>
        </w:tc>
        <w:tc>
          <w:tcPr>
            <w:tcW w:w="480" w:type="dxa"/>
            <w:vAlign w:val="bottom"/>
          </w:tcPr>
          <w:p>
            <w:pPr>
              <w:spacing w:after="0"/>
              <w:rPr>
                <w:sz w:val="12"/>
                <w:szCs w:val="12"/>
                <w:color w:val="auto"/>
              </w:rPr>
            </w:pPr>
          </w:p>
        </w:tc>
        <w:tc>
          <w:tcPr>
            <w:tcW w:w="20" w:type="dxa"/>
            <w:vAlign w:val="bottom"/>
            <w:tcBorders>
              <w:bottom w:val="single" w:sz="8" w:color="auto"/>
            </w:tcBorders>
          </w:tcPr>
          <w:p>
            <w:pPr>
              <w:spacing w:after="0"/>
              <w:rPr>
                <w:sz w:val="12"/>
                <w:szCs w:val="12"/>
                <w:color w:val="auto"/>
              </w:rPr>
            </w:pPr>
          </w:p>
        </w:tc>
        <w:tc>
          <w:tcPr>
            <w:tcW w:w="320" w:type="dxa"/>
            <w:vAlign w:val="bottom"/>
            <w:tcBorders>
              <w:bottom w:val="single" w:sz="8" w:color="auto"/>
            </w:tcBorders>
          </w:tcPr>
          <w:p>
            <w:pPr>
              <w:ind w:left="20"/>
              <w:spacing w:after="0" w:line="142" w:lineRule="exact"/>
              <w:rPr>
                <w:sz w:val="20"/>
                <w:szCs w:val="20"/>
                <w:color w:val="auto"/>
              </w:rPr>
            </w:pPr>
            <w:r>
              <w:rPr>
                <w:rFonts w:ascii="Arial" w:cs="Arial" w:eastAsia="Arial" w:hAnsi="Arial"/>
                <w:sz w:val="14"/>
                <w:szCs w:val="14"/>
                <w:b w:val="1"/>
                <w:bCs w:val="1"/>
                <w:color w:val="auto"/>
                <w:w w:val="89"/>
              </w:rPr>
              <w:t>2007</w:t>
            </w:r>
          </w:p>
        </w:tc>
        <w:tc>
          <w:tcPr>
            <w:tcW w:w="460" w:type="dxa"/>
            <w:vAlign w:val="bottom"/>
          </w:tcPr>
          <w:p>
            <w:pPr>
              <w:spacing w:after="0"/>
              <w:rPr>
                <w:sz w:val="12"/>
                <w:szCs w:val="12"/>
                <w:color w:val="auto"/>
              </w:rPr>
            </w:pPr>
          </w:p>
        </w:tc>
        <w:tc>
          <w:tcPr>
            <w:tcW w:w="420" w:type="dxa"/>
            <w:vAlign w:val="bottom"/>
            <w:tcBorders>
              <w:bottom w:val="single" w:sz="8" w:color="auto"/>
            </w:tcBorders>
          </w:tcPr>
          <w:p>
            <w:pPr>
              <w:jc w:val="right"/>
              <w:ind w:right="6"/>
              <w:spacing w:after="0" w:line="142" w:lineRule="exact"/>
              <w:rPr>
                <w:sz w:val="20"/>
                <w:szCs w:val="20"/>
                <w:color w:val="auto"/>
              </w:rPr>
            </w:pPr>
            <w:r>
              <w:rPr>
                <w:rFonts w:ascii="Arial" w:cs="Arial" w:eastAsia="Arial" w:hAnsi="Arial"/>
                <w:sz w:val="14"/>
                <w:szCs w:val="14"/>
                <w:b w:val="1"/>
                <w:bCs w:val="1"/>
                <w:color w:val="auto"/>
              </w:rPr>
              <w:t>2008</w:t>
            </w:r>
          </w:p>
        </w:tc>
        <w:tc>
          <w:tcPr>
            <w:tcW w:w="500" w:type="dxa"/>
            <w:vAlign w:val="bottom"/>
          </w:tcPr>
          <w:p>
            <w:pPr>
              <w:spacing w:after="0"/>
              <w:rPr>
                <w:sz w:val="12"/>
                <w:szCs w:val="12"/>
                <w:color w:val="auto"/>
              </w:rPr>
            </w:pPr>
          </w:p>
        </w:tc>
        <w:tc>
          <w:tcPr>
            <w:tcW w:w="420" w:type="dxa"/>
            <w:vAlign w:val="bottom"/>
            <w:tcBorders>
              <w:bottom w:val="single" w:sz="8" w:color="auto"/>
            </w:tcBorders>
          </w:tcPr>
          <w:p>
            <w:pPr>
              <w:jc w:val="right"/>
              <w:ind w:right="2"/>
              <w:spacing w:after="0" w:line="142" w:lineRule="exact"/>
              <w:rPr>
                <w:sz w:val="20"/>
                <w:szCs w:val="20"/>
                <w:color w:val="auto"/>
              </w:rPr>
            </w:pPr>
            <w:r>
              <w:rPr>
                <w:rFonts w:ascii="Arial" w:cs="Arial" w:eastAsia="Arial" w:hAnsi="Arial"/>
                <w:sz w:val="14"/>
                <w:szCs w:val="14"/>
                <w:b w:val="1"/>
                <w:bCs w:val="1"/>
                <w:color w:val="auto"/>
              </w:rPr>
              <w:t>2007</w:t>
            </w:r>
          </w:p>
        </w:tc>
        <w:tc>
          <w:tcPr>
            <w:tcW w:w="140" w:type="dxa"/>
            <w:vAlign w:val="bottom"/>
          </w:tcPr>
          <w:p>
            <w:pPr>
              <w:spacing w:after="0"/>
              <w:rPr>
                <w:sz w:val="12"/>
                <w:szCs w:val="12"/>
                <w:color w:val="auto"/>
              </w:rPr>
            </w:pPr>
          </w:p>
        </w:tc>
      </w:tr>
      <w:tr>
        <w:trPr>
          <w:trHeight w:val="210"/>
        </w:trPr>
        <w:tc>
          <w:tcPr>
            <w:tcW w:w="8320" w:type="dxa"/>
            <w:vAlign w:val="bottom"/>
            <w:shd w:val="clear" w:color="auto" w:fill="CCEEFF"/>
          </w:tcPr>
          <w:p>
            <w:pPr>
              <w:spacing w:after="0"/>
              <w:rPr>
                <w:sz w:val="20"/>
                <w:szCs w:val="20"/>
                <w:color w:val="auto"/>
              </w:rPr>
            </w:pPr>
            <w:r>
              <w:rPr>
                <w:rFonts w:ascii="Arial" w:cs="Arial" w:eastAsia="Arial" w:hAnsi="Arial"/>
                <w:sz w:val="18"/>
                <w:szCs w:val="18"/>
                <w:color w:val="auto"/>
              </w:rPr>
              <w:t>Effective tax rate</w:t>
            </w:r>
          </w:p>
        </w:tc>
        <w:tc>
          <w:tcPr>
            <w:tcW w:w="820" w:type="dxa"/>
            <w:vAlign w:val="bottom"/>
            <w:gridSpan w:val="2"/>
            <w:shd w:val="clear" w:color="auto" w:fill="CCEEFF"/>
          </w:tcPr>
          <w:p>
            <w:pPr>
              <w:ind w:left="40"/>
              <w:spacing w:after="0"/>
              <w:rPr>
                <w:sz w:val="20"/>
                <w:szCs w:val="20"/>
                <w:color w:val="auto"/>
              </w:rPr>
            </w:pPr>
            <w:r>
              <w:rPr>
                <w:rFonts w:ascii="Arial" w:cs="Arial" w:eastAsia="Arial" w:hAnsi="Arial"/>
                <w:sz w:val="18"/>
                <w:szCs w:val="18"/>
                <w:color w:val="auto"/>
              </w:rPr>
              <w:t>28.5%</w:t>
            </w:r>
          </w:p>
        </w:tc>
        <w:tc>
          <w:tcPr>
            <w:tcW w:w="20" w:type="dxa"/>
            <w:vAlign w:val="bottom"/>
            <w:shd w:val="clear" w:color="auto" w:fill="CCEEFF"/>
          </w:tcPr>
          <w:p>
            <w:pPr>
              <w:spacing w:after="0"/>
              <w:rPr>
                <w:sz w:val="18"/>
                <w:szCs w:val="18"/>
                <w:color w:val="auto"/>
              </w:rPr>
            </w:pPr>
          </w:p>
        </w:tc>
        <w:tc>
          <w:tcPr>
            <w:tcW w:w="78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28.1%</w:t>
            </w:r>
          </w:p>
        </w:tc>
        <w:tc>
          <w:tcPr>
            <w:tcW w:w="920" w:type="dxa"/>
            <w:vAlign w:val="bottom"/>
            <w:gridSpan w:val="2"/>
            <w:shd w:val="clear" w:color="auto" w:fill="CCEEFF"/>
          </w:tcPr>
          <w:p>
            <w:pPr>
              <w:jc w:val="right"/>
              <w:ind w:right="292"/>
              <w:spacing w:after="0"/>
              <w:rPr>
                <w:sz w:val="20"/>
                <w:szCs w:val="20"/>
                <w:color w:val="auto"/>
              </w:rPr>
            </w:pPr>
            <w:r>
              <w:rPr>
                <w:rFonts w:ascii="Arial" w:cs="Arial" w:eastAsia="Arial" w:hAnsi="Arial"/>
                <w:sz w:val="18"/>
                <w:szCs w:val="18"/>
                <w:color w:val="auto"/>
              </w:rPr>
              <w:t>28.5%</w:t>
            </w:r>
          </w:p>
        </w:tc>
        <w:tc>
          <w:tcPr>
            <w:tcW w:w="5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30.1%</w:t>
            </w:r>
          </w:p>
        </w:tc>
      </w:tr>
    </w:tbl>
    <w:p>
      <w:pPr>
        <w:spacing w:after="0" w:line="154" w:lineRule="exact"/>
        <w:rPr>
          <w:sz w:val="20"/>
          <w:szCs w:val="20"/>
          <w:color w:val="auto"/>
        </w:rPr>
      </w:pPr>
    </w:p>
    <w:p>
      <w:pPr>
        <w:jc w:val="both"/>
        <w:ind w:right="360" w:firstLine="456"/>
        <w:spacing w:after="0" w:line="306" w:lineRule="auto"/>
        <w:rPr>
          <w:sz w:val="20"/>
          <w:szCs w:val="20"/>
          <w:color w:val="auto"/>
        </w:rPr>
      </w:pPr>
      <w:r>
        <w:rPr>
          <w:rFonts w:ascii="Arial" w:cs="Arial" w:eastAsia="Arial" w:hAnsi="Arial"/>
          <w:sz w:val="16"/>
          <w:szCs w:val="16"/>
          <w:color w:val="auto"/>
        </w:rPr>
        <w:t>The effective tax rate for the six months ended June 30, 2008 decreased as compared to the same period of 2007 due to the absence of certain discrete events that impacted 2007. The 2007 period was adversely impacted by the previously disclosed EU Fine, and the sale of land and marketable securities. The effective tax rate for the second quarter of 2008 is consistent with the anticipated effective rate for the full year absent any discrete activity.</w:t>
      </w:r>
    </w:p>
    <w:p>
      <w:pPr>
        <w:spacing w:after="0" w:line="9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25</w:t>
      </w:r>
    </w:p>
    <w:p>
      <w:pPr>
        <w:sectPr>
          <w:pgSz w:w="11900" w:h="16838" w:orient="portrait"/>
          <w:cols w:equalWidth="0" w:num="1">
            <w:col w:w="11420"/>
          </w:cols>
          <w:pgMar w:left="240" w:top="459" w:right="239" w:bottom="1440" w:gutter="0" w:footer="0" w:header="0"/>
        </w:sectPr>
      </w:pPr>
    </w:p>
    <w:bookmarkStart w:id="25" w:name="page26"/>
    <w:bookmarkEnd w:id="2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jc w:val="center"/>
        <w:spacing w:after="0"/>
        <w:rPr>
          <w:sz w:val="20"/>
          <w:szCs w:val="20"/>
          <w:color w:val="auto"/>
        </w:rPr>
      </w:pPr>
      <w:r>
        <w:rPr>
          <w:rFonts w:ascii="Arial" w:cs="Arial" w:eastAsia="Arial" w:hAnsi="Arial"/>
          <w:sz w:val="18"/>
          <w:szCs w:val="18"/>
          <w:b w:val="1"/>
          <w:bCs w:val="1"/>
          <w:i w:val="1"/>
          <w:iCs w:val="1"/>
          <w:u w:val="single" w:color="auto"/>
          <w:color w:val="auto"/>
        </w:rPr>
        <w:t>Net Income</w:t>
      </w:r>
    </w:p>
    <w:p>
      <w:pPr>
        <w:spacing w:after="0" w:line="195"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2980" w:type="dxa"/>
            <w:vAlign w:val="bottom"/>
          </w:tcPr>
          <w:p>
            <w:pPr>
              <w:spacing w:after="0"/>
              <w:rPr>
                <w:sz w:val="14"/>
                <w:szCs w:val="14"/>
                <w:color w:val="auto"/>
              </w:rPr>
            </w:pPr>
          </w:p>
        </w:tc>
        <w:tc>
          <w:tcPr>
            <w:tcW w:w="57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120" w:type="dxa"/>
            <w:vAlign w:val="bottom"/>
            <w:gridSpan w:val="4"/>
          </w:tcPr>
          <w:p>
            <w:pPr>
              <w:jc w:val="right"/>
              <w:ind w:right="79"/>
              <w:spacing w:after="0"/>
              <w:rPr>
                <w:sz w:val="20"/>
                <w:szCs w:val="20"/>
                <w:color w:val="auto"/>
              </w:rPr>
            </w:pPr>
            <w:r>
              <w:rPr>
                <w:rFonts w:ascii="Arial" w:cs="Arial" w:eastAsia="Arial" w:hAnsi="Arial"/>
                <w:sz w:val="14"/>
                <w:szCs w:val="14"/>
                <w:b w:val="1"/>
                <w:bCs w:val="1"/>
                <w:color w:val="auto"/>
                <w:w w:val="96"/>
              </w:rPr>
              <w:t>Quarter Ended</w:t>
            </w:r>
          </w:p>
        </w:tc>
        <w:tc>
          <w:tcPr>
            <w:tcW w:w="220" w:type="dxa"/>
            <w:vAlign w:val="bottom"/>
          </w:tcPr>
          <w:p>
            <w:pPr>
              <w:spacing w:after="0"/>
              <w:rPr>
                <w:sz w:val="14"/>
                <w:szCs w:val="14"/>
                <w:color w:val="auto"/>
              </w:rPr>
            </w:pPr>
          </w:p>
        </w:tc>
        <w:tc>
          <w:tcPr>
            <w:tcW w:w="1240" w:type="dxa"/>
            <w:vAlign w:val="bottom"/>
            <w:gridSpan w:val="7"/>
          </w:tcPr>
          <w:p>
            <w:pPr>
              <w:jc w:val="center"/>
              <w:ind w:right="20"/>
              <w:spacing w:after="0"/>
              <w:rPr>
                <w:sz w:val="20"/>
                <w:szCs w:val="20"/>
                <w:color w:val="auto"/>
              </w:rPr>
            </w:pPr>
            <w:r>
              <w:rPr>
                <w:rFonts w:ascii="Arial" w:cs="Arial" w:eastAsia="Arial" w:hAnsi="Arial"/>
                <w:sz w:val="14"/>
                <w:szCs w:val="14"/>
                <w:b w:val="1"/>
                <w:bCs w:val="1"/>
                <w:color w:val="auto"/>
                <w:w w:val="87"/>
              </w:rPr>
              <w:t>Six Months Ended</w:t>
            </w:r>
          </w:p>
        </w:tc>
        <w:tc>
          <w:tcPr>
            <w:tcW w:w="0" w:type="dxa"/>
            <w:vAlign w:val="bottom"/>
          </w:tcPr>
          <w:p>
            <w:pPr>
              <w:spacing w:after="0"/>
              <w:rPr>
                <w:sz w:val="1"/>
                <w:szCs w:val="1"/>
                <w:color w:val="auto"/>
              </w:rPr>
            </w:pPr>
          </w:p>
        </w:tc>
      </w:tr>
      <w:tr>
        <w:trPr>
          <w:trHeight w:val="161"/>
        </w:trPr>
        <w:tc>
          <w:tcPr>
            <w:tcW w:w="8780" w:type="dxa"/>
            <w:vAlign w:val="bottom"/>
            <w:gridSpan w:val="3"/>
            <w:vMerge w:val="restart"/>
          </w:tcPr>
          <w:p>
            <w:pPr>
              <w:spacing w:after="0"/>
              <w:rPr>
                <w:sz w:val="20"/>
                <w:szCs w:val="20"/>
                <w:color w:val="auto"/>
              </w:rPr>
            </w:pPr>
            <w:r>
              <w:rPr>
                <w:rFonts w:ascii="Arial" w:cs="Arial" w:eastAsia="Arial" w:hAnsi="Arial"/>
                <w:sz w:val="14"/>
                <w:szCs w:val="14"/>
                <w:b w:val="1"/>
                <w:bCs w:val="1"/>
                <w:color w:val="auto"/>
              </w:rPr>
              <w:t>(in millions of dollars, except per share amounts)</w:t>
            </w:r>
          </w:p>
        </w:tc>
        <w:tc>
          <w:tcPr>
            <w:tcW w:w="80" w:type="dxa"/>
            <w:vAlign w:val="bottom"/>
          </w:tcPr>
          <w:p>
            <w:pPr>
              <w:spacing w:after="0"/>
              <w:rPr>
                <w:sz w:val="14"/>
                <w:szCs w:val="14"/>
                <w:color w:val="auto"/>
              </w:rPr>
            </w:pPr>
          </w:p>
        </w:tc>
        <w:tc>
          <w:tcPr>
            <w:tcW w:w="1120" w:type="dxa"/>
            <w:vAlign w:val="bottom"/>
            <w:gridSpan w:val="4"/>
          </w:tcPr>
          <w:p>
            <w:pPr>
              <w:jc w:val="right"/>
              <w:ind w:right="279"/>
              <w:spacing w:after="0"/>
              <w:rPr>
                <w:sz w:val="20"/>
                <w:szCs w:val="20"/>
                <w:color w:val="auto"/>
              </w:rPr>
            </w:pPr>
            <w:r>
              <w:rPr>
                <w:rFonts w:ascii="Arial" w:cs="Arial" w:eastAsia="Arial" w:hAnsi="Arial"/>
                <w:sz w:val="14"/>
                <w:szCs w:val="14"/>
                <w:b w:val="1"/>
                <w:bCs w:val="1"/>
                <w:color w:val="auto"/>
              </w:rPr>
              <w:t>June 30,</w:t>
            </w:r>
          </w:p>
        </w:tc>
        <w:tc>
          <w:tcPr>
            <w:tcW w:w="2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140" w:type="dxa"/>
            <w:vAlign w:val="bottom"/>
            <w:gridSpan w:val="6"/>
          </w:tcPr>
          <w:p>
            <w:pPr>
              <w:jc w:val="center"/>
              <w:ind w:right="100"/>
              <w:spacing w:after="0"/>
              <w:rPr>
                <w:sz w:val="20"/>
                <w:szCs w:val="20"/>
                <w:color w:val="auto"/>
              </w:rPr>
            </w:pPr>
            <w:r>
              <w:rPr>
                <w:rFonts w:ascii="Arial" w:cs="Arial" w:eastAsia="Arial" w:hAnsi="Arial"/>
                <w:sz w:val="14"/>
                <w:szCs w:val="14"/>
                <w:b w:val="1"/>
                <w:bCs w:val="1"/>
                <w:color w:val="auto"/>
                <w:w w:val="85"/>
              </w:rPr>
              <w:t>June 30,</w:t>
            </w:r>
          </w:p>
        </w:tc>
        <w:tc>
          <w:tcPr>
            <w:tcW w:w="0" w:type="dxa"/>
            <w:vAlign w:val="bottom"/>
          </w:tcPr>
          <w:p>
            <w:pPr>
              <w:spacing w:after="0"/>
              <w:rPr>
                <w:sz w:val="1"/>
                <w:szCs w:val="1"/>
                <w:color w:val="auto"/>
              </w:rPr>
            </w:pPr>
          </w:p>
        </w:tc>
      </w:tr>
      <w:tr>
        <w:trPr>
          <w:trHeight w:val="142"/>
        </w:trPr>
        <w:tc>
          <w:tcPr>
            <w:tcW w:w="8780" w:type="dxa"/>
            <w:vAlign w:val="bottom"/>
            <w:gridSpan w:val="3"/>
            <w:vMerge w:val="continue"/>
          </w:tcPr>
          <w:p>
            <w:pPr>
              <w:spacing w:after="0"/>
              <w:rPr>
                <w:sz w:val="12"/>
                <w:szCs w:val="12"/>
                <w:color w:val="auto"/>
              </w:rPr>
            </w:pPr>
          </w:p>
        </w:tc>
        <w:tc>
          <w:tcPr>
            <w:tcW w:w="80" w:type="dxa"/>
            <w:vAlign w:val="bottom"/>
            <w:tcBorders>
              <w:top w:val="single" w:sz="8" w:color="auto"/>
            </w:tcBorders>
          </w:tcPr>
          <w:p>
            <w:pPr>
              <w:spacing w:after="0"/>
              <w:rPr>
                <w:sz w:val="12"/>
                <w:szCs w:val="12"/>
                <w:color w:val="auto"/>
              </w:rPr>
            </w:pPr>
          </w:p>
        </w:tc>
        <w:tc>
          <w:tcPr>
            <w:tcW w:w="420" w:type="dxa"/>
            <w:vAlign w:val="bottom"/>
            <w:tcBorders>
              <w:top w:val="single" w:sz="8" w:color="auto"/>
            </w:tcBorders>
          </w:tcPr>
          <w:p>
            <w:pPr>
              <w:jc w:val="right"/>
              <w:ind w:right="44"/>
              <w:spacing w:after="0" w:line="142" w:lineRule="exact"/>
              <w:rPr>
                <w:sz w:val="20"/>
                <w:szCs w:val="20"/>
                <w:color w:val="auto"/>
              </w:rPr>
            </w:pPr>
            <w:r>
              <w:rPr>
                <w:rFonts w:ascii="Arial" w:cs="Arial" w:eastAsia="Arial" w:hAnsi="Arial"/>
                <w:sz w:val="14"/>
                <w:szCs w:val="14"/>
                <w:b w:val="1"/>
                <w:bCs w:val="1"/>
                <w:color w:val="auto"/>
                <w:w w:val="89"/>
              </w:rPr>
              <w:t>2008</w:t>
            </w:r>
          </w:p>
        </w:tc>
        <w:tc>
          <w:tcPr>
            <w:tcW w:w="200" w:type="dxa"/>
            <w:vAlign w:val="bottom"/>
            <w:tcBorders>
              <w:top w:val="single" w:sz="8" w:color="auto"/>
            </w:tcBorders>
          </w:tcPr>
          <w:p>
            <w:pPr>
              <w:spacing w:after="0"/>
              <w:rPr>
                <w:sz w:val="12"/>
                <w:szCs w:val="12"/>
                <w:color w:val="auto"/>
              </w:rPr>
            </w:pPr>
          </w:p>
        </w:tc>
        <w:tc>
          <w:tcPr>
            <w:tcW w:w="100" w:type="dxa"/>
            <w:vAlign w:val="bottom"/>
            <w:tcBorders>
              <w:top w:val="single" w:sz="8" w:color="auto"/>
            </w:tcBorders>
          </w:tcPr>
          <w:p>
            <w:pPr>
              <w:spacing w:after="0"/>
              <w:rPr>
                <w:sz w:val="12"/>
                <w:szCs w:val="12"/>
                <w:color w:val="auto"/>
              </w:rPr>
            </w:pPr>
          </w:p>
        </w:tc>
        <w:tc>
          <w:tcPr>
            <w:tcW w:w="400" w:type="dxa"/>
            <w:vAlign w:val="bottom"/>
            <w:tcBorders>
              <w:top w:val="single" w:sz="8" w:color="auto"/>
            </w:tcBorders>
          </w:tcPr>
          <w:p>
            <w:pPr>
              <w:jc w:val="right"/>
              <w:ind w:right="19"/>
              <w:spacing w:after="0" w:line="142" w:lineRule="exact"/>
              <w:rPr>
                <w:sz w:val="20"/>
                <w:szCs w:val="20"/>
                <w:color w:val="auto"/>
              </w:rPr>
            </w:pPr>
            <w:r>
              <w:rPr>
                <w:rFonts w:ascii="Arial" w:cs="Arial" w:eastAsia="Arial" w:hAnsi="Arial"/>
                <w:sz w:val="14"/>
                <w:szCs w:val="14"/>
                <w:b w:val="1"/>
                <w:bCs w:val="1"/>
                <w:color w:val="auto"/>
                <w:w w:val="89"/>
              </w:rPr>
              <w:t>2007</w:t>
            </w:r>
          </w:p>
        </w:tc>
        <w:tc>
          <w:tcPr>
            <w:tcW w:w="220" w:type="dxa"/>
            <w:vAlign w:val="bottom"/>
          </w:tcPr>
          <w:p>
            <w:pPr>
              <w:spacing w:after="0"/>
              <w:rPr>
                <w:sz w:val="12"/>
                <w:szCs w:val="12"/>
                <w:color w:val="auto"/>
              </w:rPr>
            </w:pPr>
          </w:p>
        </w:tc>
        <w:tc>
          <w:tcPr>
            <w:tcW w:w="100" w:type="dxa"/>
            <w:vAlign w:val="bottom"/>
            <w:tcBorders>
              <w:top w:val="single" w:sz="8" w:color="auto"/>
            </w:tcBorders>
          </w:tcPr>
          <w:p>
            <w:pPr>
              <w:spacing w:after="0"/>
              <w:rPr>
                <w:sz w:val="12"/>
                <w:szCs w:val="12"/>
                <w:color w:val="auto"/>
              </w:rPr>
            </w:pPr>
          </w:p>
        </w:tc>
        <w:tc>
          <w:tcPr>
            <w:tcW w:w="400" w:type="dxa"/>
            <w:vAlign w:val="bottom"/>
            <w:tcBorders>
              <w:top w:val="single" w:sz="8" w:color="auto"/>
            </w:tcBorders>
          </w:tcPr>
          <w:p>
            <w:pPr>
              <w:jc w:val="right"/>
              <w:ind w:right="42"/>
              <w:spacing w:after="0" w:line="142" w:lineRule="exact"/>
              <w:rPr>
                <w:sz w:val="20"/>
                <w:szCs w:val="20"/>
                <w:color w:val="auto"/>
              </w:rPr>
            </w:pPr>
            <w:r>
              <w:rPr>
                <w:rFonts w:ascii="Arial" w:cs="Arial" w:eastAsia="Arial" w:hAnsi="Arial"/>
                <w:sz w:val="14"/>
                <w:szCs w:val="14"/>
                <w:b w:val="1"/>
                <w:bCs w:val="1"/>
                <w:color w:val="auto"/>
                <w:w w:val="83"/>
              </w:rPr>
              <w:t>2008</w:t>
            </w:r>
          </w:p>
        </w:tc>
        <w:tc>
          <w:tcPr>
            <w:tcW w:w="120" w:type="dxa"/>
            <w:vAlign w:val="bottom"/>
            <w:tcBorders>
              <w:top w:val="single" w:sz="8" w:color="auto"/>
            </w:tcBorders>
          </w:tcPr>
          <w:p>
            <w:pPr>
              <w:spacing w:after="0"/>
              <w:rPr>
                <w:sz w:val="12"/>
                <w:szCs w:val="12"/>
                <w:color w:val="auto"/>
              </w:rPr>
            </w:pPr>
          </w:p>
        </w:tc>
        <w:tc>
          <w:tcPr>
            <w:tcW w:w="100" w:type="dxa"/>
            <w:vAlign w:val="bottom"/>
            <w:tcBorders>
              <w:top w:val="single" w:sz="8" w:color="auto"/>
            </w:tcBorders>
          </w:tcPr>
          <w:p>
            <w:pPr>
              <w:spacing w:after="0"/>
              <w:rPr>
                <w:sz w:val="12"/>
                <w:szCs w:val="12"/>
                <w:color w:val="auto"/>
              </w:rPr>
            </w:pPr>
          </w:p>
        </w:tc>
        <w:tc>
          <w:tcPr>
            <w:tcW w:w="100" w:type="dxa"/>
            <w:vAlign w:val="bottom"/>
            <w:tcBorders>
              <w:top w:val="single" w:sz="8" w:color="auto"/>
            </w:tcBorders>
          </w:tcPr>
          <w:p>
            <w:pPr>
              <w:spacing w:after="0"/>
              <w:rPr>
                <w:sz w:val="12"/>
                <w:szCs w:val="12"/>
                <w:color w:val="auto"/>
              </w:rPr>
            </w:pPr>
          </w:p>
        </w:tc>
        <w:tc>
          <w:tcPr>
            <w:tcW w:w="400" w:type="dxa"/>
            <w:vAlign w:val="bottom"/>
            <w:tcBorders>
              <w:top w:val="single" w:sz="8" w:color="auto"/>
            </w:tcBorders>
          </w:tcPr>
          <w:p>
            <w:pPr>
              <w:jc w:val="right"/>
              <w:ind w:right="39"/>
              <w:spacing w:after="0" w:line="142" w:lineRule="exact"/>
              <w:rPr>
                <w:sz w:val="20"/>
                <w:szCs w:val="20"/>
                <w:color w:val="auto"/>
              </w:rPr>
            </w:pPr>
            <w:r>
              <w:rPr>
                <w:rFonts w:ascii="Arial" w:cs="Arial" w:eastAsia="Arial" w:hAnsi="Arial"/>
                <w:sz w:val="14"/>
                <w:szCs w:val="14"/>
                <w:b w:val="1"/>
                <w:bCs w:val="1"/>
                <w:color w:val="auto"/>
                <w:w w:val="83"/>
              </w:rPr>
              <w:t>2007</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0"/>
        </w:trPr>
        <w:tc>
          <w:tcPr>
            <w:tcW w:w="20" w:type="dxa"/>
            <w:vAlign w:val="bottom"/>
            <w:vMerge w:val="restart"/>
          </w:tcPr>
          <w:p>
            <w:pPr>
              <w:spacing w:after="0" w:line="20" w:lineRule="exact"/>
              <w:rPr>
                <w:sz w:val="1"/>
                <w:szCs w:val="1"/>
                <w:color w:val="auto"/>
              </w:rPr>
            </w:pPr>
          </w:p>
        </w:tc>
        <w:tc>
          <w:tcPr>
            <w:tcW w:w="2980" w:type="dxa"/>
            <w:vAlign w:val="bottom"/>
            <w:shd w:val="clear" w:color="auto" w:fill="000000"/>
          </w:tcPr>
          <w:p>
            <w:pPr>
              <w:spacing w:after="0" w:line="20" w:lineRule="exact"/>
              <w:rPr>
                <w:sz w:val="1"/>
                <w:szCs w:val="1"/>
                <w:color w:val="auto"/>
              </w:rPr>
            </w:pPr>
          </w:p>
        </w:tc>
        <w:tc>
          <w:tcPr>
            <w:tcW w:w="578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42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vMerge w:val="continue"/>
          </w:tcPr>
          <w:p>
            <w:pPr>
              <w:spacing w:after="0"/>
              <w:rPr>
                <w:sz w:val="18"/>
                <w:szCs w:val="18"/>
                <w:color w:val="auto"/>
              </w:rPr>
            </w:pPr>
          </w:p>
        </w:tc>
        <w:tc>
          <w:tcPr>
            <w:tcW w:w="2980" w:type="dxa"/>
            <w:vAlign w:val="bottom"/>
            <w:shd w:val="clear" w:color="auto" w:fill="CCEEFF"/>
          </w:tcPr>
          <w:p>
            <w:pPr>
              <w:spacing w:after="0"/>
              <w:rPr>
                <w:sz w:val="20"/>
                <w:szCs w:val="20"/>
                <w:color w:val="auto"/>
              </w:rPr>
            </w:pPr>
            <w:r>
              <w:rPr>
                <w:rFonts w:ascii="Arial" w:cs="Arial" w:eastAsia="Arial" w:hAnsi="Arial"/>
                <w:sz w:val="18"/>
                <w:szCs w:val="18"/>
                <w:color w:val="auto"/>
              </w:rPr>
              <w:t>Net income</w:t>
            </w:r>
          </w:p>
        </w:tc>
        <w:tc>
          <w:tcPr>
            <w:tcW w:w="5780" w:type="dxa"/>
            <w:vAlign w:val="bottom"/>
            <w:shd w:val="clear" w:color="auto" w:fill="CCEEFF"/>
          </w:tcPr>
          <w:p>
            <w:pPr>
              <w:spacing w:after="0"/>
              <w:rPr>
                <w:sz w:val="18"/>
                <w:szCs w:val="18"/>
                <w:color w:val="auto"/>
              </w:rPr>
            </w:pP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4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8"/>
              </w:rPr>
              <w:t>1,275</w:t>
            </w: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4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4"/>
              </w:rPr>
              <w:t>1,148</w:t>
            </w: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5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w w:val="84"/>
              </w:rPr>
              <w:t>2,275</w:t>
            </w:r>
          </w:p>
        </w:tc>
        <w:tc>
          <w:tcPr>
            <w:tcW w:w="2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4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4"/>
              </w:rPr>
              <w:t>1,967</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8760" w:type="dxa"/>
            <w:vAlign w:val="bottom"/>
            <w:gridSpan w:val="2"/>
          </w:tcPr>
          <w:p>
            <w:pPr>
              <w:spacing w:after="0"/>
              <w:rPr>
                <w:sz w:val="20"/>
                <w:szCs w:val="20"/>
                <w:color w:val="auto"/>
              </w:rPr>
            </w:pPr>
            <w:r>
              <w:rPr>
                <w:rFonts w:ascii="Arial" w:cs="Arial" w:eastAsia="Arial" w:hAnsi="Arial"/>
                <w:sz w:val="18"/>
                <w:szCs w:val="18"/>
                <w:color w:val="auto"/>
              </w:rPr>
              <w:t>Diluted earnings per share</w:t>
            </w:r>
          </w:p>
        </w:tc>
        <w:tc>
          <w:tcPr>
            <w:tcW w:w="8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420" w:type="dxa"/>
            <w:vAlign w:val="bottom"/>
          </w:tcPr>
          <w:p>
            <w:pPr>
              <w:jc w:val="right"/>
              <w:spacing w:after="0"/>
              <w:rPr>
                <w:sz w:val="20"/>
                <w:szCs w:val="20"/>
                <w:color w:val="auto"/>
              </w:rPr>
            </w:pPr>
            <w:r>
              <w:rPr>
                <w:rFonts w:ascii="Arial" w:cs="Arial" w:eastAsia="Arial" w:hAnsi="Arial"/>
                <w:sz w:val="18"/>
                <w:szCs w:val="18"/>
                <w:color w:val="auto"/>
              </w:rPr>
              <w:t>1.32</w:t>
            </w:r>
          </w:p>
        </w:tc>
        <w:tc>
          <w:tcPr>
            <w:tcW w:w="3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400" w:type="dxa"/>
            <w:vAlign w:val="bottom"/>
          </w:tcPr>
          <w:p>
            <w:pPr>
              <w:jc w:val="right"/>
              <w:spacing w:after="0"/>
              <w:rPr>
                <w:sz w:val="20"/>
                <w:szCs w:val="20"/>
                <w:color w:val="auto"/>
              </w:rPr>
            </w:pPr>
            <w:r>
              <w:rPr>
                <w:rFonts w:ascii="Arial" w:cs="Arial" w:eastAsia="Arial" w:hAnsi="Arial"/>
                <w:sz w:val="18"/>
                <w:szCs w:val="18"/>
                <w:color w:val="auto"/>
              </w:rPr>
              <w:t>1.16</w:t>
            </w:r>
          </w:p>
        </w:tc>
        <w:tc>
          <w:tcPr>
            <w:tcW w:w="3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520" w:type="dxa"/>
            <w:vAlign w:val="bottom"/>
            <w:gridSpan w:val="2"/>
          </w:tcPr>
          <w:p>
            <w:pPr>
              <w:jc w:val="right"/>
              <w:ind w:right="120"/>
              <w:spacing w:after="0"/>
              <w:rPr>
                <w:sz w:val="20"/>
                <w:szCs w:val="20"/>
                <w:color w:val="auto"/>
              </w:rPr>
            </w:pPr>
            <w:r>
              <w:rPr>
                <w:rFonts w:ascii="Arial" w:cs="Arial" w:eastAsia="Arial" w:hAnsi="Arial"/>
                <w:sz w:val="18"/>
                <w:szCs w:val="18"/>
                <w:color w:val="auto"/>
              </w:rPr>
              <w:t>2.34</w:t>
            </w:r>
          </w:p>
        </w:tc>
        <w:tc>
          <w:tcPr>
            <w:tcW w:w="20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400" w:type="dxa"/>
            <w:vAlign w:val="bottom"/>
          </w:tcPr>
          <w:p>
            <w:pPr>
              <w:jc w:val="right"/>
              <w:spacing w:after="0"/>
              <w:rPr>
                <w:sz w:val="20"/>
                <w:szCs w:val="20"/>
                <w:color w:val="auto"/>
              </w:rPr>
            </w:pPr>
            <w:r>
              <w:rPr>
                <w:rFonts w:ascii="Arial" w:cs="Arial" w:eastAsia="Arial" w:hAnsi="Arial"/>
                <w:sz w:val="18"/>
                <w:szCs w:val="18"/>
                <w:color w:val="auto"/>
              </w:rPr>
              <w:t>1.98</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bl>
    <w:p>
      <w:pPr>
        <w:spacing w:after="0" w:line="147" w:lineRule="exact"/>
        <w:rPr>
          <w:sz w:val="20"/>
          <w:szCs w:val="20"/>
          <w:color w:val="auto"/>
        </w:rPr>
      </w:pPr>
    </w:p>
    <w:p>
      <w:pPr>
        <w:ind w:right="60" w:firstLine="456"/>
        <w:spacing w:after="0" w:line="290" w:lineRule="auto"/>
        <w:rPr>
          <w:sz w:val="20"/>
          <w:szCs w:val="20"/>
          <w:color w:val="auto"/>
        </w:rPr>
      </w:pPr>
      <w:r>
        <w:rPr>
          <w:rFonts w:ascii="Arial" w:cs="Arial" w:eastAsia="Arial" w:hAnsi="Arial"/>
          <w:sz w:val="16"/>
          <w:szCs w:val="16"/>
          <w:color w:val="auto"/>
        </w:rPr>
        <w:t>Foreign currency translation had a positive impact on earnings per share in the second quarter of 2008 of $.04 per share compared to $.03 per share in the same period of 2007, while incremental restructuring charges resulted in an adverse impact of $.06 per share and $.02 per share in the second quarter 2008 and 2007, respectively. As previously disclosed, the diluted earnings per share for the first six months of 2007 included the EU Fine, net of previously established reserves against the fine, and incremental restructuring charges, partially offset by gains on the sale of land and marketable securities, and the favorable impact of a contract termination at Pratt &amp; Whitney, resulting in a $.07 per share adverse impact on diluted earnings per share in the first quarter of 2007 and an additional $.02 per share adverse impact in the second quarter of 2007. In the first six months of 2007, net income was further reduced by an increase in minority interest which included $27 million for the minority partner’s share of the gain from the previously noted sale of land.</w:t>
      </w:r>
    </w:p>
    <w:p>
      <w:pPr>
        <w:spacing w:after="0" w:line="19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Restructuring and Related Costs</w:t>
      </w:r>
    </w:p>
    <w:p>
      <w:pPr>
        <w:spacing w:after="0" w:line="96" w:lineRule="exact"/>
        <w:rPr>
          <w:sz w:val="20"/>
          <w:szCs w:val="20"/>
          <w:color w:val="auto"/>
        </w:rPr>
      </w:pPr>
    </w:p>
    <w:p>
      <w:pPr>
        <w:ind w:right="180" w:firstLine="456"/>
        <w:spacing w:after="0" w:line="268" w:lineRule="auto"/>
        <w:rPr>
          <w:sz w:val="20"/>
          <w:szCs w:val="20"/>
          <w:color w:val="auto"/>
        </w:rPr>
      </w:pPr>
      <w:r>
        <w:rPr>
          <w:rFonts w:ascii="Arial" w:cs="Arial" w:eastAsia="Arial" w:hAnsi="Arial"/>
          <w:sz w:val="18"/>
          <w:szCs w:val="18"/>
          <w:color w:val="auto"/>
        </w:rPr>
        <w:t>During the first six months of 2008, we recorded net pre-tax restructuring and related charges in our business segments totaling $128 million for new and ongoing restructuring actions as follows:</w:t>
      </w:r>
    </w:p>
    <w:p>
      <w:pPr>
        <w:spacing w:after="0" w:line="16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11060" w:type="dxa"/>
            <w:vAlign w:val="bottom"/>
            <w:gridSpan w:val="3"/>
          </w:tcPr>
          <w:p>
            <w:pPr>
              <w:spacing w:after="0"/>
              <w:rPr>
                <w:sz w:val="20"/>
                <w:szCs w:val="20"/>
                <w:color w:val="auto"/>
              </w:rPr>
            </w:pPr>
            <w:r>
              <w:rPr>
                <w:rFonts w:ascii="Arial" w:cs="Arial" w:eastAsia="Arial" w:hAnsi="Arial"/>
                <w:sz w:val="14"/>
                <w:szCs w:val="14"/>
                <w:b w:val="1"/>
                <w:bCs w:val="1"/>
                <w:color w:val="auto"/>
              </w:rPr>
              <w:t>(in millions of dollars)</w:t>
            </w:r>
          </w:p>
        </w:tc>
        <w:tc>
          <w:tcPr>
            <w:tcW w:w="80" w:type="dxa"/>
            <w:vAlign w:val="bottom"/>
          </w:tcPr>
          <w:p>
            <w:pPr>
              <w:spacing w:after="0"/>
              <w:rPr>
                <w:sz w:val="14"/>
                <w:szCs w:val="14"/>
                <w:color w:val="auto"/>
              </w:rPr>
            </w:pPr>
          </w:p>
        </w:tc>
        <w:tc>
          <w:tcPr>
            <w:tcW w:w="280" w:type="dxa"/>
            <w:vAlign w:val="bottom"/>
          </w:tcPr>
          <w:p>
            <w:pPr>
              <w:spacing w:after="0"/>
              <w:rPr>
                <w:sz w:val="14"/>
                <w:szCs w:val="14"/>
                <w:color w:val="auto"/>
              </w:rPr>
            </w:pPr>
          </w:p>
        </w:tc>
      </w:tr>
      <w:tr>
        <w:trPr>
          <w:trHeight w:val="210"/>
        </w:trPr>
        <w:tc>
          <w:tcPr>
            <w:tcW w:w="20" w:type="dxa"/>
            <w:vAlign w:val="bottom"/>
          </w:tcPr>
          <w:p>
            <w:pPr>
              <w:spacing w:after="0"/>
              <w:rPr>
                <w:sz w:val="18"/>
                <w:szCs w:val="18"/>
                <w:color w:val="auto"/>
              </w:rPr>
            </w:pPr>
          </w:p>
        </w:tc>
        <w:tc>
          <w:tcPr>
            <w:tcW w:w="134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Otis</w:t>
            </w:r>
          </w:p>
        </w:tc>
        <w:tc>
          <w:tcPr>
            <w:tcW w:w="9700" w:type="dxa"/>
            <w:vAlign w:val="bottom"/>
            <w:shd w:val="clear" w:color="auto" w:fill="CCEEFF"/>
          </w:tcPr>
          <w:p>
            <w:pPr>
              <w:spacing w:after="0"/>
              <w:rPr>
                <w:sz w:val="18"/>
                <w:szCs w:val="18"/>
                <w:color w:val="auto"/>
              </w:rPr>
            </w:pP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w:t>
            </w:r>
          </w:p>
        </w:tc>
      </w:tr>
      <w:tr>
        <w:trPr>
          <w:trHeight w:val="216"/>
        </w:trPr>
        <w:tc>
          <w:tcPr>
            <w:tcW w:w="20" w:type="dxa"/>
            <w:vAlign w:val="bottom"/>
          </w:tcPr>
          <w:p>
            <w:pPr>
              <w:spacing w:after="0"/>
              <w:rPr>
                <w:sz w:val="18"/>
                <w:szCs w:val="18"/>
                <w:color w:val="auto"/>
              </w:rPr>
            </w:pPr>
          </w:p>
        </w:tc>
        <w:tc>
          <w:tcPr>
            <w:tcW w:w="11040" w:type="dxa"/>
            <w:vAlign w:val="bottom"/>
            <w:gridSpan w:val="2"/>
          </w:tcPr>
          <w:p>
            <w:pPr>
              <w:spacing w:after="0"/>
              <w:rPr>
                <w:sz w:val="20"/>
                <w:szCs w:val="20"/>
                <w:color w:val="auto"/>
              </w:rPr>
            </w:pPr>
            <w:r>
              <w:rPr>
                <w:rFonts w:ascii="Arial" w:cs="Arial" w:eastAsia="Arial" w:hAnsi="Arial"/>
                <w:sz w:val="18"/>
                <w:szCs w:val="18"/>
                <w:color w:val="auto"/>
              </w:rPr>
              <w:t>Carrier</w:t>
            </w:r>
          </w:p>
        </w:tc>
        <w:tc>
          <w:tcPr>
            <w:tcW w:w="80" w:type="dxa"/>
            <w:vAlign w:val="bottom"/>
          </w:tcPr>
          <w:p>
            <w:pPr>
              <w:spacing w:after="0"/>
              <w:rPr>
                <w:sz w:val="18"/>
                <w:szCs w:val="18"/>
                <w:color w:val="auto"/>
              </w:rPr>
            </w:pPr>
          </w:p>
        </w:tc>
        <w:tc>
          <w:tcPr>
            <w:tcW w:w="280" w:type="dxa"/>
            <w:vAlign w:val="bottom"/>
          </w:tcPr>
          <w:p>
            <w:pPr>
              <w:jc w:val="right"/>
              <w:spacing w:after="0"/>
              <w:rPr>
                <w:sz w:val="20"/>
                <w:szCs w:val="20"/>
                <w:color w:val="auto"/>
              </w:rPr>
            </w:pPr>
            <w:r>
              <w:rPr>
                <w:rFonts w:ascii="Arial" w:cs="Arial" w:eastAsia="Arial" w:hAnsi="Arial"/>
                <w:sz w:val="18"/>
                <w:szCs w:val="18"/>
                <w:color w:val="auto"/>
              </w:rPr>
              <w:t>57</w:t>
            </w:r>
          </w:p>
        </w:tc>
      </w:tr>
      <w:tr>
        <w:trPr>
          <w:trHeight w:val="216"/>
        </w:trPr>
        <w:tc>
          <w:tcPr>
            <w:tcW w:w="20" w:type="dxa"/>
            <w:vAlign w:val="bottom"/>
          </w:tcPr>
          <w:p>
            <w:pPr>
              <w:spacing w:after="0"/>
              <w:rPr>
                <w:sz w:val="18"/>
                <w:szCs w:val="18"/>
                <w:color w:val="auto"/>
              </w:rPr>
            </w:pPr>
          </w:p>
        </w:tc>
        <w:tc>
          <w:tcPr>
            <w:tcW w:w="110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UTC Fire &amp; Security</w:t>
            </w:r>
          </w:p>
        </w:tc>
        <w:tc>
          <w:tcPr>
            <w:tcW w:w="80" w:type="dxa"/>
            <w:vAlign w:val="bottom"/>
            <w:shd w:val="clear" w:color="auto" w:fill="CCEEFF"/>
          </w:tcPr>
          <w:p>
            <w:pPr>
              <w:spacing w:after="0"/>
              <w:rPr>
                <w:sz w:val="18"/>
                <w:szCs w:val="18"/>
                <w:color w:val="auto"/>
              </w:rPr>
            </w:pPr>
          </w:p>
        </w:tc>
        <w:tc>
          <w:tcPr>
            <w:tcW w:w="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33</w:t>
            </w:r>
          </w:p>
        </w:tc>
      </w:tr>
      <w:tr>
        <w:trPr>
          <w:trHeight w:val="216"/>
        </w:trPr>
        <w:tc>
          <w:tcPr>
            <w:tcW w:w="20" w:type="dxa"/>
            <w:vAlign w:val="bottom"/>
          </w:tcPr>
          <w:p>
            <w:pPr>
              <w:spacing w:after="0"/>
              <w:rPr>
                <w:sz w:val="18"/>
                <w:szCs w:val="18"/>
                <w:color w:val="auto"/>
              </w:rPr>
            </w:pPr>
          </w:p>
        </w:tc>
        <w:tc>
          <w:tcPr>
            <w:tcW w:w="11040" w:type="dxa"/>
            <w:vAlign w:val="bottom"/>
            <w:gridSpan w:val="2"/>
          </w:tcPr>
          <w:p>
            <w:pPr>
              <w:spacing w:after="0"/>
              <w:rPr>
                <w:sz w:val="20"/>
                <w:szCs w:val="20"/>
                <w:color w:val="auto"/>
              </w:rPr>
            </w:pPr>
            <w:r>
              <w:rPr>
                <w:rFonts w:ascii="Arial" w:cs="Arial" w:eastAsia="Arial" w:hAnsi="Arial"/>
                <w:sz w:val="18"/>
                <w:szCs w:val="18"/>
                <w:color w:val="auto"/>
              </w:rPr>
              <w:t>Pratt &amp; Whitney</w:t>
            </w:r>
          </w:p>
        </w:tc>
        <w:tc>
          <w:tcPr>
            <w:tcW w:w="80" w:type="dxa"/>
            <w:vAlign w:val="bottom"/>
          </w:tcPr>
          <w:p>
            <w:pPr>
              <w:spacing w:after="0"/>
              <w:rPr>
                <w:sz w:val="18"/>
                <w:szCs w:val="18"/>
                <w:color w:val="auto"/>
              </w:rPr>
            </w:pPr>
          </w:p>
        </w:tc>
        <w:tc>
          <w:tcPr>
            <w:tcW w:w="280" w:type="dxa"/>
            <w:vAlign w:val="bottom"/>
          </w:tcPr>
          <w:p>
            <w:pPr>
              <w:jc w:val="right"/>
              <w:spacing w:after="0"/>
              <w:rPr>
                <w:sz w:val="20"/>
                <w:szCs w:val="20"/>
                <w:color w:val="auto"/>
              </w:rPr>
            </w:pPr>
            <w:r>
              <w:rPr>
                <w:rFonts w:ascii="Arial" w:cs="Arial" w:eastAsia="Arial" w:hAnsi="Arial"/>
                <w:sz w:val="18"/>
                <w:szCs w:val="18"/>
                <w:color w:val="auto"/>
              </w:rPr>
              <w:t>31</w:t>
            </w:r>
          </w:p>
        </w:tc>
      </w:tr>
      <w:tr>
        <w:trPr>
          <w:trHeight w:val="216"/>
        </w:trPr>
        <w:tc>
          <w:tcPr>
            <w:tcW w:w="20" w:type="dxa"/>
            <w:vAlign w:val="bottom"/>
          </w:tcPr>
          <w:p>
            <w:pPr>
              <w:spacing w:after="0"/>
              <w:rPr>
                <w:sz w:val="18"/>
                <w:szCs w:val="18"/>
                <w:color w:val="auto"/>
              </w:rPr>
            </w:pPr>
          </w:p>
        </w:tc>
        <w:tc>
          <w:tcPr>
            <w:tcW w:w="110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Hamilton Sundstrand</w:t>
            </w:r>
          </w:p>
        </w:tc>
        <w:tc>
          <w:tcPr>
            <w:tcW w:w="80" w:type="dxa"/>
            <w:vAlign w:val="bottom"/>
            <w:tcBorders>
              <w:bottom w:val="single" w:sz="8" w:color="auto"/>
            </w:tcBorders>
            <w:shd w:val="clear" w:color="auto" w:fill="CCEEFF"/>
          </w:tcPr>
          <w:p>
            <w:pPr>
              <w:spacing w:after="0"/>
              <w:rPr>
                <w:sz w:val="18"/>
                <w:szCs w:val="18"/>
                <w:color w:val="auto"/>
              </w:rPr>
            </w:pPr>
          </w:p>
        </w:tc>
        <w:tc>
          <w:tcPr>
            <w:tcW w:w="2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w:t>
            </w:r>
          </w:p>
        </w:tc>
      </w:tr>
      <w:tr>
        <w:trPr>
          <w:trHeight w:val="222"/>
        </w:trPr>
        <w:tc>
          <w:tcPr>
            <w:tcW w:w="11060" w:type="dxa"/>
            <w:vAlign w:val="bottom"/>
            <w:gridSpan w:val="3"/>
          </w:tcPr>
          <w:p>
            <w:pPr>
              <w:spacing w:after="0"/>
              <w:rPr>
                <w:sz w:val="20"/>
                <w:szCs w:val="20"/>
                <w:color w:val="auto"/>
              </w:rPr>
            </w:pPr>
            <w:r>
              <w:rPr>
                <w:rFonts w:ascii="Arial" w:cs="Arial" w:eastAsia="Arial" w:hAnsi="Arial"/>
                <w:sz w:val="18"/>
                <w:szCs w:val="18"/>
                <w:color w:val="auto"/>
              </w:rPr>
              <w:t>Totals</w:t>
            </w:r>
          </w:p>
        </w:tc>
        <w:tc>
          <w:tcPr>
            <w:tcW w:w="80" w:type="dxa"/>
            <w:vAlign w:val="bottom"/>
            <w:tcBorders>
              <w:bottom w:val="single" w:sz="8" w:color="auto"/>
            </w:tcBorders>
          </w:tcPr>
          <w:p>
            <w:pPr>
              <w:jc w:val="right"/>
              <w:spacing w:after="0"/>
              <w:rPr>
                <w:sz w:val="20"/>
                <w:szCs w:val="20"/>
                <w:color w:val="auto"/>
              </w:rPr>
            </w:pPr>
            <w:r>
              <w:rPr>
                <w:rFonts w:ascii="Arial" w:cs="Arial" w:eastAsia="Arial" w:hAnsi="Arial"/>
                <w:sz w:val="15"/>
                <w:szCs w:val="15"/>
                <w:u w:val="single" w:color="auto"/>
                <w:color w:val="auto"/>
                <w:w w:val="71"/>
              </w:rPr>
              <w:t>$</w:t>
            </w:r>
          </w:p>
        </w:tc>
        <w:tc>
          <w:tcPr>
            <w:tcW w:w="2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86"/>
              </w:rPr>
              <w:t>128</w:t>
            </w:r>
          </w:p>
        </w:tc>
      </w:tr>
      <w:tr>
        <w:trPr>
          <w:trHeight w:val="20"/>
        </w:trPr>
        <w:tc>
          <w:tcPr>
            <w:tcW w:w="20" w:type="dxa"/>
            <w:vAlign w:val="bottom"/>
          </w:tcPr>
          <w:p>
            <w:pPr>
              <w:spacing w:after="0" w:line="20" w:lineRule="exact"/>
              <w:rPr>
                <w:sz w:val="1"/>
                <w:szCs w:val="1"/>
                <w:color w:val="auto"/>
              </w:rPr>
            </w:pPr>
          </w:p>
        </w:tc>
        <w:tc>
          <w:tcPr>
            <w:tcW w:w="1340" w:type="dxa"/>
            <w:vAlign w:val="bottom"/>
          </w:tcPr>
          <w:p>
            <w:pPr>
              <w:spacing w:after="0" w:line="20" w:lineRule="exact"/>
              <w:rPr>
                <w:sz w:val="1"/>
                <w:szCs w:val="1"/>
                <w:color w:val="auto"/>
              </w:rPr>
            </w:pPr>
          </w:p>
        </w:tc>
        <w:tc>
          <w:tcPr>
            <w:tcW w:w="970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r>
    </w:tbl>
    <w:p>
      <w:pPr>
        <w:spacing w:after="0" w:line="167" w:lineRule="exact"/>
        <w:rPr>
          <w:sz w:val="20"/>
          <w:szCs w:val="20"/>
          <w:color w:val="auto"/>
        </w:rPr>
      </w:pPr>
    </w:p>
    <w:p>
      <w:pPr>
        <w:ind w:right="280" w:firstLine="456"/>
        <w:spacing w:after="0" w:line="268" w:lineRule="auto"/>
        <w:rPr>
          <w:sz w:val="20"/>
          <w:szCs w:val="20"/>
          <w:color w:val="auto"/>
        </w:rPr>
      </w:pPr>
      <w:r>
        <w:rPr>
          <w:rFonts w:ascii="Arial" w:cs="Arial" w:eastAsia="Arial" w:hAnsi="Arial"/>
          <w:sz w:val="18"/>
          <w:szCs w:val="18"/>
          <w:color w:val="auto"/>
        </w:rPr>
        <w:t>The net charges included $38 million in cost of sales, $86 million in selling, general and administrative expenses and $4 million in other income and, as described below, relate to actions initiated during 2008 and 2007 and trailing costs related to certain 2006 actions.</w:t>
      </w:r>
    </w:p>
    <w:p>
      <w:pPr>
        <w:spacing w:after="0" w:line="126" w:lineRule="exact"/>
        <w:rPr>
          <w:sz w:val="20"/>
          <w:szCs w:val="20"/>
          <w:color w:val="auto"/>
        </w:rPr>
      </w:pPr>
    </w:p>
    <w:p>
      <w:pPr>
        <w:ind w:right="20" w:firstLine="456"/>
        <w:spacing w:after="0" w:line="255" w:lineRule="auto"/>
        <w:rPr>
          <w:sz w:val="20"/>
          <w:szCs w:val="20"/>
          <w:color w:val="auto"/>
        </w:rPr>
      </w:pPr>
      <w:r>
        <w:rPr>
          <w:rFonts w:ascii="Arial" w:cs="Arial" w:eastAsia="Arial" w:hAnsi="Arial"/>
          <w:sz w:val="18"/>
          <w:szCs w:val="18"/>
          <w:b w:val="1"/>
          <w:bCs w:val="1"/>
          <w:color w:val="auto"/>
        </w:rPr>
        <w:t xml:space="preserve">2008 Actions. </w:t>
      </w:r>
      <w:r>
        <w:rPr>
          <w:rFonts w:ascii="Arial" w:cs="Arial" w:eastAsia="Arial" w:hAnsi="Arial"/>
          <w:sz w:val="18"/>
          <w:szCs w:val="18"/>
          <w:color w:val="auto"/>
        </w:rPr>
        <w:t>During the first six months of 2008, we initiated restructuring actions relating to ongoing cost reduction efforts, including selling, general</w:t>
      </w:r>
      <w:r>
        <w:rPr>
          <w:rFonts w:ascii="Arial" w:cs="Arial" w:eastAsia="Arial" w:hAnsi="Arial"/>
          <w:sz w:val="18"/>
          <w:szCs w:val="18"/>
          <w:b w:val="1"/>
          <w:bCs w:val="1"/>
          <w:color w:val="auto"/>
        </w:rPr>
        <w:t xml:space="preserve"> </w:t>
      </w:r>
      <w:r>
        <w:rPr>
          <w:rFonts w:ascii="Arial" w:cs="Arial" w:eastAsia="Arial" w:hAnsi="Arial"/>
          <w:sz w:val="18"/>
          <w:szCs w:val="18"/>
          <w:color w:val="auto"/>
        </w:rPr>
        <w:t>and administrative reductions, principally at Carrier and UTC Fire &amp; Security, and the consolidation of manufacturing facilities. We recorded net pre-tax restructuring and related charges in the business segments totaling $105 million as follows: Otis $6 million, Carrier $57 million, UTC Fire &amp; Security $30 million and Pratt &amp; Whitney $12 million. The charges included $16 million in cost of sales, $85 million in selling, general and administrative expenses and $4 million in other income. Those costs included $96 million for severance and related employee termination costs, $6 million for asset write-downs and $3 million for facility exit and lease termination costs.</w:t>
      </w:r>
    </w:p>
    <w:p>
      <w:pPr>
        <w:spacing w:after="0" w:line="145" w:lineRule="exact"/>
        <w:rPr>
          <w:sz w:val="20"/>
          <w:szCs w:val="20"/>
          <w:color w:val="auto"/>
        </w:rPr>
      </w:pPr>
    </w:p>
    <w:p>
      <w:pPr>
        <w:ind w:right="60" w:firstLine="456"/>
        <w:spacing w:after="0" w:line="290" w:lineRule="auto"/>
        <w:rPr>
          <w:sz w:val="20"/>
          <w:szCs w:val="20"/>
          <w:color w:val="auto"/>
        </w:rPr>
      </w:pPr>
      <w:r>
        <w:rPr>
          <w:rFonts w:ascii="Arial" w:cs="Arial" w:eastAsia="Arial" w:hAnsi="Arial"/>
          <w:sz w:val="16"/>
          <w:szCs w:val="16"/>
          <w:color w:val="auto"/>
        </w:rPr>
        <w:t>We expect the 2008 actions to result in net workforce reductions of approximately 2,700 hourly and salaried employees, the exiting of approximately 1,000,000 net square feet of facilities and the disposal of assets associated with the exited facilities. As of June 30, 2008, we have completed net workforce reductions of approximately 800 employees. We are targeting the majority of the remaining workforce and all facility related cost reduction actions for completion during 2008 and 2009. Approximately 60% of the total pre-tax charge will require cash payments, which we will fund with cash generated from operations. During the first six months of 2008, we had cash outflows of approximately $23 million related to the 2008 actions. We expect to incur additional restructuring and related charges of $81 million to complete these actions. We expect recurring pre-tax savings to increase over the two-year period subsequent to initiating the actions to approximately $140 million annually.</w:t>
      </w:r>
    </w:p>
    <w:p>
      <w:pPr>
        <w:spacing w:after="0" w:line="112" w:lineRule="exact"/>
        <w:rPr>
          <w:sz w:val="20"/>
          <w:szCs w:val="20"/>
          <w:color w:val="auto"/>
        </w:rPr>
      </w:pPr>
    </w:p>
    <w:p>
      <w:pPr>
        <w:ind w:right="40" w:firstLine="456"/>
        <w:spacing w:after="0" w:line="301" w:lineRule="auto"/>
        <w:rPr>
          <w:sz w:val="20"/>
          <w:szCs w:val="20"/>
          <w:color w:val="auto"/>
        </w:rPr>
      </w:pPr>
      <w:r>
        <w:rPr>
          <w:rFonts w:ascii="Arial" w:cs="Arial" w:eastAsia="Arial" w:hAnsi="Arial"/>
          <w:sz w:val="16"/>
          <w:szCs w:val="16"/>
          <w:b w:val="1"/>
          <w:bCs w:val="1"/>
          <w:color w:val="auto"/>
        </w:rPr>
        <w:t xml:space="preserve">2007 Actions. </w:t>
      </w:r>
      <w:r>
        <w:rPr>
          <w:rFonts w:ascii="Arial" w:cs="Arial" w:eastAsia="Arial" w:hAnsi="Arial"/>
          <w:sz w:val="16"/>
          <w:szCs w:val="16"/>
          <w:color w:val="auto"/>
        </w:rPr>
        <w:t>During the first six months of 2008, we recorded net pre-tax restructuring and related charges of $6 million for actions initiated in 2007. The</w:t>
      </w:r>
      <w:r>
        <w:rPr>
          <w:rFonts w:ascii="Arial" w:cs="Arial" w:eastAsia="Arial" w:hAnsi="Arial"/>
          <w:sz w:val="16"/>
          <w:szCs w:val="16"/>
          <w:b w:val="1"/>
          <w:bCs w:val="1"/>
          <w:color w:val="auto"/>
        </w:rPr>
        <w:t xml:space="preserve"> </w:t>
      </w:r>
      <w:r>
        <w:rPr>
          <w:rFonts w:ascii="Arial" w:cs="Arial" w:eastAsia="Arial" w:hAnsi="Arial"/>
          <w:sz w:val="16"/>
          <w:szCs w:val="16"/>
          <w:color w:val="auto"/>
        </w:rPr>
        <w:t>2007 actions relate to ongoing cost reduction efforts, including workforce reductions and the consolidation of manufacturing facilities. We recorded the charges for the first six months of 2008 in our segments as follows: UTC Fire &amp; Security $3 million, Pratt &amp; Whitney $2 million and Hamilton Sundstrand $1 million. The net charges included $5 million in cost of sales and $1 million in selling, general and administrative expenses.</w:t>
      </w:r>
    </w:p>
    <w:p>
      <w:pPr>
        <w:spacing w:after="0" w:line="9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26</w:t>
      </w:r>
    </w:p>
    <w:p>
      <w:pPr>
        <w:sectPr>
          <w:pgSz w:w="11900" w:h="16838" w:orient="portrait"/>
          <w:cols w:equalWidth="0" w:num="1">
            <w:col w:w="11420"/>
          </w:cols>
          <w:pgMar w:left="240" w:top="459" w:right="239" w:bottom="1440" w:gutter="0" w:footer="0" w:header="0"/>
        </w:sectPr>
      </w:pPr>
    </w:p>
    <w:bookmarkStart w:id="26" w:name="page27"/>
    <w:bookmarkEnd w:id="2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20" w:firstLine="456"/>
        <w:spacing w:after="0" w:line="290" w:lineRule="auto"/>
        <w:rPr>
          <w:sz w:val="20"/>
          <w:szCs w:val="20"/>
          <w:color w:val="auto"/>
        </w:rPr>
      </w:pPr>
      <w:r>
        <w:rPr>
          <w:rFonts w:ascii="Arial" w:cs="Arial" w:eastAsia="Arial" w:hAnsi="Arial"/>
          <w:sz w:val="16"/>
          <w:szCs w:val="16"/>
          <w:color w:val="auto"/>
        </w:rPr>
        <w:t>We expect the 2007 actions to result in net workforce reductions of approximately 1,900 hourly and salaried employees, the exiting of approximately 900,000 net square feet of facilities and the disposal of assets associated with the exited facilities. As of June 30, 2008, we have completed net workforce reductions of approximately 1,500 employees and exited 200,000 net square feet of facilities. We are targeting the majority of the remaining workforce and all facility related cost reduction actions for completion during 2008. Approximately 70% of the total pre-tax charge will require cash payments, which we will fund with cash generated from operations. During the first six months of 2008, we had cash outflows of approximately $29 million related to the 2007 actions. We expect to incur additional restructuring and related charges of $28 million to complete these actions. We expect recurring pre-tax savings to increase over the two-year period subsequent to initiating the actions to approximately $110 million annually.</w:t>
      </w:r>
    </w:p>
    <w:p>
      <w:pPr>
        <w:spacing w:after="0" w:line="112" w:lineRule="exact"/>
        <w:rPr>
          <w:sz w:val="20"/>
          <w:szCs w:val="20"/>
          <w:color w:val="auto"/>
        </w:rPr>
      </w:pPr>
    </w:p>
    <w:p>
      <w:pPr>
        <w:ind w:right="220" w:firstLine="456"/>
        <w:spacing w:after="0" w:line="258" w:lineRule="auto"/>
        <w:rPr>
          <w:sz w:val="20"/>
          <w:szCs w:val="20"/>
          <w:color w:val="auto"/>
        </w:rPr>
      </w:pPr>
      <w:r>
        <w:rPr>
          <w:rFonts w:ascii="Arial" w:cs="Arial" w:eastAsia="Arial" w:hAnsi="Arial"/>
          <w:sz w:val="18"/>
          <w:szCs w:val="18"/>
          <w:b w:val="1"/>
          <w:bCs w:val="1"/>
          <w:color w:val="auto"/>
        </w:rPr>
        <w:t xml:space="preserve">2006 Actions. </w:t>
      </w:r>
      <w:r>
        <w:rPr>
          <w:rFonts w:ascii="Arial" w:cs="Arial" w:eastAsia="Arial" w:hAnsi="Arial"/>
          <w:sz w:val="18"/>
          <w:szCs w:val="18"/>
          <w:color w:val="auto"/>
        </w:rPr>
        <w:t>During the first six months of 2008, we recorded net pre-tax restructuring and related charges of $17 million for actions initiated in 2006.</w:t>
      </w:r>
      <w:r>
        <w:rPr>
          <w:rFonts w:ascii="Arial" w:cs="Arial" w:eastAsia="Arial" w:hAnsi="Arial"/>
          <w:sz w:val="18"/>
          <w:szCs w:val="18"/>
          <w:b w:val="1"/>
          <w:bCs w:val="1"/>
          <w:color w:val="auto"/>
        </w:rPr>
        <w:t xml:space="preserve"> </w:t>
      </w:r>
      <w:r>
        <w:rPr>
          <w:rFonts w:ascii="Arial" w:cs="Arial" w:eastAsia="Arial" w:hAnsi="Arial"/>
          <w:sz w:val="18"/>
          <w:szCs w:val="18"/>
          <w:color w:val="auto"/>
        </w:rPr>
        <w:t>The 2006 actions relate to ongoing cost reduction efforts, selling, general and administrative reductions, workforce reductions and the consolidation of manufacturing facilities. The charges recorded in the first six months of 2008 pertain to facility exit and lease termination costs and were all recorded to cost of sales in Pratt &amp; Whitney’s operating results.</w:t>
      </w:r>
    </w:p>
    <w:p>
      <w:pPr>
        <w:spacing w:after="0" w:line="142" w:lineRule="exact"/>
        <w:rPr>
          <w:sz w:val="20"/>
          <w:szCs w:val="20"/>
          <w:color w:val="auto"/>
        </w:rPr>
      </w:pPr>
    </w:p>
    <w:p>
      <w:pPr>
        <w:ind w:firstLine="456"/>
        <w:spacing w:after="0" w:line="254" w:lineRule="auto"/>
        <w:rPr>
          <w:sz w:val="20"/>
          <w:szCs w:val="20"/>
          <w:color w:val="auto"/>
        </w:rPr>
      </w:pPr>
      <w:r>
        <w:rPr>
          <w:rFonts w:ascii="Arial" w:cs="Arial" w:eastAsia="Arial" w:hAnsi="Arial"/>
          <w:sz w:val="18"/>
          <w:szCs w:val="18"/>
          <w:color w:val="auto"/>
        </w:rPr>
        <w:t>We expect the 2006 actions to result in the exiting of approximately 800,000 net square feet of facilities and the disposal of assets associated with the exited facilities. As of June 30, 2008, we have completed all net workforce reductions of approximately 3,700 hourly and salaried employees and exited 400,000 net square feet of facilities. We are targeting the remaining facility related actions for completion during 2008. Approximately 90% of the total pre-tax charge will require cash payments, which we will fund with cash generated from operations. We expect pre-tax cash outflows on these programs to be approximately $225 million, of which $218 million has been funded to date. We expect recurring pre-tax savings to increase over the two-year period subsequent to initiating the actions to approximately $140 million annually.</w:t>
      </w:r>
    </w:p>
    <w:p>
      <w:pPr>
        <w:spacing w:after="0" w:line="219"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Additional 2008 Actions</w:t>
      </w:r>
    </w:p>
    <w:p>
      <w:pPr>
        <w:spacing w:after="0" w:line="96" w:lineRule="exact"/>
        <w:rPr>
          <w:sz w:val="20"/>
          <w:szCs w:val="20"/>
          <w:color w:val="auto"/>
        </w:rPr>
      </w:pPr>
    </w:p>
    <w:p>
      <w:pPr>
        <w:jc w:val="both"/>
        <w:ind w:right="280" w:firstLine="456"/>
        <w:spacing w:after="0" w:line="259" w:lineRule="auto"/>
        <w:rPr>
          <w:sz w:val="20"/>
          <w:szCs w:val="20"/>
          <w:color w:val="auto"/>
        </w:rPr>
      </w:pPr>
      <w:r>
        <w:rPr>
          <w:rFonts w:ascii="Arial" w:cs="Arial" w:eastAsia="Arial" w:hAnsi="Arial"/>
          <w:sz w:val="18"/>
          <w:szCs w:val="18"/>
          <w:color w:val="auto"/>
        </w:rPr>
        <w:t>We expect to initiate additional restructuring actions, including voluntary separation programs, during the remainder of 2008 due to our continuing cost reduction efforts. Including trailing costs from previously announced restructuring actions, the full year 2008 restructuring costs are expected to be about $300 million; however, no specific plans for significant other actions have been finalized at this time.</w:t>
      </w:r>
    </w:p>
    <w:p>
      <w:pPr>
        <w:spacing w:after="0" w:line="21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Segment Review</w:t>
      </w:r>
    </w:p>
    <w:p>
      <w:pPr>
        <w:spacing w:after="0" w:line="96" w:lineRule="exact"/>
        <w:rPr>
          <w:sz w:val="20"/>
          <w:szCs w:val="20"/>
          <w:color w:val="auto"/>
        </w:rPr>
      </w:pPr>
    </w:p>
    <w:p>
      <w:pPr>
        <w:ind w:firstLine="456"/>
        <w:spacing w:after="0" w:line="306" w:lineRule="auto"/>
        <w:rPr>
          <w:sz w:val="20"/>
          <w:szCs w:val="20"/>
          <w:color w:val="auto"/>
        </w:rPr>
      </w:pPr>
      <w:r>
        <w:rPr>
          <w:rFonts w:ascii="Arial" w:cs="Arial" w:eastAsia="Arial" w:hAnsi="Arial"/>
          <w:sz w:val="16"/>
          <w:szCs w:val="16"/>
          <w:color w:val="auto"/>
        </w:rPr>
        <w:t>Segments are generally based on the management structure of the businesses and the grouping of similar operating companies, where each management organization has general operating autonomy over diversified products and services. Adjustments to reconcile segment reporting to the consolidated results for the quarters and six months ended June 30, 2008 and 2007 are included in “Eliminations and other,” which also includes certain small subsidiaries.</w:t>
      </w:r>
    </w:p>
    <w:p>
      <w:pPr>
        <w:spacing w:after="0" w:line="9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27</w:t>
      </w:r>
    </w:p>
    <w:p>
      <w:pPr>
        <w:sectPr>
          <w:pgSz w:w="11900" w:h="16838" w:orient="portrait"/>
          <w:cols w:equalWidth="0" w:num="1">
            <w:col w:w="11420"/>
          </w:cols>
          <w:pgMar w:left="240" w:top="459" w:right="239" w:bottom="1440" w:gutter="0" w:footer="0" w:header="0"/>
        </w:sectPr>
      </w:pPr>
    </w:p>
    <w:bookmarkStart w:id="27" w:name="page28"/>
    <w:bookmarkEnd w:id="2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left="460"/>
        <w:spacing w:after="0"/>
        <w:rPr>
          <w:sz w:val="20"/>
          <w:szCs w:val="20"/>
          <w:color w:val="auto"/>
        </w:rPr>
      </w:pPr>
      <w:r>
        <w:rPr>
          <w:rFonts w:ascii="Arial" w:cs="Arial" w:eastAsia="Arial" w:hAnsi="Arial"/>
          <w:sz w:val="18"/>
          <w:szCs w:val="18"/>
          <w:color w:val="auto"/>
        </w:rPr>
        <w:t>Results for the quarters ended June 30, 2008 and 2007 are as follows:</w:t>
      </w:r>
    </w:p>
    <w:p>
      <w:pPr>
        <w:spacing w:after="0" w:line="207"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6460" w:type="dxa"/>
            <w:vAlign w:val="bottom"/>
            <w:gridSpan w:val="3"/>
            <w:vMerge w:val="restart"/>
          </w:tcPr>
          <w:p>
            <w:pPr>
              <w:spacing w:after="0"/>
              <w:rPr>
                <w:sz w:val="20"/>
                <w:szCs w:val="20"/>
                <w:color w:val="auto"/>
              </w:rPr>
            </w:pPr>
            <w:r>
              <w:rPr>
                <w:rFonts w:ascii="Arial" w:cs="Arial" w:eastAsia="Arial" w:hAnsi="Arial"/>
                <w:sz w:val="14"/>
                <w:szCs w:val="14"/>
                <w:b w:val="1"/>
                <w:bCs w:val="1"/>
                <w:color w:val="auto"/>
              </w:rPr>
              <w:t>(in millions of dollars)</w:t>
            </w:r>
          </w:p>
        </w:tc>
        <w:tc>
          <w:tcPr>
            <w:tcW w:w="100" w:type="dxa"/>
            <w:vAlign w:val="bottom"/>
          </w:tcPr>
          <w:p>
            <w:pPr>
              <w:spacing w:after="0"/>
              <w:rPr>
                <w:sz w:val="14"/>
                <w:szCs w:val="14"/>
                <w:color w:val="auto"/>
              </w:rPr>
            </w:pPr>
          </w:p>
        </w:tc>
        <w:tc>
          <w:tcPr>
            <w:tcW w:w="1600" w:type="dxa"/>
            <w:vAlign w:val="bottom"/>
            <w:gridSpan w:val="5"/>
          </w:tcPr>
          <w:p>
            <w:pPr>
              <w:jc w:val="right"/>
              <w:ind w:right="700"/>
              <w:spacing w:after="0"/>
              <w:rPr>
                <w:sz w:val="20"/>
                <w:szCs w:val="20"/>
                <w:color w:val="auto"/>
              </w:rPr>
            </w:pPr>
            <w:r>
              <w:rPr>
                <w:rFonts w:ascii="Arial" w:cs="Arial" w:eastAsia="Arial" w:hAnsi="Arial"/>
                <w:sz w:val="14"/>
                <w:szCs w:val="14"/>
                <w:b w:val="1"/>
                <w:bCs w:val="1"/>
                <w:color w:val="auto"/>
              </w:rPr>
              <w:t>Revenues</w:t>
            </w:r>
          </w:p>
        </w:tc>
        <w:tc>
          <w:tcPr>
            <w:tcW w:w="100" w:type="dxa"/>
            <w:vAlign w:val="bottom"/>
          </w:tcPr>
          <w:p>
            <w:pPr>
              <w:spacing w:after="0"/>
              <w:rPr>
                <w:sz w:val="14"/>
                <w:szCs w:val="14"/>
                <w:color w:val="auto"/>
              </w:rPr>
            </w:pPr>
          </w:p>
        </w:tc>
        <w:tc>
          <w:tcPr>
            <w:tcW w:w="1440" w:type="dxa"/>
            <w:vAlign w:val="bottom"/>
            <w:gridSpan w:val="5"/>
          </w:tcPr>
          <w:p>
            <w:pPr>
              <w:jc w:val="right"/>
              <w:ind w:right="400"/>
              <w:spacing w:after="0"/>
              <w:rPr>
                <w:sz w:val="20"/>
                <w:szCs w:val="20"/>
                <w:color w:val="auto"/>
              </w:rPr>
            </w:pPr>
            <w:r>
              <w:rPr>
                <w:rFonts w:ascii="Arial" w:cs="Arial" w:eastAsia="Arial" w:hAnsi="Arial"/>
                <w:sz w:val="14"/>
                <w:szCs w:val="14"/>
                <w:b w:val="1"/>
                <w:bCs w:val="1"/>
                <w:color w:val="auto"/>
                <w:w w:val="89"/>
              </w:rPr>
              <w:t>Operating Profits</w:t>
            </w:r>
          </w:p>
        </w:tc>
        <w:tc>
          <w:tcPr>
            <w:tcW w:w="1720" w:type="dxa"/>
            <w:vAlign w:val="bottom"/>
            <w:gridSpan w:val="4"/>
          </w:tcPr>
          <w:p>
            <w:pPr>
              <w:jc w:val="right"/>
              <w:ind w:right="220"/>
              <w:spacing w:after="0"/>
              <w:rPr>
                <w:sz w:val="20"/>
                <w:szCs w:val="20"/>
                <w:color w:val="auto"/>
              </w:rPr>
            </w:pPr>
            <w:r>
              <w:rPr>
                <w:rFonts w:ascii="Arial" w:cs="Arial" w:eastAsia="Arial" w:hAnsi="Arial"/>
                <w:sz w:val="14"/>
                <w:szCs w:val="14"/>
                <w:b w:val="1"/>
                <w:bCs w:val="1"/>
                <w:color w:val="auto"/>
                <w:w w:val="94"/>
              </w:rPr>
              <w:t>Operating Profit Margin</w:t>
            </w:r>
          </w:p>
        </w:tc>
        <w:tc>
          <w:tcPr>
            <w:tcW w:w="0" w:type="dxa"/>
            <w:vAlign w:val="bottom"/>
          </w:tcPr>
          <w:p>
            <w:pPr>
              <w:spacing w:after="0"/>
              <w:rPr>
                <w:sz w:val="1"/>
                <w:szCs w:val="1"/>
                <w:color w:val="auto"/>
              </w:rPr>
            </w:pPr>
          </w:p>
        </w:tc>
      </w:tr>
      <w:tr>
        <w:trPr>
          <w:trHeight w:val="142"/>
        </w:trPr>
        <w:tc>
          <w:tcPr>
            <w:tcW w:w="6460" w:type="dxa"/>
            <w:vAlign w:val="bottom"/>
            <w:gridSpan w:val="3"/>
            <w:vMerge w:val="continue"/>
          </w:tcPr>
          <w:p>
            <w:pPr>
              <w:spacing w:after="0"/>
              <w:rPr>
                <w:sz w:val="12"/>
                <w:szCs w:val="12"/>
                <w:color w:val="auto"/>
              </w:rPr>
            </w:pPr>
          </w:p>
        </w:tc>
        <w:tc>
          <w:tcPr>
            <w:tcW w:w="100" w:type="dxa"/>
            <w:vAlign w:val="bottom"/>
            <w:tcBorders>
              <w:top w:val="single" w:sz="8" w:color="auto"/>
            </w:tcBorders>
          </w:tcPr>
          <w:p>
            <w:pPr>
              <w:spacing w:after="0"/>
              <w:rPr>
                <w:sz w:val="12"/>
                <w:szCs w:val="12"/>
                <w:color w:val="auto"/>
              </w:rPr>
            </w:pPr>
          </w:p>
        </w:tc>
        <w:tc>
          <w:tcPr>
            <w:tcW w:w="480" w:type="dxa"/>
            <w:vAlign w:val="bottom"/>
            <w:tcBorders>
              <w:top w:val="single" w:sz="8" w:color="auto"/>
            </w:tcBorders>
          </w:tcPr>
          <w:p>
            <w:pPr>
              <w:jc w:val="right"/>
              <w:ind w:right="76"/>
              <w:spacing w:after="0" w:line="142" w:lineRule="exact"/>
              <w:rPr>
                <w:sz w:val="20"/>
                <w:szCs w:val="20"/>
                <w:color w:val="auto"/>
              </w:rPr>
            </w:pPr>
            <w:r>
              <w:rPr>
                <w:rFonts w:ascii="Arial" w:cs="Arial" w:eastAsia="Arial" w:hAnsi="Arial"/>
                <w:sz w:val="14"/>
                <w:szCs w:val="14"/>
                <w:b w:val="1"/>
                <w:bCs w:val="1"/>
                <w:color w:val="auto"/>
                <w:w w:val="96"/>
              </w:rPr>
              <w:t>2008</w:t>
            </w:r>
          </w:p>
        </w:tc>
        <w:tc>
          <w:tcPr>
            <w:tcW w:w="280" w:type="dxa"/>
            <w:vAlign w:val="bottom"/>
            <w:tcBorders>
              <w:top w:val="single" w:sz="8" w:color="auto"/>
            </w:tcBorders>
          </w:tcPr>
          <w:p>
            <w:pPr>
              <w:spacing w:after="0"/>
              <w:rPr>
                <w:sz w:val="12"/>
                <w:szCs w:val="12"/>
                <w:color w:val="auto"/>
              </w:rPr>
            </w:pPr>
          </w:p>
        </w:tc>
        <w:tc>
          <w:tcPr>
            <w:tcW w:w="80" w:type="dxa"/>
            <w:vAlign w:val="bottom"/>
            <w:tcBorders>
              <w:top w:val="single" w:sz="8" w:color="auto"/>
            </w:tcBorders>
          </w:tcPr>
          <w:p>
            <w:pPr>
              <w:spacing w:after="0"/>
              <w:rPr>
                <w:sz w:val="12"/>
                <w:szCs w:val="12"/>
                <w:color w:val="auto"/>
              </w:rPr>
            </w:pPr>
          </w:p>
        </w:tc>
        <w:tc>
          <w:tcPr>
            <w:tcW w:w="500" w:type="dxa"/>
            <w:vAlign w:val="bottom"/>
            <w:tcBorders>
              <w:top w:val="single" w:sz="8" w:color="auto"/>
            </w:tcBorders>
          </w:tcPr>
          <w:p>
            <w:pPr>
              <w:jc w:val="right"/>
              <w:ind w:right="74"/>
              <w:spacing w:after="0" w:line="142" w:lineRule="exact"/>
              <w:rPr>
                <w:sz w:val="20"/>
                <w:szCs w:val="20"/>
                <w:color w:val="auto"/>
              </w:rPr>
            </w:pPr>
            <w:r>
              <w:rPr>
                <w:rFonts w:ascii="Arial" w:cs="Arial" w:eastAsia="Arial" w:hAnsi="Arial"/>
                <w:sz w:val="14"/>
                <w:szCs w:val="14"/>
                <w:b w:val="1"/>
                <w:bCs w:val="1"/>
                <w:color w:val="auto"/>
              </w:rPr>
              <w:t>2007</w:t>
            </w:r>
          </w:p>
        </w:tc>
        <w:tc>
          <w:tcPr>
            <w:tcW w:w="260" w:type="dxa"/>
            <w:vAlign w:val="bottom"/>
          </w:tcPr>
          <w:p>
            <w:pPr>
              <w:spacing w:after="0"/>
              <w:rPr>
                <w:sz w:val="12"/>
                <w:szCs w:val="12"/>
                <w:color w:val="auto"/>
              </w:rPr>
            </w:pPr>
          </w:p>
        </w:tc>
        <w:tc>
          <w:tcPr>
            <w:tcW w:w="100" w:type="dxa"/>
            <w:vAlign w:val="bottom"/>
            <w:tcBorders>
              <w:top w:val="single" w:sz="8" w:color="auto"/>
            </w:tcBorders>
          </w:tcPr>
          <w:p>
            <w:pPr>
              <w:spacing w:after="0"/>
              <w:rPr>
                <w:sz w:val="12"/>
                <w:szCs w:val="12"/>
                <w:color w:val="auto"/>
              </w:rPr>
            </w:pPr>
          </w:p>
        </w:tc>
        <w:tc>
          <w:tcPr>
            <w:tcW w:w="400" w:type="dxa"/>
            <w:vAlign w:val="bottom"/>
            <w:tcBorders>
              <w:top w:val="single" w:sz="8" w:color="auto"/>
            </w:tcBorders>
          </w:tcPr>
          <w:p>
            <w:pPr>
              <w:jc w:val="right"/>
              <w:ind w:right="16"/>
              <w:spacing w:after="0" w:line="142" w:lineRule="exact"/>
              <w:rPr>
                <w:sz w:val="20"/>
                <w:szCs w:val="20"/>
                <w:color w:val="auto"/>
              </w:rPr>
            </w:pPr>
            <w:r>
              <w:rPr>
                <w:rFonts w:ascii="Arial" w:cs="Arial" w:eastAsia="Arial" w:hAnsi="Arial"/>
                <w:sz w:val="14"/>
                <w:szCs w:val="14"/>
                <w:b w:val="1"/>
                <w:bCs w:val="1"/>
                <w:color w:val="auto"/>
                <w:w w:val="89"/>
              </w:rPr>
              <w:t>2008</w:t>
            </w:r>
          </w:p>
        </w:tc>
        <w:tc>
          <w:tcPr>
            <w:tcW w:w="280" w:type="dxa"/>
            <w:vAlign w:val="bottom"/>
            <w:tcBorders>
              <w:top w:val="single" w:sz="8" w:color="auto"/>
            </w:tcBorders>
          </w:tcPr>
          <w:p>
            <w:pPr>
              <w:spacing w:after="0"/>
              <w:rPr>
                <w:sz w:val="12"/>
                <w:szCs w:val="12"/>
                <w:color w:val="auto"/>
              </w:rPr>
            </w:pPr>
          </w:p>
        </w:tc>
        <w:tc>
          <w:tcPr>
            <w:tcW w:w="100" w:type="dxa"/>
            <w:vAlign w:val="bottom"/>
            <w:tcBorders>
              <w:top w:val="single" w:sz="8" w:color="auto"/>
            </w:tcBorders>
          </w:tcPr>
          <w:p>
            <w:pPr>
              <w:spacing w:after="0"/>
              <w:rPr>
                <w:sz w:val="12"/>
                <w:szCs w:val="12"/>
                <w:color w:val="auto"/>
              </w:rPr>
            </w:pPr>
          </w:p>
        </w:tc>
        <w:tc>
          <w:tcPr>
            <w:tcW w:w="400" w:type="dxa"/>
            <w:vAlign w:val="bottom"/>
            <w:tcBorders>
              <w:top w:val="single" w:sz="8" w:color="auto"/>
            </w:tcBorders>
          </w:tcPr>
          <w:p>
            <w:pPr>
              <w:jc w:val="right"/>
              <w:ind w:right="34"/>
              <w:spacing w:after="0" w:line="142" w:lineRule="exact"/>
              <w:rPr>
                <w:sz w:val="20"/>
                <w:szCs w:val="20"/>
                <w:color w:val="auto"/>
              </w:rPr>
            </w:pPr>
            <w:r>
              <w:rPr>
                <w:rFonts w:ascii="Arial" w:cs="Arial" w:eastAsia="Arial" w:hAnsi="Arial"/>
                <w:sz w:val="14"/>
                <w:szCs w:val="14"/>
                <w:b w:val="1"/>
                <w:bCs w:val="1"/>
                <w:color w:val="auto"/>
                <w:w w:val="83"/>
              </w:rPr>
              <w:t>2007</w:t>
            </w:r>
          </w:p>
        </w:tc>
        <w:tc>
          <w:tcPr>
            <w:tcW w:w="260" w:type="dxa"/>
            <w:vAlign w:val="bottom"/>
          </w:tcPr>
          <w:p>
            <w:pPr>
              <w:spacing w:after="0"/>
              <w:rPr>
                <w:sz w:val="12"/>
                <w:szCs w:val="12"/>
                <w:color w:val="auto"/>
              </w:rPr>
            </w:pPr>
          </w:p>
        </w:tc>
        <w:tc>
          <w:tcPr>
            <w:tcW w:w="540" w:type="dxa"/>
            <w:vAlign w:val="bottom"/>
            <w:tcBorders>
              <w:top w:val="single" w:sz="8" w:color="auto"/>
            </w:tcBorders>
          </w:tcPr>
          <w:p>
            <w:pPr>
              <w:jc w:val="right"/>
              <w:ind w:right="36"/>
              <w:spacing w:after="0" w:line="142" w:lineRule="exact"/>
              <w:rPr>
                <w:sz w:val="20"/>
                <w:szCs w:val="20"/>
                <w:color w:val="auto"/>
              </w:rPr>
            </w:pPr>
            <w:r>
              <w:rPr>
                <w:rFonts w:ascii="Arial" w:cs="Arial" w:eastAsia="Arial" w:hAnsi="Arial"/>
                <w:sz w:val="14"/>
                <w:szCs w:val="14"/>
                <w:b w:val="1"/>
                <w:bCs w:val="1"/>
                <w:color w:val="auto"/>
              </w:rPr>
              <w:t>2008</w:t>
            </w:r>
          </w:p>
        </w:tc>
        <w:tc>
          <w:tcPr>
            <w:tcW w:w="460" w:type="dxa"/>
            <w:vAlign w:val="bottom"/>
            <w:tcBorders>
              <w:top w:val="single" w:sz="8" w:color="auto"/>
            </w:tcBorders>
          </w:tcPr>
          <w:p>
            <w:pPr>
              <w:spacing w:after="0"/>
              <w:rPr>
                <w:sz w:val="12"/>
                <w:szCs w:val="12"/>
                <w:color w:val="auto"/>
              </w:rPr>
            </w:pPr>
          </w:p>
        </w:tc>
        <w:tc>
          <w:tcPr>
            <w:tcW w:w="580" w:type="dxa"/>
            <w:vAlign w:val="bottom"/>
            <w:tcBorders>
              <w:top w:val="single" w:sz="8" w:color="auto"/>
            </w:tcBorders>
          </w:tcPr>
          <w:p>
            <w:pPr>
              <w:jc w:val="right"/>
              <w:ind w:right="74"/>
              <w:spacing w:after="0" w:line="142" w:lineRule="exact"/>
              <w:rPr>
                <w:sz w:val="20"/>
                <w:szCs w:val="20"/>
                <w:color w:val="auto"/>
              </w:rPr>
            </w:pPr>
            <w:r>
              <w:rPr>
                <w:rFonts w:ascii="Arial" w:cs="Arial" w:eastAsia="Arial" w:hAnsi="Arial"/>
                <w:sz w:val="14"/>
                <w:szCs w:val="14"/>
                <w:b w:val="1"/>
                <w:bCs w:val="1"/>
                <w:color w:val="auto"/>
              </w:rPr>
              <w:t>2007</w:t>
            </w:r>
          </w:p>
        </w:tc>
        <w:tc>
          <w:tcPr>
            <w:tcW w:w="1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0"/>
        </w:trPr>
        <w:tc>
          <w:tcPr>
            <w:tcW w:w="20" w:type="dxa"/>
            <w:vAlign w:val="bottom"/>
            <w:vMerge w:val="restart"/>
          </w:tcPr>
          <w:p>
            <w:pPr>
              <w:spacing w:after="0" w:line="20" w:lineRule="exact"/>
              <w:rPr>
                <w:sz w:val="1"/>
                <w:szCs w:val="1"/>
                <w:color w:val="auto"/>
              </w:rPr>
            </w:pPr>
          </w:p>
        </w:tc>
        <w:tc>
          <w:tcPr>
            <w:tcW w:w="1340" w:type="dxa"/>
            <w:vAlign w:val="bottom"/>
            <w:shd w:val="clear" w:color="auto" w:fill="000000"/>
          </w:tcPr>
          <w:p>
            <w:pPr>
              <w:spacing w:after="0" w:line="20" w:lineRule="exact"/>
              <w:rPr>
                <w:sz w:val="1"/>
                <w:szCs w:val="1"/>
                <w:color w:val="auto"/>
              </w:rPr>
            </w:pPr>
          </w:p>
        </w:tc>
        <w:tc>
          <w:tcPr>
            <w:tcW w:w="510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vMerge w:val="continue"/>
          </w:tcPr>
          <w:p>
            <w:pPr>
              <w:spacing w:after="0"/>
              <w:rPr>
                <w:sz w:val="18"/>
                <w:szCs w:val="18"/>
                <w:color w:val="auto"/>
              </w:rPr>
            </w:pPr>
          </w:p>
        </w:tc>
        <w:tc>
          <w:tcPr>
            <w:tcW w:w="1340" w:type="dxa"/>
            <w:vAlign w:val="bottom"/>
            <w:shd w:val="clear" w:color="auto" w:fill="CCEEFF"/>
          </w:tcPr>
          <w:p>
            <w:pPr>
              <w:spacing w:after="0"/>
              <w:rPr>
                <w:sz w:val="20"/>
                <w:szCs w:val="20"/>
                <w:color w:val="auto"/>
              </w:rPr>
            </w:pPr>
            <w:r>
              <w:rPr>
                <w:rFonts w:ascii="Arial" w:cs="Arial" w:eastAsia="Arial" w:hAnsi="Arial"/>
                <w:sz w:val="18"/>
                <w:szCs w:val="18"/>
                <w:color w:val="auto"/>
              </w:rPr>
              <w:t>Otis</w:t>
            </w:r>
          </w:p>
        </w:tc>
        <w:tc>
          <w:tcPr>
            <w:tcW w:w="510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3,404</w:t>
            </w:r>
          </w:p>
        </w:tc>
        <w:tc>
          <w:tcPr>
            <w:tcW w:w="280" w:type="dxa"/>
            <w:vAlign w:val="bottom"/>
            <w:shd w:val="clear" w:color="auto" w:fill="CCEEFF"/>
          </w:tcPr>
          <w:p>
            <w:pPr>
              <w:spacing w:after="0"/>
              <w:rPr>
                <w:sz w:val="18"/>
                <w:szCs w:val="18"/>
                <w:color w:val="auto"/>
              </w:rPr>
            </w:pP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2,858</w:t>
            </w:r>
          </w:p>
        </w:tc>
        <w:tc>
          <w:tcPr>
            <w:tcW w:w="26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671</w:t>
            </w:r>
          </w:p>
        </w:tc>
        <w:tc>
          <w:tcPr>
            <w:tcW w:w="28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532</w:t>
            </w:r>
          </w:p>
        </w:tc>
        <w:tc>
          <w:tcPr>
            <w:tcW w:w="26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19.7%</w:t>
            </w:r>
          </w:p>
        </w:tc>
        <w:tc>
          <w:tcPr>
            <w:tcW w:w="7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18.6%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440" w:type="dxa"/>
            <w:vAlign w:val="bottom"/>
            <w:gridSpan w:val="2"/>
          </w:tcPr>
          <w:p>
            <w:pPr>
              <w:spacing w:after="0"/>
              <w:rPr>
                <w:sz w:val="20"/>
                <w:szCs w:val="20"/>
                <w:color w:val="auto"/>
              </w:rPr>
            </w:pPr>
            <w:r>
              <w:rPr>
                <w:rFonts w:ascii="Arial" w:cs="Arial" w:eastAsia="Arial" w:hAnsi="Arial"/>
                <w:sz w:val="18"/>
                <w:szCs w:val="18"/>
                <w:color w:val="auto"/>
              </w:rPr>
              <w:t>Carrier</w:t>
            </w:r>
          </w:p>
        </w:tc>
        <w:tc>
          <w:tcPr>
            <w:tcW w:w="100" w:type="dxa"/>
            <w:vAlign w:val="bottom"/>
          </w:tcPr>
          <w:p>
            <w:pPr>
              <w:spacing w:after="0"/>
              <w:rPr>
                <w:sz w:val="18"/>
                <w:szCs w:val="18"/>
                <w:color w:val="auto"/>
              </w:rPr>
            </w:pPr>
          </w:p>
        </w:tc>
        <w:tc>
          <w:tcPr>
            <w:tcW w:w="480" w:type="dxa"/>
            <w:vAlign w:val="bottom"/>
          </w:tcPr>
          <w:p>
            <w:pPr>
              <w:jc w:val="right"/>
              <w:spacing w:after="0"/>
              <w:rPr>
                <w:sz w:val="20"/>
                <w:szCs w:val="20"/>
                <w:color w:val="auto"/>
              </w:rPr>
            </w:pPr>
            <w:r>
              <w:rPr>
                <w:rFonts w:ascii="Arial" w:cs="Arial" w:eastAsia="Arial" w:hAnsi="Arial"/>
                <w:sz w:val="18"/>
                <w:szCs w:val="18"/>
                <w:color w:val="auto"/>
              </w:rPr>
              <w:t>4,356</w:t>
            </w:r>
          </w:p>
        </w:tc>
        <w:tc>
          <w:tcPr>
            <w:tcW w:w="2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rPr>
              <w:t>4,055</w:t>
            </w:r>
          </w:p>
        </w:tc>
        <w:tc>
          <w:tcPr>
            <w:tcW w:w="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00" w:type="dxa"/>
            <w:vAlign w:val="bottom"/>
          </w:tcPr>
          <w:p>
            <w:pPr>
              <w:jc w:val="right"/>
              <w:spacing w:after="0"/>
              <w:rPr>
                <w:sz w:val="20"/>
                <w:szCs w:val="20"/>
                <w:color w:val="auto"/>
              </w:rPr>
            </w:pPr>
            <w:r>
              <w:rPr>
                <w:rFonts w:ascii="Arial" w:cs="Arial" w:eastAsia="Arial" w:hAnsi="Arial"/>
                <w:sz w:val="18"/>
                <w:szCs w:val="18"/>
                <w:color w:val="auto"/>
              </w:rPr>
              <w:t>487</w:t>
            </w:r>
          </w:p>
        </w:tc>
        <w:tc>
          <w:tcPr>
            <w:tcW w:w="2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00" w:type="dxa"/>
            <w:vAlign w:val="bottom"/>
          </w:tcPr>
          <w:p>
            <w:pPr>
              <w:jc w:val="right"/>
              <w:spacing w:after="0"/>
              <w:rPr>
                <w:sz w:val="20"/>
                <w:szCs w:val="20"/>
                <w:color w:val="auto"/>
              </w:rPr>
            </w:pPr>
            <w:r>
              <w:rPr>
                <w:rFonts w:ascii="Arial" w:cs="Arial" w:eastAsia="Arial" w:hAnsi="Arial"/>
                <w:sz w:val="18"/>
                <w:szCs w:val="18"/>
                <w:color w:val="auto"/>
              </w:rPr>
              <w:t>489</w:t>
            </w:r>
          </w:p>
        </w:tc>
        <w:tc>
          <w:tcPr>
            <w:tcW w:w="260" w:type="dxa"/>
            <w:vAlign w:val="bottom"/>
          </w:tcPr>
          <w:p>
            <w:pPr>
              <w:spacing w:after="0"/>
              <w:rPr>
                <w:sz w:val="18"/>
                <w:szCs w:val="18"/>
                <w:color w:val="auto"/>
              </w:rPr>
            </w:pPr>
          </w:p>
        </w:tc>
        <w:tc>
          <w:tcPr>
            <w:tcW w:w="1000" w:type="dxa"/>
            <w:vAlign w:val="bottom"/>
            <w:gridSpan w:val="2"/>
          </w:tcPr>
          <w:p>
            <w:pPr>
              <w:jc w:val="right"/>
              <w:ind w:right="300"/>
              <w:spacing w:after="0"/>
              <w:rPr>
                <w:sz w:val="20"/>
                <w:szCs w:val="20"/>
                <w:color w:val="auto"/>
              </w:rPr>
            </w:pPr>
            <w:r>
              <w:rPr>
                <w:rFonts w:ascii="Arial" w:cs="Arial" w:eastAsia="Arial" w:hAnsi="Arial"/>
                <w:sz w:val="18"/>
                <w:szCs w:val="18"/>
                <w:color w:val="auto"/>
              </w:rPr>
              <w:t>11.2%</w:t>
            </w:r>
          </w:p>
        </w:tc>
        <w:tc>
          <w:tcPr>
            <w:tcW w:w="720" w:type="dxa"/>
            <w:vAlign w:val="bottom"/>
            <w:gridSpan w:val="2"/>
          </w:tcPr>
          <w:p>
            <w:pPr>
              <w:jc w:val="right"/>
              <w:spacing w:after="0"/>
              <w:rPr>
                <w:sz w:val="20"/>
                <w:szCs w:val="20"/>
                <w:color w:val="auto"/>
              </w:rPr>
            </w:pPr>
            <w:r>
              <w:rPr>
                <w:rFonts w:ascii="Arial" w:cs="Arial" w:eastAsia="Arial" w:hAnsi="Arial"/>
                <w:sz w:val="18"/>
                <w:szCs w:val="18"/>
                <w:color w:val="auto"/>
              </w:rPr>
              <w:t>12.1%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4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UTC Fire &amp; Security</w:t>
            </w:r>
          </w:p>
        </w:tc>
        <w:tc>
          <w:tcPr>
            <w:tcW w:w="100" w:type="dxa"/>
            <w:vAlign w:val="bottom"/>
            <w:shd w:val="clear" w:color="auto" w:fill="CCEEFF"/>
          </w:tcPr>
          <w:p>
            <w:pPr>
              <w:spacing w:after="0"/>
              <w:rPr>
                <w:sz w:val="18"/>
                <w:szCs w:val="18"/>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1,738</w:t>
            </w:r>
          </w:p>
        </w:tc>
        <w:tc>
          <w:tcPr>
            <w:tcW w:w="2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1,349</w:t>
            </w:r>
          </w:p>
        </w:tc>
        <w:tc>
          <w:tcPr>
            <w:tcW w:w="2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126</w:t>
            </w:r>
          </w:p>
        </w:tc>
        <w:tc>
          <w:tcPr>
            <w:tcW w:w="2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101</w:t>
            </w:r>
          </w:p>
        </w:tc>
        <w:tc>
          <w:tcPr>
            <w:tcW w:w="26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7.2%</w:t>
            </w:r>
          </w:p>
        </w:tc>
        <w:tc>
          <w:tcPr>
            <w:tcW w:w="7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7.5%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440" w:type="dxa"/>
            <w:vAlign w:val="bottom"/>
            <w:gridSpan w:val="2"/>
          </w:tcPr>
          <w:p>
            <w:pPr>
              <w:spacing w:after="0"/>
              <w:rPr>
                <w:sz w:val="20"/>
                <w:szCs w:val="20"/>
                <w:color w:val="auto"/>
              </w:rPr>
            </w:pPr>
            <w:r>
              <w:rPr>
                <w:rFonts w:ascii="Arial" w:cs="Arial" w:eastAsia="Arial" w:hAnsi="Arial"/>
                <w:sz w:val="18"/>
                <w:szCs w:val="18"/>
                <w:color w:val="auto"/>
              </w:rPr>
              <w:t>Pratt &amp; Whitney</w:t>
            </w:r>
          </w:p>
        </w:tc>
        <w:tc>
          <w:tcPr>
            <w:tcW w:w="100" w:type="dxa"/>
            <w:vAlign w:val="bottom"/>
          </w:tcPr>
          <w:p>
            <w:pPr>
              <w:spacing w:after="0"/>
              <w:rPr>
                <w:sz w:val="18"/>
                <w:szCs w:val="18"/>
                <w:color w:val="auto"/>
              </w:rPr>
            </w:pPr>
          </w:p>
        </w:tc>
        <w:tc>
          <w:tcPr>
            <w:tcW w:w="480" w:type="dxa"/>
            <w:vAlign w:val="bottom"/>
          </w:tcPr>
          <w:p>
            <w:pPr>
              <w:jc w:val="right"/>
              <w:spacing w:after="0"/>
              <w:rPr>
                <w:sz w:val="20"/>
                <w:szCs w:val="20"/>
                <w:color w:val="auto"/>
              </w:rPr>
            </w:pPr>
            <w:r>
              <w:rPr>
                <w:rFonts w:ascii="Arial" w:cs="Arial" w:eastAsia="Arial" w:hAnsi="Arial"/>
                <w:sz w:val="18"/>
                <w:szCs w:val="18"/>
                <w:color w:val="auto"/>
              </w:rPr>
              <w:t>3,292</w:t>
            </w:r>
          </w:p>
        </w:tc>
        <w:tc>
          <w:tcPr>
            <w:tcW w:w="2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rPr>
              <w:t>3,108</w:t>
            </w:r>
          </w:p>
        </w:tc>
        <w:tc>
          <w:tcPr>
            <w:tcW w:w="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00" w:type="dxa"/>
            <w:vAlign w:val="bottom"/>
          </w:tcPr>
          <w:p>
            <w:pPr>
              <w:jc w:val="right"/>
              <w:spacing w:after="0"/>
              <w:rPr>
                <w:sz w:val="20"/>
                <w:szCs w:val="20"/>
                <w:color w:val="auto"/>
              </w:rPr>
            </w:pPr>
            <w:r>
              <w:rPr>
                <w:rFonts w:ascii="Arial" w:cs="Arial" w:eastAsia="Arial" w:hAnsi="Arial"/>
                <w:sz w:val="18"/>
                <w:szCs w:val="18"/>
                <w:color w:val="auto"/>
              </w:rPr>
              <w:t>546</w:t>
            </w:r>
          </w:p>
        </w:tc>
        <w:tc>
          <w:tcPr>
            <w:tcW w:w="2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00" w:type="dxa"/>
            <w:vAlign w:val="bottom"/>
          </w:tcPr>
          <w:p>
            <w:pPr>
              <w:jc w:val="right"/>
              <w:spacing w:after="0"/>
              <w:rPr>
                <w:sz w:val="20"/>
                <w:szCs w:val="20"/>
                <w:color w:val="auto"/>
              </w:rPr>
            </w:pPr>
            <w:r>
              <w:rPr>
                <w:rFonts w:ascii="Arial" w:cs="Arial" w:eastAsia="Arial" w:hAnsi="Arial"/>
                <w:sz w:val="18"/>
                <w:szCs w:val="18"/>
                <w:color w:val="auto"/>
              </w:rPr>
              <w:t>522</w:t>
            </w:r>
          </w:p>
        </w:tc>
        <w:tc>
          <w:tcPr>
            <w:tcW w:w="260" w:type="dxa"/>
            <w:vAlign w:val="bottom"/>
          </w:tcPr>
          <w:p>
            <w:pPr>
              <w:spacing w:after="0"/>
              <w:rPr>
                <w:sz w:val="18"/>
                <w:szCs w:val="18"/>
                <w:color w:val="auto"/>
              </w:rPr>
            </w:pPr>
          </w:p>
        </w:tc>
        <w:tc>
          <w:tcPr>
            <w:tcW w:w="1000" w:type="dxa"/>
            <w:vAlign w:val="bottom"/>
            <w:gridSpan w:val="2"/>
          </w:tcPr>
          <w:p>
            <w:pPr>
              <w:jc w:val="right"/>
              <w:ind w:right="300"/>
              <w:spacing w:after="0"/>
              <w:rPr>
                <w:sz w:val="20"/>
                <w:szCs w:val="20"/>
                <w:color w:val="auto"/>
              </w:rPr>
            </w:pPr>
            <w:r>
              <w:rPr>
                <w:rFonts w:ascii="Arial" w:cs="Arial" w:eastAsia="Arial" w:hAnsi="Arial"/>
                <w:sz w:val="18"/>
                <w:szCs w:val="18"/>
                <w:color w:val="auto"/>
              </w:rPr>
              <w:t>16.6%</w:t>
            </w:r>
          </w:p>
        </w:tc>
        <w:tc>
          <w:tcPr>
            <w:tcW w:w="720" w:type="dxa"/>
            <w:vAlign w:val="bottom"/>
            <w:gridSpan w:val="2"/>
          </w:tcPr>
          <w:p>
            <w:pPr>
              <w:jc w:val="right"/>
              <w:spacing w:after="0"/>
              <w:rPr>
                <w:sz w:val="20"/>
                <w:szCs w:val="20"/>
                <w:color w:val="auto"/>
              </w:rPr>
            </w:pPr>
            <w:r>
              <w:rPr>
                <w:rFonts w:ascii="Arial" w:cs="Arial" w:eastAsia="Arial" w:hAnsi="Arial"/>
                <w:sz w:val="18"/>
                <w:szCs w:val="18"/>
                <w:color w:val="auto"/>
              </w:rPr>
              <w:t>16.8%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4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Hamilton Sundstrand</w:t>
            </w:r>
          </w:p>
        </w:tc>
        <w:tc>
          <w:tcPr>
            <w:tcW w:w="100" w:type="dxa"/>
            <w:vAlign w:val="bottom"/>
            <w:shd w:val="clear" w:color="auto" w:fill="CCEEFF"/>
          </w:tcPr>
          <w:p>
            <w:pPr>
              <w:spacing w:after="0"/>
              <w:rPr>
                <w:sz w:val="18"/>
                <w:szCs w:val="18"/>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1,650</w:t>
            </w:r>
          </w:p>
        </w:tc>
        <w:tc>
          <w:tcPr>
            <w:tcW w:w="2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1,404</w:t>
            </w:r>
          </w:p>
        </w:tc>
        <w:tc>
          <w:tcPr>
            <w:tcW w:w="2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280</w:t>
            </w:r>
          </w:p>
        </w:tc>
        <w:tc>
          <w:tcPr>
            <w:tcW w:w="2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246</w:t>
            </w:r>
          </w:p>
        </w:tc>
        <w:tc>
          <w:tcPr>
            <w:tcW w:w="26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17.0%</w:t>
            </w:r>
          </w:p>
        </w:tc>
        <w:tc>
          <w:tcPr>
            <w:tcW w:w="7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17.5%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440" w:type="dxa"/>
            <w:vAlign w:val="bottom"/>
            <w:gridSpan w:val="2"/>
          </w:tcPr>
          <w:p>
            <w:pPr>
              <w:spacing w:after="0"/>
              <w:rPr>
                <w:sz w:val="20"/>
                <w:szCs w:val="20"/>
                <w:color w:val="auto"/>
              </w:rPr>
            </w:pPr>
            <w:r>
              <w:rPr>
                <w:rFonts w:ascii="Arial" w:cs="Arial" w:eastAsia="Arial" w:hAnsi="Arial"/>
                <w:sz w:val="18"/>
                <w:szCs w:val="18"/>
                <w:color w:val="auto"/>
              </w:rPr>
              <w:t>Sikorsky</w:t>
            </w:r>
          </w:p>
        </w:tc>
        <w:tc>
          <w:tcPr>
            <w:tcW w:w="100" w:type="dxa"/>
            <w:vAlign w:val="bottom"/>
          </w:tcPr>
          <w:p>
            <w:pPr>
              <w:spacing w:after="0"/>
              <w:rPr>
                <w:sz w:val="18"/>
                <w:szCs w:val="18"/>
                <w:color w:val="auto"/>
              </w:rPr>
            </w:pPr>
          </w:p>
        </w:tc>
        <w:tc>
          <w:tcPr>
            <w:tcW w:w="480" w:type="dxa"/>
            <w:vAlign w:val="bottom"/>
          </w:tcPr>
          <w:p>
            <w:pPr>
              <w:jc w:val="right"/>
              <w:spacing w:after="0"/>
              <w:rPr>
                <w:sz w:val="20"/>
                <w:szCs w:val="20"/>
                <w:color w:val="auto"/>
              </w:rPr>
            </w:pPr>
            <w:r>
              <w:rPr>
                <w:rFonts w:ascii="Arial" w:cs="Arial" w:eastAsia="Arial" w:hAnsi="Arial"/>
                <w:sz w:val="18"/>
                <w:szCs w:val="18"/>
                <w:color w:val="auto"/>
              </w:rPr>
              <w:t>1,307</w:t>
            </w:r>
          </w:p>
        </w:tc>
        <w:tc>
          <w:tcPr>
            <w:tcW w:w="2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rPr>
              <w:t>1,198</w:t>
            </w:r>
          </w:p>
        </w:tc>
        <w:tc>
          <w:tcPr>
            <w:tcW w:w="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80" w:type="dxa"/>
            <w:vAlign w:val="bottom"/>
            <w:gridSpan w:val="2"/>
          </w:tcPr>
          <w:p>
            <w:pPr>
              <w:jc w:val="right"/>
              <w:ind w:right="280"/>
              <w:spacing w:after="0"/>
              <w:rPr>
                <w:sz w:val="20"/>
                <w:szCs w:val="20"/>
                <w:color w:val="auto"/>
              </w:rPr>
            </w:pPr>
            <w:r>
              <w:rPr>
                <w:rFonts w:ascii="Arial" w:cs="Arial" w:eastAsia="Arial" w:hAnsi="Arial"/>
                <w:sz w:val="18"/>
                <w:szCs w:val="18"/>
                <w:color w:val="auto"/>
              </w:rPr>
              <w:t>111</w:t>
            </w:r>
          </w:p>
        </w:tc>
        <w:tc>
          <w:tcPr>
            <w:tcW w:w="100" w:type="dxa"/>
            <w:vAlign w:val="bottom"/>
          </w:tcPr>
          <w:p>
            <w:pPr>
              <w:spacing w:after="0"/>
              <w:rPr>
                <w:sz w:val="18"/>
                <w:szCs w:val="18"/>
                <w:color w:val="auto"/>
              </w:rPr>
            </w:pPr>
          </w:p>
        </w:tc>
        <w:tc>
          <w:tcPr>
            <w:tcW w:w="400" w:type="dxa"/>
            <w:vAlign w:val="bottom"/>
          </w:tcPr>
          <w:p>
            <w:pPr>
              <w:jc w:val="right"/>
              <w:spacing w:after="0"/>
              <w:rPr>
                <w:sz w:val="20"/>
                <w:szCs w:val="20"/>
                <w:color w:val="auto"/>
              </w:rPr>
            </w:pPr>
            <w:r>
              <w:rPr>
                <w:rFonts w:ascii="Arial" w:cs="Arial" w:eastAsia="Arial" w:hAnsi="Arial"/>
                <w:sz w:val="18"/>
                <w:szCs w:val="18"/>
                <w:color w:val="auto"/>
              </w:rPr>
              <w:t>87</w:t>
            </w:r>
          </w:p>
        </w:tc>
        <w:tc>
          <w:tcPr>
            <w:tcW w:w="260" w:type="dxa"/>
            <w:vAlign w:val="bottom"/>
          </w:tcPr>
          <w:p>
            <w:pPr>
              <w:spacing w:after="0"/>
              <w:rPr>
                <w:sz w:val="18"/>
                <w:szCs w:val="18"/>
                <w:color w:val="auto"/>
              </w:rPr>
            </w:pPr>
          </w:p>
        </w:tc>
        <w:tc>
          <w:tcPr>
            <w:tcW w:w="1000" w:type="dxa"/>
            <w:vAlign w:val="bottom"/>
            <w:gridSpan w:val="2"/>
          </w:tcPr>
          <w:p>
            <w:pPr>
              <w:jc w:val="right"/>
              <w:ind w:right="300"/>
              <w:spacing w:after="0"/>
              <w:rPr>
                <w:sz w:val="20"/>
                <w:szCs w:val="20"/>
                <w:color w:val="auto"/>
              </w:rPr>
            </w:pPr>
            <w:r>
              <w:rPr>
                <w:rFonts w:ascii="Arial" w:cs="Arial" w:eastAsia="Arial" w:hAnsi="Arial"/>
                <w:sz w:val="18"/>
                <w:szCs w:val="18"/>
                <w:color w:val="auto"/>
              </w:rPr>
              <w:t>8.5%</w:t>
            </w:r>
          </w:p>
        </w:tc>
        <w:tc>
          <w:tcPr>
            <w:tcW w:w="720" w:type="dxa"/>
            <w:vAlign w:val="bottom"/>
            <w:gridSpan w:val="2"/>
          </w:tcPr>
          <w:p>
            <w:pPr>
              <w:jc w:val="right"/>
              <w:spacing w:after="0"/>
              <w:rPr>
                <w:sz w:val="20"/>
                <w:szCs w:val="20"/>
                <w:color w:val="auto"/>
              </w:rPr>
            </w:pPr>
            <w:r>
              <w:rPr>
                <w:rFonts w:ascii="Arial" w:cs="Arial" w:eastAsia="Arial" w:hAnsi="Arial"/>
                <w:sz w:val="18"/>
                <w:szCs w:val="18"/>
                <w:color w:val="auto"/>
              </w:rPr>
              <w:t>7.3%</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1340" w:type="dxa"/>
            <w:vAlign w:val="bottom"/>
          </w:tcPr>
          <w:p>
            <w:pPr>
              <w:spacing w:after="0"/>
              <w:rPr>
                <w:sz w:val="2"/>
                <w:szCs w:val="2"/>
                <w:color w:val="auto"/>
              </w:rPr>
            </w:pPr>
          </w:p>
        </w:tc>
        <w:tc>
          <w:tcPr>
            <w:tcW w:w="510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480" w:type="dxa"/>
            <w:vAlign w:val="bottom"/>
            <w:shd w:val="clear" w:color="auto" w:fill="000000"/>
          </w:tcPr>
          <w:p>
            <w:pPr>
              <w:spacing w:after="0"/>
              <w:rPr>
                <w:sz w:val="2"/>
                <w:szCs w:val="2"/>
                <w:color w:val="auto"/>
              </w:rPr>
            </w:pPr>
          </w:p>
        </w:tc>
        <w:tc>
          <w:tcPr>
            <w:tcW w:w="28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500" w:type="dxa"/>
            <w:vAlign w:val="bottom"/>
            <w:shd w:val="clear" w:color="auto" w:fill="000000"/>
          </w:tcPr>
          <w:p>
            <w:pPr>
              <w:spacing w:after="0"/>
              <w:rPr>
                <w:sz w:val="2"/>
                <w:szCs w:val="2"/>
                <w:color w:val="auto"/>
              </w:rPr>
            </w:pPr>
          </w:p>
        </w:tc>
        <w:tc>
          <w:tcPr>
            <w:tcW w:w="26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400" w:type="dxa"/>
            <w:vAlign w:val="bottom"/>
            <w:shd w:val="clear" w:color="auto" w:fill="000000"/>
          </w:tcPr>
          <w:p>
            <w:pPr>
              <w:spacing w:after="0"/>
              <w:rPr>
                <w:sz w:val="2"/>
                <w:szCs w:val="2"/>
                <w:color w:val="auto"/>
              </w:rPr>
            </w:pPr>
          </w:p>
        </w:tc>
        <w:tc>
          <w:tcPr>
            <w:tcW w:w="28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400" w:type="dxa"/>
            <w:vAlign w:val="bottom"/>
            <w:shd w:val="clear" w:color="auto" w:fill="000000"/>
          </w:tcPr>
          <w:p>
            <w:pPr>
              <w:spacing w:after="0"/>
              <w:rPr>
                <w:sz w:val="2"/>
                <w:szCs w:val="2"/>
                <w:color w:val="auto"/>
              </w:rPr>
            </w:pPr>
          </w:p>
        </w:tc>
        <w:tc>
          <w:tcPr>
            <w:tcW w:w="260" w:type="dxa"/>
            <w:vAlign w:val="bottom"/>
          </w:tcPr>
          <w:p>
            <w:pPr>
              <w:spacing w:after="0"/>
              <w:rPr>
                <w:sz w:val="2"/>
                <w:szCs w:val="2"/>
                <w:color w:val="auto"/>
              </w:rPr>
            </w:pPr>
          </w:p>
        </w:tc>
        <w:tc>
          <w:tcPr>
            <w:tcW w:w="540" w:type="dxa"/>
            <w:vAlign w:val="bottom"/>
            <w:shd w:val="clear" w:color="auto" w:fill="000000"/>
          </w:tcPr>
          <w:p>
            <w:pPr>
              <w:spacing w:after="0"/>
              <w:rPr>
                <w:sz w:val="2"/>
                <w:szCs w:val="2"/>
                <w:color w:val="auto"/>
              </w:rPr>
            </w:pPr>
          </w:p>
        </w:tc>
        <w:tc>
          <w:tcPr>
            <w:tcW w:w="460" w:type="dxa"/>
            <w:vAlign w:val="bottom"/>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1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tcPr>
          <w:p>
            <w:pPr>
              <w:spacing w:after="0"/>
              <w:rPr>
                <w:sz w:val="18"/>
                <w:szCs w:val="18"/>
                <w:color w:val="auto"/>
              </w:rPr>
            </w:pPr>
          </w:p>
        </w:tc>
        <w:tc>
          <w:tcPr>
            <w:tcW w:w="6440" w:type="dxa"/>
            <w:vAlign w:val="bottom"/>
            <w:gridSpan w:val="2"/>
            <w:shd w:val="clear" w:color="auto" w:fill="CCEEFF"/>
          </w:tcPr>
          <w:p>
            <w:pPr>
              <w:ind w:left="420"/>
              <w:spacing w:after="0"/>
              <w:rPr>
                <w:sz w:val="20"/>
                <w:szCs w:val="20"/>
                <w:color w:val="auto"/>
              </w:rPr>
            </w:pPr>
            <w:r>
              <w:rPr>
                <w:rFonts w:ascii="Arial" w:cs="Arial" w:eastAsia="Arial" w:hAnsi="Arial"/>
                <w:sz w:val="18"/>
                <w:szCs w:val="18"/>
                <w:color w:val="auto"/>
              </w:rPr>
              <w:t>Total segment</w:t>
            </w:r>
          </w:p>
        </w:tc>
        <w:tc>
          <w:tcPr>
            <w:tcW w:w="100" w:type="dxa"/>
            <w:vAlign w:val="bottom"/>
            <w:shd w:val="clear" w:color="auto" w:fill="CCEEFF"/>
          </w:tcPr>
          <w:p>
            <w:pPr>
              <w:spacing w:after="0"/>
              <w:rPr>
                <w:sz w:val="18"/>
                <w:szCs w:val="18"/>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3"/>
              </w:rPr>
              <w:t>15,747</w:t>
            </w:r>
          </w:p>
        </w:tc>
        <w:tc>
          <w:tcPr>
            <w:tcW w:w="2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7"/>
              </w:rPr>
              <w:t>13,972</w:t>
            </w:r>
          </w:p>
        </w:tc>
        <w:tc>
          <w:tcPr>
            <w:tcW w:w="2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4"/>
              </w:rPr>
              <w:t>2,221</w:t>
            </w:r>
          </w:p>
        </w:tc>
        <w:tc>
          <w:tcPr>
            <w:tcW w:w="2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4"/>
              </w:rPr>
              <w:t>1,977</w:t>
            </w:r>
          </w:p>
        </w:tc>
        <w:tc>
          <w:tcPr>
            <w:tcW w:w="26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14.1%</w:t>
            </w:r>
          </w:p>
        </w:tc>
        <w:tc>
          <w:tcPr>
            <w:tcW w:w="7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14.1%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440" w:type="dxa"/>
            <w:vAlign w:val="bottom"/>
            <w:gridSpan w:val="2"/>
          </w:tcPr>
          <w:p>
            <w:pPr>
              <w:spacing w:after="0"/>
              <w:rPr>
                <w:sz w:val="20"/>
                <w:szCs w:val="20"/>
                <w:color w:val="auto"/>
              </w:rPr>
            </w:pPr>
            <w:r>
              <w:rPr>
                <w:rFonts w:ascii="Arial" w:cs="Arial" w:eastAsia="Arial" w:hAnsi="Arial"/>
                <w:sz w:val="18"/>
                <w:szCs w:val="18"/>
                <w:color w:val="auto"/>
              </w:rPr>
              <w:t>Eliminations and other</w:t>
            </w:r>
          </w:p>
        </w:tc>
        <w:tc>
          <w:tcPr>
            <w:tcW w:w="100" w:type="dxa"/>
            <w:vAlign w:val="bottom"/>
          </w:tcPr>
          <w:p>
            <w:pPr>
              <w:spacing w:after="0"/>
              <w:rPr>
                <w:sz w:val="18"/>
                <w:szCs w:val="18"/>
                <w:color w:val="auto"/>
              </w:rPr>
            </w:pPr>
          </w:p>
        </w:tc>
        <w:tc>
          <w:tcPr>
            <w:tcW w:w="760" w:type="dxa"/>
            <w:vAlign w:val="bottom"/>
            <w:gridSpan w:val="2"/>
          </w:tcPr>
          <w:p>
            <w:pPr>
              <w:jc w:val="right"/>
              <w:ind w:right="220"/>
              <w:spacing w:after="0"/>
              <w:rPr>
                <w:sz w:val="20"/>
                <w:szCs w:val="20"/>
                <w:color w:val="auto"/>
              </w:rPr>
            </w:pPr>
            <w:r>
              <w:rPr>
                <w:rFonts w:ascii="Arial" w:cs="Arial" w:eastAsia="Arial" w:hAnsi="Arial"/>
                <w:sz w:val="18"/>
                <w:szCs w:val="18"/>
                <w:color w:val="auto"/>
              </w:rPr>
              <w:t>(80)</w:t>
            </w:r>
          </w:p>
        </w:tc>
        <w:tc>
          <w:tcPr>
            <w:tcW w:w="80" w:type="dxa"/>
            <w:vAlign w:val="bottom"/>
          </w:tcPr>
          <w:p>
            <w:pPr>
              <w:spacing w:after="0"/>
              <w:rPr>
                <w:sz w:val="18"/>
                <w:szCs w:val="18"/>
                <w:color w:val="auto"/>
              </w:rPr>
            </w:pPr>
          </w:p>
        </w:tc>
        <w:tc>
          <w:tcPr>
            <w:tcW w:w="760" w:type="dxa"/>
            <w:vAlign w:val="bottom"/>
            <w:gridSpan w:val="2"/>
          </w:tcPr>
          <w:p>
            <w:pPr>
              <w:jc w:val="right"/>
              <w:ind w:right="200"/>
              <w:spacing w:after="0"/>
              <w:rPr>
                <w:sz w:val="20"/>
                <w:szCs w:val="20"/>
                <w:color w:val="auto"/>
              </w:rPr>
            </w:pPr>
            <w:r>
              <w:rPr>
                <w:rFonts w:ascii="Arial" w:cs="Arial" w:eastAsia="Arial" w:hAnsi="Arial"/>
                <w:sz w:val="18"/>
                <w:szCs w:val="18"/>
                <w:color w:val="auto"/>
              </w:rPr>
              <w:t>(68)</w:t>
            </w:r>
          </w:p>
        </w:tc>
        <w:tc>
          <w:tcPr>
            <w:tcW w:w="100" w:type="dxa"/>
            <w:vAlign w:val="bottom"/>
          </w:tcPr>
          <w:p>
            <w:pPr>
              <w:spacing w:after="0"/>
              <w:rPr>
                <w:sz w:val="18"/>
                <w:szCs w:val="18"/>
                <w:color w:val="auto"/>
              </w:rPr>
            </w:pPr>
          </w:p>
        </w:tc>
        <w:tc>
          <w:tcPr>
            <w:tcW w:w="680" w:type="dxa"/>
            <w:vAlign w:val="bottom"/>
            <w:gridSpan w:val="2"/>
          </w:tcPr>
          <w:p>
            <w:pPr>
              <w:jc w:val="right"/>
              <w:ind w:right="220"/>
              <w:spacing w:after="0"/>
              <w:rPr>
                <w:sz w:val="20"/>
                <w:szCs w:val="20"/>
                <w:color w:val="auto"/>
              </w:rPr>
            </w:pPr>
            <w:r>
              <w:rPr>
                <w:rFonts w:ascii="Arial" w:cs="Arial" w:eastAsia="Arial" w:hAnsi="Arial"/>
                <w:sz w:val="18"/>
                <w:szCs w:val="18"/>
                <w:color w:val="auto"/>
              </w:rPr>
              <w:t>(13)</w:t>
            </w:r>
          </w:p>
        </w:tc>
        <w:tc>
          <w:tcPr>
            <w:tcW w:w="100" w:type="dxa"/>
            <w:vAlign w:val="bottom"/>
          </w:tcPr>
          <w:p>
            <w:pPr>
              <w:spacing w:after="0"/>
              <w:rPr>
                <w:sz w:val="18"/>
                <w:szCs w:val="18"/>
                <w:color w:val="auto"/>
              </w:rPr>
            </w:pPr>
          </w:p>
        </w:tc>
        <w:tc>
          <w:tcPr>
            <w:tcW w:w="660" w:type="dxa"/>
            <w:vAlign w:val="bottom"/>
            <w:gridSpan w:val="2"/>
          </w:tcPr>
          <w:p>
            <w:pPr>
              <w:jc w:val="right"/>
              <w:ind w:right="200"/>
              <w:spacing w:after="0"/>
              <w:rPr>
                <w:sz w:val="20"/>
                <w:szCs w:val="20"/>
                <w:color w:val="auto"/>
              </w:rPr>
            </w:pPr>
            <w:r>
              <w:rPr>
                <w:rFonts w:ascii="Arial" w:cs="Arial" w:eastAsia="Arial" w:hAnsi="Arial"/>
                <w:sz w:val="18"/>
                <w:szCs w:val="18"/>
                <w:color w:val="auto"/>
              </w:rPr>
              <w:t>(20)</w:t>
            </w:r>
          </w:p>
        </w:tc>
        <w:tc>
          <w:tcPr>
            <w:tcW w:w="54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4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General corporate expenses</w:t>
            </w:r>
          </w:p>
        </w:tc>
        <w:tc>
          <w:tcPr>
            <w:tcW w:w="100" w:type="dxa"/>
            <w:vAlign w:val="bottom"/>
            <w:shd w:val="clear" w:color="auto" w:fill="CCEEFF"/>
          </w:tcPr>
          <w:p>
            <w:pPr>
              <w:spacing w:after="0"/>
              <w:rPr>
                <w:sz w:val="18"/>
                <w:szCs w:val="18"/>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00" w:type="dxa"/>
            <w:vAlign w:val="bottom"/>
            <w:shd w:val="clear" w:color="auto" w:fill="CCEEFF"/>
          </w:tcPr>
          <w:p>
            <w:pPr>
              <w:jc w:val="right"/>
              <w:ind w:right="14"/>
              <w:spacing w:after="0"/>
              <w:rPr>
                <w:sz w:val="20"/>
                <w:szCs w:val="20"/>
                <w:color w:val="auto"/>
              </w:rPr>
            </w:pPr>
            <w:r>
              <w:rPr>
                <w:rFonts w:ascii="Arial" w:cs="Arial" w:eastAsia="Arial" w:hAnsi="Arial"/>
                <w:sz w:val="18"/>
                <w:szCs w:val="18"/>
                <w:color w:val="auto"/>
              </w:rPr>
              <w:t>—</w:t>
            </w:r>
          </w:p>
        </w:tc>
        <w:tc>
          <w:tcPr>
            <w:tcW w:w="2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(109)</w:t>
            </w:r>
          </w:p>
        </w:tc>
        <w:tc>
          <w:tcPr>
            <w:tcW w:w="10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(92)</w:t>
            </w:r>
          </w:p>
        </w:tc>
        <w:tc>
          <w:tcPr>
            <w:tcW w:w="54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6460" w:type="dxa"/>
            <w:vAlign w:val="bottom"/>
            <w:gridSpan w:val="3"/>
            <w:vMerge w:val="restart"/>
          </w:tcPr>
          <w:p>
            <w:pPr>
              <w:spacing w:after="0"/>
              <w:rPr>
                <w:sz w:val="20"/>
                <w:szCs w:val="20"/>
                <w:color w:val="auto"/>
              </w:rPr>
            </w:pPr>
            <w:r>
              <w:rPr>
                <w:rFonts w:ascii="Arial" w:cs="Arial" w:eastAsia="Arial" w:hAnsi="Arial"/>
                <w:sz w:val="18"/>
                <w:szCs w:val="18"/>
                <w:color w:val="auto"/>
              </w:rPr>
              <w:t>Consolidated</w:t>
            </w:r>
          </w:p>
        </w:tc>
        <w:tc>
          <w:tcPr>
            <w:tcW w:w="100" w:type="dxa"/>
            <w:vAlign w:val="bottom"/>
            <w:shd w:val="clear" w:color="auto" w:fill="000000"/>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2"/>
        </w:trPr>
        <w:tc>
          <w:tcPr>
            <w:tcW w:w="6460" w:type="dxa"/>
            <w:vAlign w:val="bottom"/>
            <w:gridSpan w:val="3"/>
            <w:vMerge w:val="continue"/>
          </w:tcPr>
          <w:p>
            <w:pPr>
              <w:spacing w:after="0"/>
              <w:rPr>
                <w:sz w:val="19"/>
                <w:szCs w:val="19"/>
                <w:color w:val="auto"/>
              </w:rPr>
            </w:pPr>
          </w:p>
        </w:tc>
        <w:tc>
          <w:tcPr>
            <w:tcW w:w="100" w:type="dxa"/>
            <w:vAlign w:val="bottom"/>
          </w:tcPr>
          <w:p>
            <w:pPr>
              <w:jc w:val="right"/>
              <w:spacing w:after="0"/>
              <w:rPr>
                <w:sz w:val="20"/>
                <w:szCs w:val="20"/>
                <w:color w:val="auto"/>
              </w:rPr>
            </w:pPr>
            <w:r>
              <w:rPr>
                <w:rFonts w:ascii="Arial" w:cs="Arial" w:eastAsia="Arial" w:hAnsi="Arial"/>
                <w:sz w:val="18"/>
                <w:szCs w:val="18"/>
                <w:u w:val="single" w:color="auto"/>
                <w:color w:val="auto"/>
                <w:w w:val="79"/>
              </w:rPr>
              <w:t>$</w:t>
            </w:r>
          </w:p>
        </w:tc>
        <w:tc>
          <w:tcPr>
            <w:tcW w:w="480" w:type="dxa"/>
            <w:vAlign w:val="bottom"/>
          </w:tcPr>
          <w:p>
            <w:pPr>
              <w:jc w:val="right"/>
              <w:spacing w:after="0"/>
              <w:rPr>
                <w:sz w:val="20"/>
                <w:szCs w:val="20"/>
                <w:color w:val="auto"/>
              </w:rPr>
            </w:pPr>
            <w:r>
              <w:rPr>
                <w:rFonts w:ascii="Arial" w:cs="Arial" w:eastAsia="Arial" w:hAnsi="Arial"/>
                <w:sz w:val="18"/>
                <w:szCs w:val="18"/>
                <w:color w:val="auto"/>
                <w:w w:val="83"/>
              </w:rPr>
              <w:t>15,667</w:t>
            </w:r>
          </w:p>
        </w:tc>
        <w:tc>
          <w:tcPr>
            <w:tcW w:w="280" w:type="dxa"/>
            <w:vAlign w:val="bottom"/>
          </w:tcPr>
          <w:p>
            <w:pPr>
              <w:spacing w:after="0"/>
              <w:rPr>
                <w:sz w:val="19"/>
                <w:szCs w:val="19"/>
                <w:color w:val="auto"/>
              </w:rPr>
            </w:pPr>
          </w:p>
        </w:tc>
        <w:tc>
          <w:tcPr>
            <w:tcW w:w="80" w:type="dxa"/>
            <w:vAlign w:val="bottom"/>
          </w:tcPr>
          <w:p>
            <w:pPr>
              <w:jc w:val="right"/>
              <w:spacing w:after="0"/>
              <w:rPr>
                <w:sz w:val="20"/>
                <w:szCs w:val="20"/>
                <w:color w:val="auto"/>
              </w:rPr>
            </w:pPr>
            <w:r>
              <w:rPr>
                <w:rFonts w:ascii="Arial" w:cs="Arial" w:eastAsia="Arial" w:hAnsi="Arial"/>
                <w:sz w:val="15"/>
                <w:szCs w:val="15"/>
                <w:u w:val="single" w:color="auto"/>
                <w:color w:val="auto"/>
                <w:w w:val="71"/>
              </w:rPr>
              <w:t>$</w:t>
            </w:r>
          </w:p>
        </w:tc>
        <w:tc>
          <w:tcPr>
            <w:tcW w:w="500" w:type="dxa"/>
            <w:vAlign w:val="bottom"/>
          </w:tcPr>
          <w:p>
            <w:pPr>
              <w:jc w:val="right"/>
              <w:spacing w:after="0"/>
              <w:rPr>
                <w:sz w:val="20"/>
                <w:szCs w:val="20"/>
                <w:color w:val="auto"/>
              </w:rPr>
            </w:pPr>
            <w:r>
              <w:rPr>
                <w:rFonts w:ascii="Arial" w:cs="Arial" w:eastAsia="Arial" w:hAnsi="Arial"/>
                <w:sz w:val="18"/>
                <w:szCs w:val="18"/>
                <w:color w:val="auto"/>
                <w:w w:val="87"/>
              </w:rPr>
              <w:t>13,904</w:t>
            </w:r>
          </w:p>
        </w:tc>
        <w:tc>
          <w:tcPr>
            <w:tcW w:w="260" w:type="dxa"/>
            <w:vAlign w:val="bottom"/>
          </w:tcPr>
          <w:p>
            <w:pPr>
              <w:spacing w:after="0"/>
              <w:rPr>
                <w:sz w:val="19"/>
                <w:szCs w:val="19"/>
                <w:color w:val="auto"/>
              </w:rPr>
            </w:pPr>
          </w:p>
        </w:tc>
        <w:tc>
          <w:tcPr>
            <w:tcW w:w="100" w:type="dxa"/>
            <w:vAlign w:val="bottom"/>
          </w:tcPr>
          <w:p>
            <w:pPr>
              <w:jc w:val="right"/>
              <w:spacing w:after="0"/>
              <w:rPr>
                <w:sz w:val="20"/>
                <w:szCs w:val="20"/>
                <w:color w:val="auto"/>
              </w:rPr>
            </w:pPr>
            <w:r>
              <w:rPr>
                <w:rFonts w:ascii="Arial" w:cs="Arial" w:eastAsia="Arial" w:hAnsi="Arial"/>
                <w:sz w:val="18"/>
                <w:szCs w:val="18"/>
                <w:u w:val="single" w:color="auto"/>
                <w:color w:val="auto"/>
                <w:w w:val="79"/>
              </w:rPr>
              <w:t>$</w:t>
            </w:r>
          </w:p>
        </w:tc>
        <w:tc>
          <w:tcPr>
            <w:tcW w:w="400" w:type="dxa"/>
            <w:vAlign w:val="bottom"/>
          </w:tcPr>
          <w:p>
            <w:pPr>
              <w:jc w:val="right"/>
              <w:spacing w:after="0"/>
              <w:rPr>
                <w:sz w:val="20"/>
                <w:szCs w:val="20"/>
                <w:color w:val="auto"/>
              </w:rPr>
            </w:pPr>
            <w:r>
              <w:rPr>
                <w:rFonts w:ascii="Arial" w:cs="Arial" w:eastAsia="Arial" w:hAnsi="Arial"/>
                <w:sz w:val="18"/>
                <w:szCs w:val="18"/>
                <w:color w:val="auto"/>
                <w:w w:val="84"/>
              </w:rPr>
              <w:t>2,099</w:t>
            </w:r>
          </w:p>
        </w:tc>
        <w:tc>
          <w:tcPr>
            <w:tcW w:w="280" w:type="dxa"/>
            <w:vAlign w:val="bottom"/>
          </w:tcPr>
          <w:p>
            <w:pPr>
              <w:spacing w:after="0"/>
              <w:rPr>
                <w:sz w:val="19"/>
                <w:szCs w:val="19"/>
                <w:color w:val="auto"/>
              </w:rPr>
            </w:pPr>
          </w:p>
        </w:tc>
        <w:tc>
          <w:tcPr>
            <w:tcW w:w="100" w:type="dxa"/>
            <w:vAlign w:val="bottom"/>
          </w:tcPr>
          <w:p>
            <w:pPr>
              <w:jc w:val="right"/>
              <w:spacing w:after="0"/>
              <w:rPr>
                <w:sz w:val="20"/>
                <w:szCs w:val="20"/>
                <w:color w:val="auto"/>
              </w:rPr>
            </w:pPr>
            <w:r>
              <w:rPr>
                <w:rFonts w:ascii="Arial" w:cs="Arial" w:eastAsia="Arial" w:hAnsi="Arial"/>
                <w:sz w:val="15"/>
                <w:szCs w:val="15"/>
                <w:u w:val="single" w:color="auto"/>
                <w:color w:val="auto"/>
                <w:w w:val="71"/>
              </w:rPr>
              <w:t>$</w:t>
            </w:r>
          </w:p>
        </w:tc>
        <w:tc>
          <w:tcPr>
            <w:tcW w:w="400" w:type="dxa"/>
            <w:vAlign w:val="bottom"/>
          </w:tcPr>
          <w:p>
            <w:pPr>
              <w:jc w:val="right"/>
              <w:spacing w:after="0"/>
              <w:rPr>
                <w:sz w:val="20"/>
                <w:szCs w:val="20"/>
                <w:color w:val="auto"/>
              </w:rPr>
            </w:pPr>
            <w:r>
              <w:rPr>
                <w:rFonts w:ascii="Arial" w:cs="Arial" w:eastAsia="Arial" w:hAnsi="Arial"/>
                <w:sz w:val="18"/>
                <w:szCs w:val="18"/>
                <w:color w:val="auto"/>
                <w:w w:val="84"/>
              </w:rPr>
              <w:t>1,865</w:t>
            </w:r>
          </w:p>
        </w:tc>
        <w:tc>
          <w:tcPr>
            <w:tcW w:w="260" w:type="dxa"/>
            <w:vAlign w:val="bottom"/>
          </w:tcPr>
          <w:p>
            <w:pPr>
              <w:spacing w:after="0"/>
              <w:rPr>
                <w:sz w:val="19"/>
                <w:szCs w:val="19"/>
                <w:color w:val="auto"/>
              </w:rPr>
            </w:pPr>
          </w:p>
        </w:tc>
        <w:tc>
          <w:tcPr>
            <w:tcW w:w="1000" w:type="dxa"/>
            <w:vAlign w:val="bottom"/>
            <w:gridSpan w:val="2"/>
          </w:tcPr>
          <w:p>
            <w:pPr>
              <w:jc w:val="right"/>
              <w:ind w:right="300"/>
              <w:spacing w:after="0"/>
              <w:rPr>
                <w:sz w:val="20"/>
                <w:szCs w:val="20"/>
                <w:color w:val="auto"/>
              </w:rPr>
            </w:pPr>
            <w:r>
              <w:rPr>
                <w:rFonts w:ascii="Arial" w:cs="Arial" w:eastAsia="Arial" w:hAnsi="Arial"/>
                <w:sz w:val="18"/>
                <w:szCs w:val="18"/>
                <w:color w:val="auto"/>
              </w:rPr>
              <w:t>13.4%</w:t>
            </w:r>
          </w:p>
        </w:tc>
        <w:tc>
          <w:tcPr>
            <w:tcW w:w="720" w:type="dxa"/>
            <w:vAlign w:val="bottom"/>
            <w:gridSpan w:val="2"/>
          </w:tcPr>
          <w:p>
            <w:pPr>
              <w:jc w:val="right"/>
              <w:spacing w:after="0"/>
              <w:rPr>
                <w:sz w:val="20"/>
                <w:szCs w:val="20"/>
                <w:color w:val="auto"/>
              </w:rPr>
            </w:pPr>
            <w:r>
              <w:rPr>
                <w:rFonts w:ascii="Arial" w:cs="Arial" w:eastAsia="Arial" w:hAnsi="Arial"/>
                <w:sz w:val="18"/>
                <w:szCs w:val="18"/>
                <w:color w:val="auto"/>
              </w:rPr>
              <w:t>13.4%</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340" w:type="dxa"/>
            <w:vAlign w:val="bottom"/>
          </w:tcPr>
          <w:p>
            <w:pPr>
              <w:spacing w:after="0" w:line="20" w:lineRule="exact"/>
              <w:rPr>
                <w:sz w:val="1"/>
                <w:szCs w:val="1"/>
                <w:color w:val="auto"/>
              </w:rPr>
            </w:pPr>
          </w:p>
        </w:tc>
        <w:tc>
          <w:tcPr>
            <w:tcW w:w="51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67" w:lineRule="exact"/>
        <w:rPr>
          <w:sz w:val="20"/>
          <w:szCs w:val="20"/>
          <w:color w:val="auto"/>
        </w:rPr>
      </w:pPr>
    </w:p>
    <w:p>
      <w:pPr>
        <w:ind w:right="60" w:firstLine="456"/>
        <w:spacing w:after="0" w:line="268" w:lineRule="auto"/>
        <w:rPr>
          <w:sz w:val="20"/>
          <w:szCs w:val="20"/>
          <w:color w:val="auto"/>
        </w:rPr>
      </w:pPr>
      <w:r>
        <w:rPr>
          <w:rFonts w:ascii="Arial" w:cs="Arial" w:eastAsia="Arial" w:hAnsi="Arial"/>
          <w:sz w:val="18"/>
          <w:szCs w:val="18"/>
          <w:color w:val="auto"/>
        </w:rPr>
        <w:t>Second quarter 2008 and 2007 restructuring and related charges included in consolidated operating profit totaled $94 million and $25 million, respectively, as follows:</w:t>
      </w:r>
    </w:p>
    <w:p>
      <w:pPr>
        <w:spacing w:after="0" w:line="156"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422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40" w:type="dxa"/>
            <w:vAlign w:val="bottom"/>
            <w:gridSpan w:val="5"/>
          </w:tcPr>
          <w:p>
            <w:pPr>
              <w:jc w:val="right"/>
              <w:ind w:right="140"/>
              <w:spacing w:after="0"/>
              <w:rPr>
                <w:sz w:val="20"/>
                <w:szCs w:val="20"/>
                <w:color w:val="auto"/>
              </w:rPr>
            </w:pPr>
            <w:r>
              <w:rPr>
                <w:rFonts w:ascii="Arial" w:cs="Arial" w:eastAsia="Arial" w:hAnsi="Arial"/>
                <w:sz w:val="14"/>
                <w:szCs w:val="14"/>
                <w:b w:val="1"/>
                <w:bCs w:val="1"/>
                <w:color w:val="auto"/>
                <w:w w:val="90"/>
              </w:rPr>
              <w:t>Quarter Ended</w:t>
            </w:r>
          </w:p>
        </w:tc>
        <w:tc>
          <w:tcPr>
            <w:tcW w:w="0" w:type="dxa"/>
            <w:vAlign w:val="bottom"/>
          </w:tcPr>
          <w:p>
            <w:pPr>
              <w:spacing w:after="0"/>
              <w:rPr>
                <w:sz w:val="1"/>
                <w:szCs w:val="1"/>
                <w:color w:val="auto"/>
              </w:rPr>
            </w:pPr>
          </w:p>
        </w:tc>
      </w:tr>
      <w:tr>
        <w:trPr>
          <w:trHeight w:val="161"/>
        </w:trPr>
        <w:tc>
          <w:tcPr>
            <w:tcW w:w="5580" w:type="dxa"/>
            <w:vAlign w:val="bottom"/>
            <w:gridSpan w:val="3"/>
            <w:vMerge w:val="restart"/>
          </w:tcPr>
          <w:p>
            <w:pPr>
              <w:spacing w:after="0"/>
              <w:rPr>
                <w:sz w:val="20"/>
                <w:szCs w:val="20"/>
                <w:color w:val="auto"/>
              </w:rPr>
            </w:pPr>
            <w:r>
              <w:rPr>
                <w:rFonts w:ascii="Arial" w:cs="Arial" w:eastAsia="Arial" w:hAnsi="Arial"/>
                <w:sz w:val="14"/>
                <w:szCs w:val="14"/>
                <w:b w:val="1"/>
                <w:bCs w:val="1"/>
                <w:color w:val="auto"/>
              </w:rPr>
              <w:t>(in millions of dollars)</w:t>
            </w:r>
          </w:p>
        </w:tc>
        <w:tc>
          <w:tcPr>
            <w:tcW w:w="9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880" w:type="dxa"/>
            <w:vAlign w:val="bottom"/>
            <w:tcBorders>
              <w:bottom w:val="single" w:sz="8" w:color="auto"/>
            </w:tcBorders>
            <w:gridSpan w:val="3"/>
          </w:tcPr>
          <w:p>
            <w:pPr>
              <w:jc w:val="right"/>
              <w:ind w:right="180"/>
              <w:spacing w:after="0"/>
              <w:rPr>
                <w:sz w:val="20"/>
                <w:szCs w:val="20"/>
                <w:color w:val="auto"/>
              </w:rPr>
            </w:pPr>
            <w:r>
              <w:rPr>
                <w:rFonts w:ascii="Arial" w:cs="Arial" w:eastAsia="Arial" w:hAnsi="Arial"/>
                <w:sz w:val="14"/>
                <w:szCs w:val="14"/>
                <w:b w:val="1"/>
                <w:bCs w:val="1"/>
                <w:color w:val="auto"/>
              </w:rPr>
              <w:t>June 30,</w:t>
            </w:r>
          </w:p>
        </w:tc>
        <w:tc>
          <w:tcPr>
            <w:tcW w:w="140" w:type="dxa"/>
            <w:vAlign w:val="bottom"/>
            <w:tcBorders>
              <w:bottom w:val="single" w:sz="8" w:color="auto"/>
            </w:tcBorders>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5580" w:type="dxa"/>
            <w:vAlign w:val="bottom"/>
            <w:gridSpan w:val="3"/>
            <w:vMerge w:val="continue"/>
          </w:tcPr>
          <w:p>
            <w:pPr>
              <w:spacing w:after="0"/>
              <w:rPr>
                <w:sz w:val="12"/>
                <w:szCs w:val="12"/>
                <w:color w:val="auto"/>
              </w:rPr>
            </w:pPr>
          </w:p>
        </w:tc>
        <w:tc>
          <w:tcPr>
            <w:tcW w:w="9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460" w:type="dxa"/>
            <w:vAlign w:val="bottom"/>
            <w:gridSpan w:val="2"/>
          </w:tcPr>
          <w:p>
            <w:pPr>
              <w:jc w:val="right"/>
              <w:ind w:right="17"/>
              <w:spacing w:after="0" w:line="142" w:lineRule="exact"/>
              <w:rPr>
                <w:sz w:val="20"/>
                <w:szCs w:val="20"/>
                <w:color w:val="auto"/>
              </w:rPr>
            </w:pPr>
            <w:r>
              <w:rPr>
                <w:rFonts w:ascii="Arial" w:cs="Arial" w:eastAsia="Arial" w:hAnsi="Arial"/>
                <w:sz w:val="14"/>
                <w:szCs w:val="14"/>
                <w:b w:val="1"/>
                <w:bCs w:val="1"/>
                <w:color w:val="auto"/>
              </w:rPr>
              <w:t>2008</w:t>
            </w:r>
          </w:p>
        </w:tc>
        <w:tc>
          <w:tcPr>
            <w:tcW w:w="680" w:type="dxa"/>
            <w:vAlign w:val="bottom"/>
            <w:gridSpan w:val="3"/>
          </w:tcPr>
          <w:p>
            <w:pPr>
              <w:jc w:val="right"/>
              <w:spacing w:after="0" w:line="142" w:lineRule="exact"/>
              <w:rPr>
                <w:sz w:val="20"/>
                <w:szCs w:val="20"/>
                <w:color w:val="auto"/>
              </w:rPr>
            </w:pPr>
            <w:r>
              <w:rPr>
                <w:rFonts w:ascii="Arial" w:cs="Arial" w:eastAsia="Arial" w:hAnsi="Arial"/>
                <w:sz w:val="14"/>
                <w:szCs w:val="14"/>
                <w:b w:val="1"/>
                <w:bCs w:val="1"/>
                <w:color w:val="auto"/>
              </w:rPr>
              <w:t>2007</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0"/>
        </w:trPr>
        <w:tc>
          <w:tcPr>
            <w:tcW w:w="20" w:type="dxa"/>
            <w:vAlign w:val="bottom"/>
            <w:vMerge w:val="restart"/>
          </w:tcPr>
          <w:p>
            <w:pPr>
              <w:spacing w:after="0" w:line="20" w:lineRule="exact"/>
              <w:rPr>
                <w:sz w:val="1"/>
                <w:szCs w:val="1"/>
                <w:color w:val="auto"/>
              </w:rPr>
            </w:pPr>
          </w:p>
        </w:tc>
        <w:tc>
          <w:tcPr>
            <w:tcW w:w="1340" w:type="dxa"/>
            <w:vAlign w:val="bottom"/>
            <w:shd w:val="clear" w:color="auto" w:fill="000000"/>
          </w:tcPr>
          <w:p>
            <w:pPr>
              <w:spacing w:after="0" w:line="20" w:lineRule="exact"/>
              <w:rPr>
                <w:sz w:val="1"/>
                <w:szCs w:val="1"/>
                <w:color w:val="auto"/>
              </w:rPr>
            </w:pPr>
          </w:p>
        </w:tc>
        <w:tc>
          <w:tcPr>
            <w:tcW w:w="422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340" w:type="dxa"/>
            <w:vAlign w:val="bottom"/>
            <w:tcBorders>
              <w:right w:val="single" w:sz="8" w:color="auto"/>
            </w:tcBorders>
            <w:shd w:val="clear" w:color="auto" w:fill="000000"/>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20" w:type="dxa"/>
            <w:vAlign w:val="bottom"/>
            <w:tcBorders>
              <w:right w:val="single" w:sz="8" w:color="auto"/>
            </w:tcBorders>
            <w:shd w:val="clear" w:color="auto" w:fill="000000"/>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vMerge w:val="continue"/>
          </w:tcPr>
          <w:p>
            <w:pPr>
              <w:spacing w:after="0"/>
              <w:rPr>
                <w:sz w:val="18"/>
                <w:szCs w:val="18"/>
                <w:color w:val="auto"/>
              </w:rPr>
            </w:pPr>
          </w:p>
        </w:tc>
        <w:tc>
          <w:tcPr>
            <w:tcW w:w="1340" w:type="dxa"/>
            <w:vAlign w:val="bottom"/>
            <w:shd w:val="clear" w:color="auto" w:fill="CCEEFF"/>
          </w:tcPr>
          <w:p>
            <w:pPr>
              <w:spacing w:after="0"/>
              <w:rPr>
                <w:sz w:val="20"/>
                <w:szCs w:val="20"/>
                <w:color w:val="auto"/>
              </w:rPr>
            </w:pPr>
            <w:r>
              <w:rPr>
                <w:rFonts w:ascii="Arial" w:cs="Arial" w:eastAsia="Arial" w:hAnsi="Arial"/>
                <w:sz w:val="18"/>
                <w:szCs w:val="18"/>
                <w:color w:val="auto"/>
              </w:rPr>
              <w:t>Otis</w:t>
            </w:r>
          </w:p>
        </w:tc>
        <w:tc>
          <w:tcPr>
            <w:tcW w:w="422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580" w:type="dxa"/>
            <w:vAlign w:val="bottom"/>
            <w:gridSpan w:val="2"/>
            <w:shd w:val="clear" w:color="auto" w:fill="CCEEFF"/>
          </w:tcPr>
          <w:p>
            <w:pPr>
              <w:spacing w:after="0"/>
              <w:rPr>
                <w:sz w:val="18"/>
                <w:szCs w:val="18"/>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34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w:t>
            </w:r>
          </w:p>
        </w:tc>
        <w:tc>
          <w:tcPr>
            <w:tcW w:w="540" w:type="dxa"/>
            <w:vAlign w:val="bottom"/>
            <w:tcBorders>
              <w:left w:val="single" w:sz="8" w:color="CCEEFF"/>
              <w:right w:val="single" w:sz="8" w:color="CCEEFF"/>
            </w:tcBorders>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560" w:type="dxa"/>
            <w:vAlign w:val="bottom"/>
            <w:gridSpan w:val="2"/>
          </w:tcPr>
          <w:p>
            <w:pPr>
              <w:spacing w:after="0"/>
              <w:rPr>
                <w:sz w:val="20"/>
                <w:szCs w:val="20"/>
                <w:color w:val="auto"/>
              </w:rPr>
            </w:pPr>
            <w:r>
              <w:rPr>
                <w:rFonts w:ascii="Arial" w:cs="Arial" w:eastAsia="Arial" w:hAnsi="Arial"/>
                <w:sz w:val="18"/>
                <w:szCs w:val="18"/>
                <w:color w:val="auto"/>
              </w:rPr>
              <w:t>Carrier</w:t>
            </w:r>
          </w:p>
        </w:tc>
        <w:tc>
          <w:tcPr>
            <w:tcW w:w="9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40" w:type="dxa"/>
            <w:vAlign w:val="bottom"/>
          </w:tcPr>
          <w:p>
            <w:pPr>
              <w:jc w:val="right"/>
              <w:spacing w:after="0"/>
              <w:rPr>
                <w:sz w:val="20"/>
                <w:szCs w:val="20"/>
                <w:color w:val="auto"/>
              </w:rPr>
            </w:pPr>
            <w:r>
              <w:rPr>
                <w:rFonts w:ascii="Arial" w:cs="Arial" w:eastAsia="Arial" w:hAnsi="Arial"/>
                <w:sz w:val="18"/>
                <w:szCs w:val="18"/>
                <w:color w:val="auto"/>
              </w:rPr>
              <w:t>46</w:t>
            </w:r>
          </w:p>
        </w:tc>
        <w:tc>
          <w:tcPr>
            <w:tcW w:w="3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0" w:type="dxa"/>
            <w:vAlign w:val="bottom"/>
          </w:tcPr>
          <w:p>
            <w:pPr>
              <w:jc w:val="right"/>
              <w:spacing w:after="0"/>
              <w:rPr>
                <w:sz w:val="20"/>
                <w:szCs w:val="20"/>
                <w:color w:val="auto"/>
              </w:rPr>
            </w:pPr>
            <w:r>
              <w:rPr>
                <w:rFonts w:ascii="Arial" w:cs="Arial" w:eastAsia="Arial" w:hAnsi="Arial"/>
                <w:sz w:val="18"/>
                <w:szCs w:val="18"/>
                <w:color w:val="auto"/>
              </w:rPr>
              <w:t>1</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5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UTC Fire &amp; Security</w:t>
            </w:r>
          </w:p>
        </w:tc>
        <w:tc>
          <w:tcPr>
            <w:tcW w:w="9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34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27</w:t>
            </w:r>
          </w:p>
        </w:tc>
        <w:tc>
          <w:tcPr>
            <w:tcW w:w="320" w:type="dxa"/>
            <w:vAlign w:val="bottom"/>
            <w:tcBorders>
              <w:left w:val="single" w:sz="8" w:color="CCEEFF"/>
            </w:tcBorders>
            <w:shd w:val="clear" w:color="auto" w:fill="CCEEFF"/>
          </w:tcPr>
          <w:p>
            <w:pPr>
              <w:spacing w:after="0"/>
              <w:rPr>
                <w:sz w:val="18"/>
                <w:szCs w:val="18"/>
                <w:color w:val="auto"/>
              </w:rPr>
            </w:pPr>
          </w:p>
        </w:tc>
        <w:tc>
          <w:tcPr>
            <w:tcW w:w="220" w:type="dxa"/>
            <w:vAlign w:val="bottom"/>
            <w:tcBorders>
              <w:right w:val="single" w:sz="8" w:color="CCEEFF"/>
            </w:tcBorders>
            <w:shd w:val="clear" w:color="auto" w:fill="CCEEFF"/>
          </w:tcPr>
          <w:p>
            <w:pPr>
              <w:spacing w:after="0"/>
              <w:rPr>
                <w:sz w:val="18"/>
                <w:szCs w:val="18"/>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560" w:type="dxa"/>
            <w:vAlign w:val="bottom"/>
            <w:gridSpan w:val="2"/>
          </w:tcPr>
          <w:p>
            <w:pPr>
              <w:spacing w:after="0"/>
              <w:rPr>
                <w:sz w:val="20"/>
                <w:szCs w:val="20"/>
                <w:color w:val="auto"/>
              </w:rPr>
            </w:pPr>
            <w:r>
              <w:rPr>
                <w:rFonts w:ascii="Arial" w:cs="Arial" w:eastAsia="Arial" w:hAnsi="Arial"/>
                <w:sz w:val="18"/>
                <w:szCs w:val="18"/>
                <w:color w:val="auto"/>
              </w:rPr>
              <w:t>Pratt &amp; Whitney</w:t>
            </w:r>
          </w:p>
        </w:tc>
        <w:tc>
          <w:tcPr>
            <w:tcW w:w="9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40" w:type="dxa"/>
            <w:vAlign w:val="bottom"/>
          </w:tcPr>
          <w:p>
            <w:pPr>
              <w:jc w:val="right"/>
              <w:spacing w:after="0"/>
              <w:rPr>
                <w:sz w:val="20"/>
                <w:szCs w:val="20"/>
                <w:color w:val="auto"/>
              </w:rPr>
            </w:pPr>
            <w:r>
              <w:rPr>
                <w:rFonts w:ascii="Arial" w:cs="Arial" w:eastAsia="Arial" w:hAnsi="Arial"/>
                <w:sz w:val="18"/>
                <w:szCs w:val="18"/>
                <w:color w:val="auto"/>
              </w:rPr>
              <w:t>17</w:t>
            </w:r>
          </w:p>
        </w:tc>
        <w:tc>
          <w:tcPr>
            <w:tcW w:w="3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0" w:type="dxa"/>
            <w:vAlign w:val="bottom"/>
          </w:tcPr>
          <w:p>
            <w:pPr>
              <w:jc w:val="right"/>
              <w:spacing w:after="0"/>
              <w:rPr>
                <w:sz w:val="20"/>
                <w:szCs w:val="20"/>
                <w:color w:val="auto"/>
              </w:rPr>
            </w:pPr>
            <w:r>
              <w:rPr>
                <w:rFonts w:ascii="Arial" w:cs="Arial" w:eastAsia="Arial" w:hAnsi="Arial"/>
                <w:sz w:val="18"/>
                <w:szCs w:val="18"/>
                <w:color w:val="auto"/>
              </w:rPr>
              <w:t>7</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5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Hamilton Sundstrand</w:t>
            </w:r>
          </w:p>
        </w:tc>
        <w:tc>
          <w:tcPr>
            <w:tcW w:w="9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340" w:type="dxa"/>
            <w:vAlign w:val="bottom"/>
            <w:tcBorders>
              <w:bottom w:val="single" w:sz="8" w:color="auto"/>
              <w:right w:val="single" w:sz="8" w:color="CCEEFF"/>
            </w:tcBorders>
            <w:shd w:val="clear" w:color="auto" w:fill="CCEEFF"/>
          </w:tcPr>
          <w:p>
            <w:pPr>
              <w:jc w:val="right"/>
              <w:ind w:right="17"/>
              <w:spacing w:after="0"/>
              <w:rPr>
                <w:sz w:val="20"/>
                <w:szCs w:val="20"/>
                <w:color w:val="auto"/>
              </w:rPr>
            </w:pPr>
            <w:r>
              <w:rPr>
                <w:rFonts w:ascii="Arial" w:cs="Arial" w:eastAsia="Arial" w:hAnsi="Arial"/>
                <w:sz w:val="18"/>
                <w:szCs w:val="18"/>
                <w:color w:val="auto"/>
              </w:rPr>
              <w:t>—</w:t>
            </w:r>
          </w:p>
        </w:tc>
        <w:tc>
          <w:tcPr>
            <w:tcW w:w="320" w:type="dxa"/>
            <w:vAlign w:val="bottom"/>
            <w:tcBorders>
              <w:left w:val="single" w:sz="8" w:color="CCEEFF"/>
            </w:tcBorders>
            <w:shd w:val="clear" w:color="auto" w:fill="CCEEFF"/>
          </w:tcPr>
          <w:p>
            <w:pPr>
              <w:spacing w:after="0"/>
              <w:rPr>
                <w:sz w:val="18"/>
                <w:szCs w:val="18"/>
                <w:color w:val="auto"/>
              </w:rPr>
            </w:pPr>
          </w:p>
        </w:tc>
        <w:tc>
          <w:tcPr>
            <w:tcW w:w="220" w:type="dxa"/>
            <w:vAlign w:val="bottom"/>
            <w:tcBorders>
              <w:bottom w:val="single" w:sz="8" w:color="auto"/>
              <w:right w:val="single" w:sz="8" w:color="CCEEFF"/>
            </w:tcBorders>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1"/>
        </w:trPr>
        <w:tc>
          <w:tcPr>
            <w:tcW w:w="5580" w:type="dxa"/>
            <w:vAlign w:val="bottom"/>
            <w:gridSpan w:val="3"/>
          </w:tcPr>
          <w:p>
            <w:pPr>
              <w:spacing w:after="0"/>
              <w:rPr>
                <w:sz w:val="20"/>
                <w:szCs w:val="20"/>
                <w:color w:val="auto"/>
              </w:rPr>
            </w:pPr>
            <w:r>
              <w:rPr>
                <w:rFonts w:ascii="Arial" w:cs="Arial" w:eastAsia="Arial" w:hAnsi="Arial"/>
                <w:sz w:val="18"/>
                <w:szCs w:val="18"/>
                <w:color w:val="auto"/>
              </w:rPr>
              <w:t>Totals</w:t>
            </w:r>
          </w:p>
        </w:tc>
        <w:tc>
          <w:tcPr>
            <w:tcW w:w="9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700" w:type="dxa"/>
            <w:vAlign w:val="bottom"/>
            <w:gridSpan w:val="3"/>
          </w:tcPr>
          <w:p>
            <w:pPr>
              <w:jc w:val="right"/>
              <w:spacing w:after="0"/>
              <w:rPr>
                <w:sz w:val="20"/>
                <w:szCs w:val="20"/>
                <w:color w:val="auto"/>
              </w:rPr>
            </w:pPr>
            <w:r>
              <w:rPr>
                <w:rFonts w:ascii="Arial" w:cs="Arial" w:eastAsia="Arial" w:hAnsi="Arial"/>
                <w:sz w:val="18"/>
                <w:szCs w:val="18"/>
                <w:color w:val="auto"/>
              </w:rPr>
              <w:t>$</w:t>
            </w:r>
          </w:p>
        </w:tc>
        <w:tc>
          <w:tcPr>
            <w:tcW w:w="340" w:type="dxa"/>
            <w:vAlign w:val="bottom"/>
          </w:tcPr>
          <w:p>
            <w:pPr>
              <w:jc w:val="right"/>
              <w:spacing w:after="0"/>
              <w:rPr>
                <w:sz w:val="20"/>
                <w:szCs w:val="20"/>
                <w:color w:val="auto"/>
              </w:rPr>
            </w:pPr>
            <w:r>
              <w:rPr>
                <w:rFonts w:ascii="Arial" w:cs="Arial" w:eastAsia="Arial" w:hAnsi="Arial"/>
                <w:sz w:val="18"/>
                <w:szCs w:val="18"/>
                <w:color w:val="auto"/>
              </w:rPr>
              <w:t>94</w:t>
            </w:r>
          </w:p>
        </w:tc>
        <w:tc>
          <w:tcPr>
            <w:tcW w:w="54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160" w:type="dxa"/>
            <w:vAlign w:val="bottom"/>
            <w:gridSpan w:val="2"/>
          </w:tcPr>
          <w:p>
            <w:pPr>
              <w:jc w:val="right"/>
              <w:ind w:right="20"/>
              <w:spacing w:after="0"/>
              <w:rPr>
                <w:sz w:val="20"/>
                <w:szCs w:val="20"/>
                <w:color w:val="auto"/>
              </w:rPr>
            </w:pPr>
            <w:r>
              <w:rPr>
                <w:rFonts w:ascii="Arial" w:cs="Arial" w:eastAsia="Arial" w:hAnsi="Arial"/>
                <w:sz w:val="15"/>
                <w:szCs w:val="15"/>
                <w:color w:val="auto"/>
                <w:w w:val="71"/>
              </w:rPr>
              <w:t>25</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560" w:type="dxa"/>
            <w:vAlign w:val="bottom"/>
            <w:gridSpan w:val="2"/>
            <w:vMerge w:val="restart"/>
          </w:tcPr>
          <w:p>
            <w:pPr>
              <w:ind w:left="440"/>
              <w:spacing w:after="0"/>
              <w:rPr>
                <w:sz w:val="20"/>
                <w:szCs w:val="20"/>
                <w:color w:val="auto"/>
              </w:rPr>
            </w:pPr>
            <w:r>
              <w:rPr>
                <w:rFonts w:ascii="Arial" w:cs="Arial" w:eastAsia="Arial" w:hAnsi="Arial"/>
                <w:sz w:val="18"/>
                <w:szCs w:val="18"/>
                <w:color w:val="auto"/>
                <w:w w:val="87"/>
              </w:rPr>
              <w:t>Results for the six months ended June 30, 2008 and 2007 are as follows:</w:t>
            </w:r>
          </w:p>
        </w:tc>
        <w:tc>
          <w:tcPr>
            <w:tcW w:w="9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72"/>
        </w:trPr>
        <w:tc>
          <w:tcPr>
            <w:tcW w:w="20" w:type="dxa"/>
            <w:vAlign w:val="bottom"/>
          </w:tcPr>
          <w:p>
            <w:pPr>
              <w:spacing w:after="0"/>
              <w:rPr>
                <w:sz w:val="24"/>
                <w:szCs w:val="24"/>
                <w:color w:val="auto"/>
              </w:rPr>
            </w:pPr>
          </w:p>
        </w:tc>
        <w:tc>
          <w:tcPr>
            <w:tcW w:w="5560" w:type="dxa"/>
            <w:vAlign w:val="bottom"/>
            <w:gridSpan w:val="2"/>
            <w:vMerge w:val="continue"/>
          </w:tcPr>
          <w:p>
            <w:pPr>
              <w:spacing w:after="0"/>
              <w:rPr>
                <w:sz w:val="24"/>
                <w:szCs w:val="24"/>
                <w:color w:val="auto"/>
              </w:rPr>
            </w:pPr>
          </w:p>
        </w:tc>
        <w:tc>
          <w:tcPr>
            <w:tcW w:w="9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53"/>
        </w:trPr>
        <w:tc>
          <w:tcPr>
            <w:tcW w:w="5580" w:type="dxa"/>
            <w:vAlign w:val="bottom"/>
            <w:gridSpan w:val="3"/>
            <w:vMerge w:val="restart"/>
          </w:tcPr>
          <w:p>
            <w:pPr>
              <w:spacing w:after="0"/>
              <w:rPr>
                <w:sz w:val="20"/>
                <w:szCs w:val="20"/>
                <w:color w:val="auto"/>
              </w:rPr>
            </w:pPr>
            <w:r>
              <w:rPr>
                <w:rFonts w:ascii="Arial" w:cs="Arial" w:eastAsia="Arial" w:hAnsi="Arial"/>
                <w:sz w:val="14"/>
                <w:szCs w:val="14"/>
                <w:b w:val="1"/>
                <w:bCs w:val="1"/>
                <w:color w:val="auto"/>
              </w:rPr>
              <w:t>(in millions of dollars)</w:t>
            </w:r>
          </w:p>
        </w:tc>
        <w:tc>
          <w:tcPr>
            <w:tcW w:w="9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340" w:type="dxa"/>
            <w:vAlign w:val="bottom"/>
            <w:gridSpan w:val="5"/>
          </w:tcPr>
          <w:p>
            <w:pPr>
              <w:jc w:val="right"/>
              <w:ind w:right="354"/>
              <w:spacing w:after="0"/>
              <w:rPr>
                <w:sz w:val="20"/>
                <w:szCs w:val="20"/>
                <w:color w:val="auto"/>
              </w:rPr>
            </w:pPr>
            <w:r>
              <w:rPr>
                <w:rFonts w:ascii="Arial" w:cs="Arial" w:eastAsia="Arial" w:hAnsi="Arial"/>
                <w:sz w:val="14"/>
                <w:szCs w:val="14"/>
                <w:b w:val="1"/>
                <w:bCs w:val="1"/>
                <w:color w:val="auto"/>
              </w:rPr>
              <w:t>Revenues</w:t>
            </w:r>
          </w:p>
        </w:tc>
        <w:tc>
          <w:tcPr>
            <w:tcW w:w="200" w:type="dxa"/>
            <w:vAlign w:val="bottom"/>
          </w:tcPr>
          <w:p>
            <w:pPr>
              <w:spacing w:after="0"/>
              <w:rPr>
                <w:sz w:val="24"/>
                <w:szCs w:val="24"/>
                <w:color w:val="auto"/>
              </w:rPr>
            </w:pPr>
          </w:p>
        </w:tc>
        <w:tc>
          <w:tcPr>
            <w:tcW w:w="1540" w:type="dxa"/>
            <w:vAlign w:val="bottom"/>
            <w:gridSpan w:val="4"/>
          </w:tcPr>
          <w:p>
            <w:pPr>
              <w:jc w:val="right"/>
              <w:ind w:right="400"/>
              <w:spacing w:after="0"/>
              <w:rPr>
                <w:sz w:val="20"/>
                <w:szCs w:val="20"/>
                <w:color w:val="auto"/>
              </w:rPr>
            </w:pPr>
            <w:r>
              <w:rPr>
                <w:rFonts w:ascii="Arial" w:cs="Arial" w:eastAsia="Arial" w:hAnsi="Arial"/>
                <w:sz w:val="14"/>
                <w:szCs w:val="14"/>
                <w:b w:val="1"/>
                <w:bCs w:val="1"/>
                <w:color w:val="auto"/>
                <w:w w:val="97"/>
              </w:rPr>
              <w:t>Operating Profits</w:t>
            </w:r>
          </w:p>
        </w:tc>
        <w:tc>
          <w:tcPr>
            <w:tcW w:w="1580" w:type="dxa"/>
            <w:vAlign w:val="bottom"/>
            <w:gridSpan w:val="6"/>
          </w:tcPr>
          <w:p>
            <w:pPr>
              <w:jc w:val="right"/>
              <w:ind w:right="80"/>
              <w:spacing w:after="0"/>
              <w:rPr>
                <w:sz w:val="20"/>
                <w:szCs w:val="20"/>
                <w:color w:val="auto"/>
              </w:rPr>
            </w:pPr>
            <w:r>
              <w:rPr>
                <w:rFonts w:ascii="Arial" w:cs="Arial" w:eastAsia="Arial" w:hAnsi="Arial"/>
                <w:sz w:val="14"/>
                <w:szCs w:val="14"/>
                <w:b w:val="1"/>
                <w:bCs w:val="1"/>
                <w:color w:val="auto"/>
                <w:w w:val="94"/>
              </w:rPr>
              <w:t>Operating Profit Margin</w:t>
            </w:r>
          </w:p>
        </w:tc>
        <w:tc>
          <w:tcPr>
            <w:tcW w:w="1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42"/>
        </w:trPr>
        <w:tc>
          <w:tcPr>
            <w:tcW w:w="5580" w:type="dxa"/>
            <w:vAlign w:val="bottom"/>
            <w:gridSpan w:val="3"/>
            <w:vMerge w:val="continue"/>
          </w:tcPr>
          <w:p>
            <w:pPr>
              <w:spacing w:after="0"/>
              <w:rPr>
                <w:sz w:val="12"/>
                <w:szCs w:val="12"/>
                <w:color w:val="auto"/>
              </w:rPr>
            </w:pPr>
          </w:p>
        </w:tc>
        <w:tc>
          <w:tcPr>
            <w:tcW w:w="960" w:type="dxa"/>
            <w:vAlign w:val="bottom"/>
          </w:tcPr>
          <w:p>
            <w:pPr>
              <w:spacing w:after="0"/>
              <w:rPr>
                <w:sz w:val="12"/>
                <w:szCs w:val="12"/>
                <w:color w:val="auto"/>
              </w:rPr>
            </w:pPr>
          </w:p>
        </w:tc>
        <w:tc>
          <w:tcPr>
            <w:tcW w:w="80" w:type="dxa"/>
            <w:vAlign w:val="bottom"/>
            <w:tcBorders>
              <w:top w:val="single" w:sz="8" w:color="auto"/>
            </w:tcBorders>
          </w:tcPr>
          <w:p>
            <w:pPr>
              <w:spacing w:after="0"/>
              <w:rPr>
                <w:sz w:val="12"/>
                <w:szCs w:val="12"/>
                <w:color w:val="auto"/>
              </w:rPr>
            </w:pPr>
          </w:p>
        </w:tc>
        <w:tc>
          <w:tcPr>
            <w:tcW w:w="500" w:type="dxa"/>
            <w:vAlign w:val="bottom"/>
            <w:tcBorders>
              <w:top w:val="single" w:sz="8" w:color="auto"/>
            </w:tcBorders>
          </w:tcPr>
          <w:p>
            <w:pPr>
              <w:jc w:val="right"/>
              <w:ind w:right="76"/>
              <w:spacing w:after="0" w:line="142" w:lineRule="exact"/>
              <w:rPr>
                <w:sz w:val="20"/>
                <w:szCs w:val="20"/>
                <w:color w:val="auto"/>
              </w:rPr>
            </w:pPr>
            <w:r>
              <w:rPr>
                <w:rFonts w:ascii="Arial" w:cs="Arial" w:eastAsia="Arial" w:hAnsi="Arial"/>
                <w:sz w:val="14"/>
                <w:szCs w:val="14"/>
                <w:b w:val="1"/>
                <w:bCs w:val="1"/>
                <w:color w:val="auto"/>
              </w:rPr>
              <w:t>2008</w:t>
            </w:r>
          </w:p>
        </w:tc>
        <w:tc>
          <w:tcPr>
            <w:tcW w:w="160" w:type="dxa"/>
            <w:vAlign w:val="bottom"/>
            <w:tcBorders>
              <w:top w:val="single" w:sz="8" w:color="auto"/>
            </w:tcBorders>
          </w:tcPr>
          <w:p>
            <w:pPr>
              <w:spacing w:after="0"/>
              <w:rPr>
                <w:sz w:val="12"/>
                <w:szCs w:val="12"/>
                <w:color w:val="auto"/>
              </w:rPr>
            </w:pPr>
          </w:p>
        </w:tc>
        <w:tc>
          <w:tcPr>
            <w:tcW w:w="100" w:type="dxa"/>
            <w:vAlign w:val="bottom"/>
            <w:tcBorders>
              <w:top w:val="single" w:sz="8" w:color="auto"/>
            </w:tcBorders>
          </w:tcPr>
          <w:p>
            <w:pPr>
              <w:spacing w:after="0"/>
              <w:rPr>
                <w:sz w:val="12"/>
                <w:szCs w:val="12"/>
                <w:color w:val="auto"/>
              </w:rPr>
            </w:pPr>
          </w:p>
        </w:tc>
        <w:tc>
          <w:tcPr>
            <w:tcW w:w="100" w:type="dxa"/>
            <w:vAlign w:val="bottom"/>
            <w:tcBorders>
              <w:top w:val="single" w:sz="8" w:color="auto"/>
            </w:tcBorders>
          </w:tcPr>
          <w:p>
            <w:pPr>
              <w:spacing w:after="0"/>
              <w:rPr>
                <w:sz w:val="12"/>
                <w:szCs w:val="12"/>
                <w:color w:val="auto"/>
              </w:rPr>
            </w:pPr>
          </w:p>
        </w:tc>
        <w:tc>
          <w:tcPr>
            <w:tcW w:w="480" w:type="dxa"/>
            <w:vAlign w:val="bottom"/>
            <w:tcBorders>
              <w:top w:val="single" w:sz="8" w:color="auto"/>
            </w:tcBorders>
          </w:tcPr>
          <w:p>
            <w:pPr>
              <w:jc w:val="right"/>
              <w:ind w:right="74"/>
              <w:spacing w:after="0" w:line="142" w:lineRule="exact"/>
              <w:rPr>
                <w:sz w:val="20"/>
                <w:szCs w:val="20"/>
                <w:color w:val="auto"/>
              </w:rPr>
            </w:pPr>
            <w:r>
              <w:rPr>
                <w:rFonts w:ascii="Arial" w:cs="Arial" w:eastAsia="Arial" w:hAnsi="Arial"/>
                <w:sz w:val="14"/>
                <w:szCs w:val="14"/>
                <w:b w:val="1"/>
                <w:bCs w:val="1"/>
                <w:color w:val="auto"/>
                <w:w w:val="96"/>
              </w:rPr>
              <w:t>2007</w:t>
            </w:r>
          </w:p>
        </w:tc>
        <w:tc>
          <w:tcPr>
            <w:tcW w:w="200" w:type="dxa"/>
            <w:vAlign w:val="bottom"/>
          </w:tcPr>
          <w:p>
            <w:pPr>
              <w:spacing w:after="0"/>
              <w:rPr>
                <w:sz w:val="12"/>
                <w:szCs w:val="12"/>
                <w:color w:val="auto"/>
              </w:rPr>
            </w:pPr>
          </w:p>
        </w:tc>
        <w:tc>
          <w:tcPr>
            <w:tcW w:w="500" w:type="dxa"/>
            <w:vAlign w:val="bottom"/>
            <w:tcBorders>
              <w:top w:val="single" w:sz="8" w:color="auto"/>
            </w:tcBorders>
          </w:tcPr>
          <w:p>
            <w:pPr>
              <w:jc w:val="right"/>
              <w:ind w:right="20"/>
              <w:spacing w:after="0" w:line="142" w:lineRule="exact"/>
              <w:rPr>
                <w:sz w:val="20"/>
                <w:szCs w:val="20"/>
                <w:color w:val="auto"/>
              </w:rPr>
            </w:pPr>
            <w:r>
              <w:rPr>
                <w:rFonts w:ascii="Arial" w:cs="Arial" w:eastAsia="Arial" w:hAnsi="Arial"/>
                <w:sz w:val="14"/>
                <w:szCs w:val="14"/>
                <w:b w:val="1"/>
                <w:bCs w:val="1"/>
                <w:color w:val="auto"/>
              </w:rPr>
              <w:t>2008</w:t>
            </w:r>
          </w:p>
        </w:tc>
        <w:tc>
          <w:tcPr>
            <w:tcW w:w="280" w:type="dxa"/>
            <w:vAlign w:val="bottom"/>
            <w:tcBorders>
              <w:top w:val="single" w:sz="8" w:color="auto"/>
            </w:tcBorders>
          </w:tcPr>
          <w:p>
            <w:pPr>
              <w:spacing w:after="0"/>
              <w:rPr>
                <w:sz w:val="12"/>
                <w:szCs w:val="12"/>
                <w:color w:val="auto"/>
              </w:rPr>
            </w:pPr>
          </w:p>
        </w:tc>
        <w:tc>
          <w:tcPr>
            <w:tcW w:w="500" w:type="dxa"/>
            <w:vAlign w:val="bottom"/>
            <w:tcBorders>
              <w:top w:val="single" w:sz="8" w:color="auto"/>
            </w:tcBorders>
          </w:tcPr>
          <w:p>
            <w:pPr>
              <w:jc w:val="right"/>
              <w:ind w:right="34"/>
              <w:spacing w:after="0" w:line="142" w:lineRule="exact"/>
              <w:rPr>
                <w:sz w:val="20"/>
                <w:szCs w:val="20"/>
                <w:color w:val="auto"/>
              </w:rPr>
            </w:pPr>
            <w:r>
              <w:rPr>
                <w:rFonts w:ascii="Arial" w:cs="Arial" w:eastAsia="Arial" w:hAnsi="Arial"/>
                <w:sz w:val="14"/>
                <w:szCs w:val="14"/>
                <w:b w:val="1"/>
                <w:bCs w:val="1"/>
                <w:color w:val="auto"/>
              </w:rPr>
              <w:t>2007</w:t>
            </w:r>
          </w:p>
        </w:tc>
        <w:tc>
          <w:tcPr>
            <w:tcW w:w="260" w:type="dxa"/>
            <w:vAlign w:val="bottom"/>
          </w:tcPr>
          <w:p>
            <w:pPr>
              <w:spacing w:after="0"/>
              <w:rPr>
                <w:sz w:val="12"/>
                <w:szCs w:val="12"/>
                <w:color w:val="auto"/>
              </w:rPr>
            </w:pPr>
          </w:p>
        </w:tc>
        <w:tc>
          <w:tcPr>
            <w:tcW w:w="540" w:type="dxa"/>
            <w:vAlign w:val="bottom"/>
            <w:tcBorders>
              <w:top w:val="single" w:sz="8" w:color="auto"/>
            </w:tcBorders>
          </w:tcPr>
          <w:p>
            <w:pPr>
              <w:jc w:val="right"/>
              <w:ind w:right="36"/>
              <w:spacing w:after="0" w:line="142" w:lineRule="exact"/>
              <w:rPr>
                <w:sz w:val="20"/>
                <w:szCs w:val="20"/>
                <w:color w:val="auto"/>
              </w:rPr>
            </w:pPr>
            <w:r>
              <w:rPr>
                <w:rFonts w:ascii="Arial" w:cs="Arial" w:eastAsia="Arial" w:hAnsi="Arial"/>
                <w:sz w:val="14"/>
                <w:szCs w:val="14"/>
                <w:b w:val="1"/>
                <w:bCs w:val="1"/>
                <w:color w:val="auto"/>
              </w:rPr>
              <w:t>2008</w:t>
            </w:r>
          </w:p>
        </w:tc>
        <w:tc>
          <w:tcPr>
            <w:tcW w:w="40" w:type="dxa"/>
            <w:vAlign w:val="bottom"/>
            <w:tcBorders>
              <w:top w:val="single" w:sz="8" w:color="auto"/>
            </w:tcBorders>
          </w:tcPr>
          <w:p>
            <w:pPr>
              <w:spacing w:after="0"/>
              <w:rPr>
                <w:sz w:val="12"/>
                <w:szCs w:val="12"/>
                <w:color w:val="auto"/>
              </w:rPr>
            </w:pPr>
          </w:p>
        </w:tc>
        <w:tc>
          <w:tcPr>
            <w:tcW w:w="120" w:type="dxa"/>
            <w:vAlign w:val="bottom"/>
            <w:tcBorders>
              <w:top w:val="single" w:sz="8" w:color="auto"/>
            </w:tcBorders>
          </w:tcPr>
          <w:p>
            <w:pPr>
              <w:spacing w:after="0"/>
              <w:rPr>
                <w:sz w:val="12"/>
                <w:szCs w:val="12"/>
                <w:color w:val="auto"/>
              </w:rPr>
            </w:pPr>
          </w:p>
        </w:tc>
        <w:tc>
          <w:tcPr>
            <w:tcW w:w="340" w:type="dxa"/>
            <w:vAlign w:val="bottom"/>
            <w:tcBorders>
              <w:top w:val="single" w:sz="8" w:color="auto"/>
            </w:tcBorders>
          </w:tcPr>
          <w:p>
            <w:pPr>
              <w:spacing w:after="0"/>
              <w:rPr>
                <w:sz w:val="12"/>
                <w:szCs w:val="12"/>
                <w:color w:val="auto"/>
              </w:rPr>
            </w:pPr>
          </w:p>
        </w:tc>
        <w:tc>
          <w:tcPr>
            <w:tcW w:w="540" w:type="dxa"/>
            <w:vAlign w:val="bottom"/>
            <w:tcBorders>
              <w:top w:val="single" w:sz="8" w:color="auto"/>
            </w:tcBorders>
            <w:gridSpan w:val="2"/>
          </w:tcPr>
          <w:p>
            <w:pPr>
              <w:jc w:val="right"/>
              <w:ind w:right="160"/>
              <w:spacing w:after="0" w:line="142" w:lineRule="exact"/>
              <w:rPr>
                <w:sz w:val="20"/>
                <w:szCs w:val="20"/>
                <w:color w:val="auto"/>
              </w:rPr>
            </w:pPr>
            <w:r>
              <w:rPr>
                <w:rFonts w:ascii="Arial" w:cs="Arial" w:eastAsia="Arial" w:hAnsi="Arial"/>
                <w:sz w:val="14"/>
                <w:szCs w:val="14"/>
                <w:b w:val="1"/>
                <w:bCs w:val="1"/>
                <w:color w:val="auto"/>
              </w:rPr>
              <w:t>2007</w:t>
            </w:r>
          </w:p>
        </w:tc>
        <w:tc>
          <w:tcPr>
            <w:tcW w:w="1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0"/>
        </w:trPr>
        <w:tc>
          <w:tcPr>
            <w:tcW w:w="20" w:type="dxa"/>
            <w:vAlign w:val="bottom"/>
            <w:vMerge w:val="restart"/>
          </w:tcPr>
          <w:p>
            <w:pPr>
              <w:spacing w:after="0" w:line="20" w:lineRule="exact"/>
              <w:rPr>
                <w:sz w:val="1"/>
                <w:szCs w:val="1"/>
                <w:color w:val="auto"/>
              </w:rPr>
            </w:pPr>
          </w:p>
        </w:tc>
        <w:tc>
          <w:tcPr>
            <w:tcW w:w="1340" w:type="dxa"/>
            <w:vAlign w:val="bottom"/>
            <w:shd w:val="clear" w:color="auto" w:fill="000000"/>
          </w:tcPr>
          <w:p>
            <w:pPr>
              <w:spacing w:after="0" w:line="20" w:lineRule="exact"/>
              <w:rPr>
                <w:sz w:val="1"/>
                <w:szCs w:val="1"/>
                <w:color w:val="auto"/>
              </w:rPr>
            </w:pPr>
          </w:p>
        </w:tc>
        <w:tc>
          <w:tcPr>
            <w:tcW w:w="422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40" w:type="dxa"/>
            <w:vAlign w:val="bottom"/>
            <w:tcBorders>
              <w:right w:val="single" w:sz="8" w:color="auto"/>
            </w:tcBorders>
          </w:tcPr>
          <w:p>
            <w:pPr>
              <w:spacing w:after="0" w:line="20" w:lineRule="exact"/>
              <w:rPr>
                <w:sz w:val="1"/>
                <w:szCs w:val="1"/>
                <w:color w:val="auto"/>
              </w:rPr>
            </w:pPr>
          </w:p>
        </w:tc>
        <w:tc>
          <w:tcPr>
            <w:tcW w:w="320" w:type="dxa"/>
            <w:vAlign w:val="bottom"/>
            <w:tcBorders>
              <w:left w:val="single" w:sz="8" w:color="auto"/>
            </w:tcBorders>
            <w:shd w:val="clear" w:color="auto" w:fill="000000"/>
          </w:tcPr>
          <w:p>
            <w:pPr>
              <w:spacing w:after="0" w:line="20" w:lineRule="exact"/>
              <w:rPr>
                <w:sz w:val="1"/>
                <w:szCs w:val="1"/>
                <w:color w:val="auto"/>
              </w:rPr>
            </w:pPr>
          </w:p>
        </w:tc>
        <w:tc>
          <w:tcPr>
            <w:tcW w:w="220" w:type="dxa"/>
            <w:vAlign w:val="bottom"/>
            <w:tcBorders>
              <w:right w:val="single" w:sz="8" w:color="auto"/>
            </w:tcBorders>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vMerge w:val="continue"/>
          </w:tcPr>
          <w:p>
            <w:pPr>
              <w:spacing w:after="0"/>
              <w:rPr>
                <w:sz w:val="18"/>
                <w:szCs w:val="18"/>
                <w:color w:val="auto"/>
              </w:rPr>
            </w:pPr>
          </w:p>
        </w:tc>
        <w:tc>
          <w:tcPr>
            <w:tcW w:w="1340" w:type="dxa"/>
            <w:vAlign w:val="bottom"/>
            <w:shd w:val="clear" w:color="auto" w:fill="CCEEFF"/>
          </w:tcPr>
          <w:p>
            <w:pPr>
              <w:spacing w:after="0"/>
              <w:rPr>
                <w:sz w:val="20"/>
                <w:szCs w:val="20"/>
                <w:color w:val="auto"/>
              </w:rPr>
            </w:pPr>
            <w:r>
              <w:rPr>
                <w:rFonts w:ascii="Arial" w:cs="Arial" w:eastAsia="Arial" w:hAnsi="Arial"/>
                <w:sz w:val="18"/>
                <w:szCs w:val="18"/>
                <w:color w:val="auto"/>
              </w:rPr>
              <w:t>Otis</w:t>
            </w:r>
          </w:p>
        </w:tc>
        <w:tc>
          <w:tcPr>
            <w:tcW w:w="422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6,461</w:t>
            </w:r>
          </w:p>
        </w:tc>
        <w:tc>
          <w:tcPr>
            <w:tcW w:w="2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5,586</w:t>
            </w:r>
          </w:p>
        </w:tc>
        <w:tc>
          <w:tcPr>
            <w:tcW w:w="7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$1,251</w:t>
            </w:r>
          </w:p>
        </w:tc>
        <w:tc>
          <w:tcPr>
            <w:tcW w:w="280" w:type="dxa"/>
            <w:vAlign w:val="bottom"/>
            <w:shd w:val="clear" w:color="auto" w:fill="CCEEFF"/>
          </w:tcPr>
          <w:p>
            <w:pPr>
              <w:spacing w:after="0"/>
              <w:rPr>
                <w:sz w:val="18"/>
                <w:szCs w:val="18"/>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7"/>
              </w:rPr>
              <w:t>$1,106</w:t>
            </w:r>
          </w:p>
        </w:tc>
        <w:tc>
          <w:tcPr>
            <w:tcW w:w="260" w:type="dxa"/>
            <w:vAlign w:val="bottom"/>
            <w:shd w:val="clear" w:color="auto" w:fill="CCEEFF"/>
          </w:tcPr>
          <w:p>
            <w:pPr>
              <w:spacing w:after="0"/>
              <w:rPr>
                <w:sz w:val="18"/>
                <w:szCs w:val="18"/>
                <w:color w:val="auto"/>
              </w:rPr>
            </w:pPr>
          </w:p>
        </w:tc>
        <w:tc>
          <w:tcPr>
            <w:tcW w:w="70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19.4%</w:t>
            </w:r>
          </w:p>
        </w:tc>
        <w:tc>
          <w:tcPr>
            <w:tcW w:w="340" w:type="dxa"/>
            <w:vAlign w:val="bottom"/>
            <w:tcBorders>
              <w:right w:val="single" w:sz="8" w:color="CCEEFF"/>
            </w:tcBorders>
            <w:shd w:val="clear" w:color="auto" w:fill="CCEEFF"/>
          </w:tcPr>
          <w:p>
            <w:pPr>
              <w:spacing w:after="0"/>
              <w:rPr>
                <w:sz w:val="18"/>
                <w:szCs w:val="18"/>
                <w:color w:val="auto"/>
              </w:rPr>
            </w:pPr>
          </w:p>
        </w:tc>
        <w:tc>
          <w:tcPr>
            <w:tcW w:w="680" w:type="dxa"/>
            <w:vAlign w:val="bottom"/>
            <w:tcBorders>
              <w:left w:val="single" w:sz="8" w:color="CCEEFF"/>
            </w:tcBorders>
            <w:gridSpan w:val="3"/>
            <w:shd w:val="clear" w:color="auto" w:fill="CCEEFF"/>
          </w:tcPr>
          <w:p>
            <w:pPr>
              <w:jc w:val="right"/>
              <w:spacing w:after="0"/>
              <w:rPr>
                <w:sz w:val="20"/>
                <w:szCs w:val="20"/>
                <w:color w:val="auto"/>
              </w:rPr>
            </w:pPr>
            <w:r>
              <w:rPr>
                <w:rFonts w:ascii="Arial" w:cs="Arial" w:eastAsia="Arial" w:hAnsi="Arial"/>
                <w:sz w:val="18"/>
                <w:szCs w:val="18"/>
                <w:color w:val="auto"/>
              </w:rPr>
              <w:t>19.8%</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560" w:type="dxa"/>
            <w:vAlign w:val="bottom"/>
            <w:gridSpan w:val="2"/>
          </w:tcPr>
          <w:p>
            <w:pPr>
              <w:spacing w:after="0"/>
              <w:rPr>
                <w:sz w:val="20"/>
                <w:szCs w:val="20"/>
                <w:color w:val="auto"/>
              </w:rPr>
            </w:pPr>
            <w:r>
              <w:rPr>
                <w:rFonts w:ascii="Arial" w:cs="Arial" w:eastAsia="Arial" w:hAnsi="Arial"/>
                <w:sz w:val="18"/>
                <w:szCs w:val="18"/>
                <w:color w:val="auto"/>
              </w:rPr>
              <w:t>Carrier</w:t>
            </w:r>
          </w:p>
        </w:tc>
        <w:tc>
          <w:tcPr>
            <w:tcW w:w="9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60" w:type="dxa"/>
            <w:vAlign w:val="bottom"/>
            <w:gridSpan w:val="2"/>
          </w:tcPr>
          <w:p>
            <w:pPr>
              <w:jc w:val="right"/>
              <w:ind w:right="160"/>
              <w:spacing w:after="0"/>
              <w:rPr>
                <w:sz w:val="20"/>
                <w:szCs w:val="20"/>
                <w:color w:val="auto"/>
              </w:rPr>
            </w:pPr>
            <w:r>
              <w:rPr>
                <w:rFonts w:ascii="Arial" w:cs="Arial" w:eastAsia="Arial" w:hAnsi="Arial"/>
                <w:sz w:val="18"/>
                <w:szCs w:val="18"/>
                <w:color w:val="auto"/>
              </w:rPr>
              <w:t>7,765</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80" w:type="dxa"/>
            <w:vAlign w:val="bottom"/>
          </w:tcPr>
          <w:p>
            <w:pPr>
              <w:jc w:val="right"/>
              <w:spacing w:after="0"/>
              <w:rPr>
                <w:sz w:val="20"/>
                <w:szCs w:val="20"/>
                <w:color w:val="auto"/>
              </w:rPr>
            </w:pPr>
            <w:r>
              <w:rPr>
                <w:rFonts w:ascii="Arial" w:cs="Arial" w:eastAsia="Arial" w:hAnsi="Arial"/>
                <w:sz w:val="18"/>
                <w:szCs w:val="18"/>
                <w:color w:val="auto"/>
              </w:rPr>
              <w:t>7,185</w:t>
            </w:r>
          </w:p>
        </w:tc>
        <w:tc>
          <w:tcPr>
            <w:tcW w:w="700" w:type="dxa"/>
            <w:vAlign w:val="bottom"/>
            <w:gridSpan w:val="2"/>
          </w:tcPr>
          <w:p>
            <w:pPr>
              <w:jc w:val="right"/>
              <w:spacing w:after="0"/>
              <w:rPr>
                <w:sz w:val="20"/>
                <w:szCs w:val="20"/>
                <w:color w:val="auto"/>
              </w:rPr>
            </w:pPr>
            <w:r>
              <w:rPr>
                <w:rFonts w:ascii="Arial" w:cs="Arial" w:eastAsia="Arial" w:hAnsi="Arial"/>
                <w:sz w:val="18"/>
                <w:szCs w:val="18"/>
                <w:color w:val="auto"/>
              </w:rPr>
              <w:t>735</w:t>
            </w:r>
          </w:p>
        </w:tc>
        <w:tc>
          <w:tcPr>
            <w:tcW w:w="280" w:type="dxa"/>
            <w:vAlign w:val="bottom"/>
          </w:tcPr>
          <w:p>
            <w:pPr>
              <w:spacing w:after="0"/>
              <w:rPr>
                <w:sz w:val="18"/>
                <w:szCs w:val="18"/>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rPr>
              <w:t>702</w:t>
            </w:r>
          </w:p>
        </w:tc>
        <w:tc>
          <w:tcPr>
            <w:tcW w:w="260" w:type="dxa"/>
            <w:vAlign w:val="bottom"/>
          </w:tcPr>
          <w:p>
            <w:pPr>
              <w:spacing w:after="0"/>
              <w:rPr>
                <w:sz w:val="18"/>
                <w:szCs w:val="18"/>
                <w:color w:val="auto"/>
              </w:rPr>
            </w:pPr>
          </w:p>
        </w:tc>
        <w:tc>
          <w:tcPr>
            <w:tcW w:w="700" w:type="dxa"/>
            <w:vAlign w:val="bottom"/>
            <w:gridSpan w:val="3"/>
          </w:tcPr>
          <w:p>
            <w:pPr>
              <w:jc w:val="right"/>
              <w:spacing w:after="0"/>
              <w:rPr>
                <w:sz w:val="20"/>
                <w:szCs w:val="20"/>
                <w:color w:val="auto"/>
              </w:rPr>
            </w:pPr>
            <w:r>
              <w:rPr>
                <w:rFonts w:ascii="Arial" w:cs="Arial" w:eastAsia="Arial" w:hAnsi="Arial"/>
                <w:sz w:val="18"/>
                <w:szCs w:val="18"/>
                <w:color w:val="auto"/>
              </w:rPr>
              <w:t>9.5%</w:t>
            </w:r>
          </w:p>
        </w:tc>
        <w:tc>
          <w:tcPr>
            <w:tcW w:w="340" w:type="dxa"/>
            <w:vAlign w:val="bottom"/>
          </w:tcPr>
          <w:p>
            <w:pPr>
              <w:spacing w:after="0"/>
              <w:rPr>
                <w:sz w:val="18"/>
                <w:szCs w:val="18"/>
                <w:color w:val="auto"/>
              </w:rPr>
            </w:pPr>
          </w:p>
        </w:tc>
        <w:tc>
          <w:tcPr>
            <w:tcW w:w="680" w:type="dxa"/>
            <w:vAlign w:val="bottom"/>
            <w:gridSpan w:val="3"/>
          </w:tcPr>
          <w:p>
            <w:pPr>
              <w:jc w:val="right"/>
              <w:spacing w:after="0"/>
              <w:rPr>
                <w:sz w:val="20"/>
                <w:szCs w:val="20"/>
                <w:color w:val="auto"/>
              </w:rPr>
            </w:pPr>
            <w:r>
              <w:rPr>
                <w:rFonts w:ascii="Arial" w:cs="Arial" w:eastAsia="Arial" w:hAnsi="Arial"/>
                <w:sz w:val="18"/>
                <w:szCs w:val="18"/>
                <w:color w:val="auto"/>
              </w:rPr>
              <w:t>9.8%</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5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UTC Fire &amp; Security</w:t>
            </w:r>
          </w:p>
        </w:tc>
        <w:tc>
          <w:tcPr>
            <w:tcW w:w="9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3,336</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2,595</w:t>
            </w:r>
          </w:p>
        </w:tc>
        <w:tc>
          <w:tcPr>
            <w:tcW w:w="7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241</w:t>
            </w:r>
          </w:p>
        </w:tc>
        <w:tc>
          <w:tcPr>
            <w:tcW w:w="280" w:type="dxa"/>
            <w:vAlign w:val="bottom"/>
            <w:shd w:val="clear" w:color="auto" w:fill="CCEEFF"/>
          </w:tcPr>
          <w:p>
            <w:pPr>
              <w:spacing w:after="0"/>
              <w:rPr>
                <w:sz w:val="18"/>
                <w:szCs w:val="18"/>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187</w:t>
            </w:r>
          </w:p>
        </w:tc>
        <w:tc>
          <w:tcPr>
            <w:tcW w:w="260" w:type="dxa"/>
            <w:vAlign w:val="bottom"/>
            <w:shd w:val="clear" w:color="auto" w:fill="CCEEFF"/>
          </w:tcPr>
          <w:p>
            <w:pPr>
              <w:spacing w:after="0"/>
              <w:rPr>
                <w:sz w:val="18"/>
                <w:szCs w:val="18"/>
                <w:color w:val="auto"/>
              </w:rPr>
            </w:pPr>
          </w:p>
        </w:tc>
        <w:tc>
          <w:tcPr>
            <w:tcW w:w="70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7.2%</w:t>
            </w:r>
          </w:p>
        </w:tc>
        <w:tc>
          <w:tcPr>
            <w:tcW w:w="340" w:type="dxa"/>
            <w:vAlign w:val="bottom"/>
            <w:tcBorders>
              <w:right w:val="single" w:sz="8" w:color="CCEEFF"/>
            </w:tcBorders>
            <w:shd w:val="clear" w:color="auto" w:fill="CCEEFF"/>
          </w:tcPr>
          <w:p>
            <w:pPr>
              <w:spacing w:after="0"/>
              <w:rPr>
                <w:sz w:val="18"/>
                <w:szCs w:val="18"/>
                <w:color w:val="auto"/>
              </w:rPr>
            </w:pPr>
          </w:p>
        </w:tc>
        <w:tc>
          <w:tcPr>
            <w:tcW w:w="680" w:type="dxa"/>
            <w:vAlign w:val="bottom"/>
            <w:tcBorders>
              <w:left w:val="single" w:sz="8" w:color="CCEEFF"/>
            </w:tcBorders>
            <w:gridSpan w:val="3"/>
            <w:shd w:val="clear" w:color="auto" w:fill="CCEEFF"/>
          </w:tcPr>
          <w:p>
            <w:pPr>
              <w:jc w:val="right"/>
              <w:spacing w:after="0"/>
              <w:rPr>
                <w:sz w:val="20"/>
                <w:szCs w:val="20"/>
                <w:color w:val="auto"/>
              </w:rPr>
            </w:pPr>
            <w:r>
              <w:rPr>
                <w:rFonts w:ascii="Arial" w:cs="Arial" w:eastAsia="Arial" w:hAnsi="Arial"/>
                <w:sz w:val="18"/>
                <w:szCs w:val="18"/>
                <w:color w:val="auto"/>
              </w:rPr>
              <w:t>7.2%</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560" w:type="dxa"/>
            <w:vAlign w:val="bottom"/>
            <w:gridSpan w:val="2"/>
          </w:tcPr>
          <w:p>
            <w:pPr>
              <w:spacing w:after="0"/>
              <w:rPr>
                <w:sz w:val="20"/>
                <w:szCs w:val="20"/>
                <w:color w:val="auto"/>
              </w:rPr>
            </w:pPr>
            <w:r>
              <w:rPr>
                <w:rFonts w:ascii="Arial" w:cs="Arial" w:eastAsia="Arial" w:hAnsi="Arial"/>
                <w:sz w:val="18"/>
                <w:szCs w:val="18"/>
                <w:color w:val="auto"/>
              </w:rPr>
              <w:t>Pratt &amp; Whitney</w:t>
            </w:r>
          </w:p>
        </w:tc>
        <w:tc>
          <w:tcPr>
            <w:tcW w:w="9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60" w:type="dxa"/>
            <w:vAlign w:val="bottom"/>
            <w:gridSpan w:val="2"/>
          </w:tcPr>
          <w:p>
            <w:pPr>
              <w:jc w:val="right"/>
              <w:ind w:right="160"/>
              <w:spacing w:after="0"/>
              <w:rPr>
                <w:sz w:val="20"/>
                <w:szCs w:val="20"/>
                <w:color w:val="auto"/>
              </w:rPr>
            </w:pPr>
            <w:r>
              <w:rPr>
                <w:rFonts w:ascii="Arial" w:cs="Arial" w:eastAsia="Arial" w:hAnsi="Arial"/>
                <w:sz w:val="18"/>
                <w:szCs w:val="18"/>
                <w:color w:val="auto"/>
              </w:rPr>
              <w:t>6,499</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80" w:type="dxa"/>
            <w:vAlign w:val="bottom"/>
          </w:tcPr>
          <w:p>
            <w:pPr>
              <w:jc w:val="right"/>
              <w:spacing w:after="0"/>
              <w:rPr>
                <w:sz w:val="20"/>
                <w:szCs w:val="20"/>
                <w:color w:val="auto"/>
              </w:rPr>
            </w:pPr>
            <w:r>
              <w:rPr>
                <w:rFonts w:ascii="Arial" w:cs="Arial" w:eastAsia="Arial" w:hAnsi="Arial"/>
                <w:sz w:val="18"/>
                <w:szCs w:val="18"/>
                <w:color w:val="auto"/>
              </w:rPr>
              <w:t>5,875</w:t>
            </w:r>
          </w:p>
        </w:tc>
        <w:tc>
          <w:tcPr>
            <w:tcW w:w="700" w:type="dxa"/>
            <w:vAlign w:val="bottom"/>
            <w:gridSpan w:val="2"/>
          </w:tcPr>
          <w:p>
            <w:pPr>
              <w:jc w:val="right"/>
              <w:spacing w:after="0"/>
              <w:rPr>
                <w:sz w:val="20"/>
                <w:szCs w:val="20"/>
                <w:color w:val="auto"/>
              </w:rPr>
            </w:pPr>
            <w:r>
              <w:rPr>
                <w:rFonts w:ascii="Arial" w:cs="Arial" w:eastAsia="Arial" w:hAnsi="Arial"/>
                <w:sz w:val="18"/>
                <w:szCs w:val="18"/>
                <w:color w:val="auto"/>
              </w:rPr>
              <w:t>1,072</w:t>
            </w:r>
          </w:p>
        </w:tc>
        <w:tc>
          <w:tcPr>
            <w:tcW w:w="280" w:type="dxa"/>
            <w:vAlign w:val="bottom"/>
          </w:tcPr>
          <w:p>
            <w:pPr>
              <w:spacing w:after="0"/>
              <w:rPr>
                <w:sz w:val="18"/>
                <w:szCs w:val="18"/>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rPr>
              <w:t>1,012</w:t>
            </w:r>
          </w:p>
        </w:tc>
        <w:tc>
          <w:tcPr>
            <w:tcW w:w="260" w:type="dxa"/>
            <w:vAlign w:val="bottom"/>
          </w:tcPr>
          <w:p>
            <w:pPr>
              <w:spacing w:after="0"/>
              <w:rPr>
                <w:sz w:val="18"/>
                <w:szCs w:val="18"/>
                <w:color w:val="auto"/>
              </w:rPr>
            </w:pPr>
          </w:p>
        </w:tc>
        <w:tc>
          <w:tcPr>
            <w:tcW w:w="700" w:type="dxa"/>
            <w:vAlign w:val="bottom"/>
            <w:gridSpan w:val="3"/>
          </w:tcPr>
          <w:p>
            <w:pPr>
              <w:jc w:val="right"/>
              <w:spacing w:after="0"/>
              <w:rPr>
                <w:sz w:val="20"/>
                <w:szCs w:val="20"/>
                <w:color w:val="auto"/>
              </w:rPr>
            </w:pPr>
            <w:r>
              <w:rPr>
                <w:rFonts w:ascii="Arial" w:cs="Arial" w:eastAsia="Arial" w:hAnsi="Arial"/>
                <w:sz w:val="18"/>
                <w:szCs w:val="18"/>
                <w:color w:val="auto"/>
              </w:rPr>
              <w:t>16.5%</w:t>
            </w:r>
          </w:p>
        </w:tc>
        <w:tc>
          <w:tcPr>
            <w:tcW w:w="340" w:type="dxa"/>
            <w:vAlign w:val="bottom"/>
          </w:tcPr>
          <w:p>
            <w:pPr>
              <w:spacing w:after="0"/>
              <w:rPr>
                <w:sz w:val="18"/>
                <w:szCs w:val="18"/>
                <w:color w:val="auto"/>
              </w:rPr>
            </w:pPr>
          </w:p>
        </w:tc>
        <w:tc>
          <w:tcPr>
            <w:tcW w:w="680" w:type="dxa"/>
            <w:vAlign w:val="bottom"/>
            <w:gridSpan w:val="3"/>
          </w:tcPr>
          <w:p>
            <w:pPr>
              <w:jc w:val="right"/>
              <w:spacing w:after="0"/>
              <w:rPr>
                <w:sz w:val="20"/>
                <w:szCs w:val="20"/>
                <w:color w:val="auto"/>
              </w:rPr>
            </w:pPr>
            <w:r>
              <w:rPr>
                <w:rFonts w:ascii="Arial" w:cs="Arial" w:eastAsia="Arial" w:hAnsi="Arial"/>
                <w:sz w:val="18"/>
                <w:szCs w:val="18"/>
                <w:color w:val="auto"/>
              </w:rPr>
              <w:t>17.2%</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5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Hamilton Sundstrand</w:t>
            </w:r>
          </w:p>
        </w:tc>
        <w:tc>
          <w:tcPr>
            <w:tcW w:w="9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3,111</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2,717</w:t>
            </w:r>
          </w:p>
        </w:tc>
        <w:tc>
          <w:tcPr>
            <w:tcW w:w="7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509</w:t>
            </w:r>
          </w:p>
        </w:tc>
        <w:tc>
          <w:tcPr>
            <w:tcW w:w="280" w:type="dxa"/>
            <w:vAlign w:val="bottom"/>
            <w:shd w:val="clear" w:color="auto" w:fill="CCEEFF"/>
          </w:tcPr>
          <w:p>
            <w:pPr>
              <w:spacing w:after="0"/>
              <w:rPr>
                <w:sz w:val="18"/>
                <w:szCs w:val="18"/>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464</w:t>
            </w:r>
          </w:p>
        </w:tc>
        <w:tc>
          <w:tcPr>
            <w:tcW w:w="260" w:type="dxa"/>
            <w:vAlign w:val="bottom"/>
            <w:shd w:val="clear" w:color="auto" w:fill="CCEEFF"/>
          </w:tcPr>
          <w:p>
            <w:pPr>
              <w:spacing w:after="0"/>
              <w:rPr>
                <w:sz w:val="18"/>
                <w:szCs w:val="18"/>
                <w:color w:val="auto"/>
              </w:rPr>
            </w:pPr>
          </w:p>
        </w:tc>
        <w:tc>
          <w:tcPr>
            <w:tcW w:w="70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16.4%</w:t>
            </w:r>
          </w:p>
        </w:tc>
        <w:tc>
          <w:tcPr>
            <w:tcW w:w="340" w:type="dxa"/>
            <w:vAlign w:val="bottom"/>
            <w:tcBorders>
              <w:right w:val="single" w:sz="8" w:color="CCEEFF"/>
            </w:tcBorders>
            <w:shd w:val="clear" w:color="auto" w:fill="CCEEFF"/>
          </w:tcPr>
          <w:p>
            <w:pPr>
              <w:spacing w:after="0"/>
              <w:rPr>
                <w:sz w:val="18"/>
                <w:szCs w:val="18"/>
                <w:color w:val="auto"/>
              </w:rPr>
            </w:pPr>
          </w:p>
        </w:tc>
        <w:tc>
          <w:tcPr>
            <w:tcW w:w="680" w:type="dxa"/>
            <w:vAlign w:val="bottom"/>
            <w:tcBorders>
              <w:left w:val="single" w:sz="8" w:color="CCEEFF"/>
            </w:tcBorders>
            <w:gridSpan w:val="3"/>
            <w:shd w:val="clear" w:color="auto" w:fill="CCEEFF"/>
          </w:tcPr>
          <w:p>
            <w:pPr>
              <w:jc w:val="right"/>
              <w:spacing w:after="0"/>
              <w:rPr>
                <w:sz w:val="20"/>
                <w:szCs w:val="20"/>
                <w:color w:val="auto"/>
              </w:rPr>
            </w:pPr>
            <w:r>
              <w:rPr>
                <w:rFonts w:ascii="Arial" w:cs="Arial" w:eastAsia="Arial" w:hAnsi="Arial"/>
                <w:sz w:val="18"/>
                <w:szCs w:val="18"/>
                <w:color w:val="auto"/>
              </w:rPr>
              <w:t>17.1%</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560" w:type="dxa"/>
            <w:vAlign w:val="bottom"/>
            <w:gridSpan w:val="2"/>
          </w:tcPr>
          <w:p>
            <w:pPr>
              <w:spacing w:after="0"/>
              <w:rPr>
                <w:sz w:val="20"/>
                <w:szCs w:val="20"/>
                <w:color w:val="auto"/>
              </w:rPr>
            </w:pPr>
            <w:r>
              <w:rPr>
                <w:rFonts w:ascii="Arial" w:cs="Arial" w:eastAsia="Arial" w:hAnsi="Arial"/>
                <w:sz w:val="18"/>
                <w:szCs w:val="18"/>
                <w:color w:val="auto"/>
              </w:rPr>
              <w:t>Sikorsky</w:t>
            </w:r>
          </w:p>
        </w:tc>
        <w:tc>
          <w:tcPr>
            <w:tcW w:w="9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rPr>
              <w:t>2,330</w:t>
            </w: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80" w:type="dxa"/>
            <w:vAlign w:val="bottom"/>
          </w:tcPr>
          <w:p>
            <w:pPr>
              <w:jc w:val="right"/>
              <w:spacing w:after="0"/>
              <w:rPr>
                <w:sz w:val="20"/>
                <w:szCs w:val="20"/>
                <w:color w:val="auto"/>
              </w:rPr>
            </w:pPr>
            <w:r>
              <w:rPr>
                <w:rFonts w:ascii="Arial" w:cs="Arial" w:eastAsia="Arial" w:hAnsi="Arial"/>
                <w:sz w:val="18"/>
                <w:szCs w:val="18"/>
                <w:color w:val="auto"/>
              </w:rPr>
              <w:t>2,204</w:t>
            </w:r>
          </w:p>
        </w:tc>
        <w:tc>
          <w:tcPr>
            <w:tcW w:w="200" w:type="dxa"/>
            <w:vAlign w:val="bottom"/>
          </w:tcPr>
          <w:p>
            <w:pPr>
              <w:spacing w:after="0"/>
              <w:rPr>
                <w:sz w:val="18"/>
                <w:szCs w:val="18"/>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rPr>
              <w:t>193</w:t>
            </w:r>
          </w:p>
        </w:tc>
        <w:tc>
          <w:tcPr>
            <w:tcW w:w="280" w:type="dxa"/>
            <w:vAlign w:val="bottom"/>
          </w:tcPr>
          <w:p>
            <w:pPr>
              <w:spacing w:after="0"/>
              <w:rPr>
                <w:sz w:val="18"/>
                <w:szCs w:val="18"/>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rPr>
              <w:t>160</w:t>
            </w:r>
          </w:p>
        </w:tc>
        <w:tc>
          <w:tcPr>
            <w:tcW w:w="260" w:type="dxa"/>
            <w:vAlign w:val="bottom"/>
          </w:tcPr>
          <w:p>
            <w:pPr>
              <w:spacing w:after="0"/>
              <w:rPr>
                <w:sz w:val="18"/>
                <w:szCs w:val="18"/>
                <w:color w:val="auto"/>
              </w:rPr>
            </w:pPr>
          </w:p>
        </w:tc>
        <w:tc>
          <w:tcPr>
            <w:tcW w:w="700" w:type="dxa"/>
            <w:vAlign w:val="bottom"/>
            <w:gridSpan w:val="3"/>
          </w:tcPr>
          <w:p>
            <w:pPr>
              <w:jc w:val="right"/>
              <w:spacing w:after="0"/>
              <w:rPr>
                <w:sz w:val="20"/>
                <w:szCs w:val="20"/>
                <w:color w:val="auto"/>
              </w:rPr>
            </w:pPr>
            <w:r>
              <w:rPr>
                <w:rFonts w:ascii="Arial" w:cs="Arial" w:eastAsia="Arial" w:hAnsi="Arial"/>
                <w:sz w:val="18"/>
                <w:szCs w:val="18"/>
                <w:color w:val="auto"/>
              </w:rPr>
              <w:t>8.3%</w:t>
            </w:r>
          </w:p>
        </w:tc>
        <w:tc>
          <w:tcPr>
            <w:tcW w:w="340" w:type="dxa"/>
            <w:vAlign w:val="bottom"/>
          </w:tcPr>
          <w:p>
            <w:pPr>
              <w:spacing w:after="0"/>
              <w:rPr>
                <w:sz w:val="18"/>
                <w:szCs w:val="18"/>
                <w:color w:val="auto"/>
              </w:rPr>
            </w:pPr>
          </w:p>
        </w:tc>
        <w:tc>
          <w:tcPr>
            <w:tcW w:w="680" w:type="dxa"/>
            <w:vAlign w:val="bottom"/>
            <w:gridSpan w:val="3"/>
          </w:tcPr>
          <w:p>
            <w:pPr>
              <w:jc w:val="right"/>
              <w:spacing w:after="0"/>
              <w:rPr>
                <w:sz w:val="20"/>
                <w:szCs w:val="20"/>
                <w:color w:val="auto"/>
              </w:rPr>
            </w:pPr>
            <w:r>
              <w:rPr>
                <w:rFonts w:ascii="Arial" w:cs="Arial" w:eastAsia="Arial" w:hAnsi="Arial"/>
                <w:sz w:val="18"/>
                <w:szCs w:val="18"/>
                <w:color w:val="auto"/>
              </w:rPr>
              <w:t>7.3%</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1340" w:type="dxa"/>
            <w:vAlign w:val="bottom"/>
          </w:tcPr>
          <w:p>
            <w:pPr>
              <w:spacing w:after="0"/>
              <w:rPr>
                <w:sz w:val="2"/>
                <w:szCs w:val="2"/>
                <w:color w:val="auto"/>
              </w:rPr>
            </w:pPr>
          </w:p>
        </w:tc>
        <w:tc>
          <w:tcPr>
            <w:tcW w:w="4220" w:type="dxa"/>
            <w:vAlign w:val="bottom"/>
          </w:tcPr>
          <w:p>
            <w:pPr>
              <w:spacing w:after="0"/>
              <w:rPr>
                <w:sz w:val="2"/>
                <w:szCs w:val="2"/>
                <w:color w:val="auto"/>
              </w:rPr>
            </w:pPr>
          </w:p>
        </w:tc>
        <w:tc>
          <w:tcPr>
            <w:tcW w:w="96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500" w:type="dxa"/>
            <w:vAlign w:val="bottom"/>
            <w:shd w:val="clear" w:color="auto" w:fill="000000"/>
          </w:tcPr>
          <w:p>
            <w:pPr>
              <w:spacing w:after="0"/>
              <w:rPr>
                <w:sz w:val="2"/>
                <w:szCs w:val="2"/>
                <w:color w:val="auto"/>
              </w:rPr>
            </w:pPr>
          </w:p>
        </w:tc>
        <w:tc>
          <w:tcPr>
            <w:tcW w:w="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48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500" w:type="dxa"/>
            <w:vAlign w:val="bottom"/>
            <w:shd w:val="clear" w:color="auto" w:fill="000000"/>
          </w:tcPr>
          <w:p>
            <w:pPr>
              <w:spacing w:after="0"/>
              <w:rPr>
                <w:sz w:val="2"/>
                <w:szCs w:val="2"/>
                <w:color w:val="auto"/>
              </w:rPr>
            </w:pPr>
          </w:p>
        </w:tc>
        <w:tc>
          <w:tcPr>
            <w:tcW w:w="280" w:type="dxa"/>
            <w:vAlign w:val="bottom"/>
          </w:tcPr>
          <w:p>
            <w:pPr>
              <w:spacing w:after="0"/>
              <w:rPr>
                <w:sz w:val="2"/>
                <w:szCs w:val="2"/>
                <w:color w:val="auto"/>
              </w:rPr>
            </w:pPr>
          </w:p>
        </w:tc>
        <w:tc>
          <w:tcPr>
            <w:tcW w:w="500" w:type="dxa"/>
            <w:vAlign w:val="bottom"/>
            <w:shd w:val="clear" w:color="auto" w:fill="000000"/>
          </w:tcPr>
          <w:p>
            <w:pPr>
              <w:spacing w:after="0"/>
              <w:rPr>
                <w:sz w:val="2"/>
                <w:szCs w:val="2"/>
                <w:color w:val="auto"/>
              </w:rPr>
            </w:pPr>
          </w:p>
        </w:tc>
        <w:tc>
          <w:tcPr>
            <w:tcW w:w="260" w:type="dxa"/>
            <w:vAlign w:val="bottom"/>
          </w:tcPr>
          <w:p>
            <w:pPr>
              <w:spacing w:after="0"/>
              <w:rPr>
                <w:sz w:val="2"/>
                <w:szCs w:val="2"/>
                <w:color w:val="auto"/>
              </w:rPr>
            </w:pPr>
          </w:p>
        </w:tc>
        <w:tc>
          <w:tcPr>
            <w:tcW w:w="540" w:type="dxa"/>
            <w:vAlign w:val="bottom"/>
            <w:shd w:val="clear" w:color="auto" w:fill="000000"/>
          </w:tcPr>
          <w:p>
            <w:pPr>
              <w:spacing w:after="0"/>
              <w:rPr>
                <w:sz w:val="2"/>
                <w:szCs w:val="2"/>
                <w:color w:val="auto"/>
              </w:rPr>
            </w:pPr>
          </w:p>
        </w:tc>
        <w:tc>
          <w:tcPr>
            <w:tcW w:w="40" w:type="dxa"/>
            <w:vAlign w:val="bottom"/>
          </w:tcPr>
          <w:p>
            <w:pPr>
              <w:spacing w:after="0"/>
              <w:rPr>
                <w:sz w:val="2"/>
                <w:szCs w:val="2"/>
                <w:color w:val="auto"/>
              </w:rPr>
            </w:pPr>
          </w:p>
        </w:tc>
        <w:tc>
          <w:tcPr>
            <w:tcW w:w="120" w:type="dxa"/>
            <w:vAlign w:val="bottom"/>
          </w:tcPr>
          <w:p>
            <w:pPr>
              <w:spacing w:after="0"/>
              <w:rPr>
                <w:sz w:val="2"/>
                <w:szCs w:val="2"/>
                <w:color w:val="auto"/>
              </w:rPr>
            </w:pPr>
          </w:p>
        </w:tc>
        <w:tc>
          <w:tcPr>
            <w:tcW w:w="340" w:type="dxa"/>
            <w:vAlign w:val="bottom"/>
            <w:tcBorders>
              <w:right w:val="single" w:sz="8" w:color="auto"/>
            </w:tcBorders>
          </w:tcPr>
          <w:p>
            <w:pPr>
              <w:spacing w:after="0"/>
              <w:rPr>
                <w:sz w:val="2"/>
                <w:szCs w:val="2"/>
                <w:color w:val="auto"/>
              </w:rPr>
            </w:pPr>
          </w:p>
        </w:tc>
        <w:tc>
          <w:tcPr>
            <w:tcW w:w="320" w:type="dxa"/>
            <w:vAlign w:val="bottom"/>
            <w:tcBorders>
              <w:left w:val="single" w:sz="8" w:color="auto"/>
            </w:tcBorders>
            <w:shd w:val="clear" w:color="auto" w:fill="000000"/>
          </w:tcPr>
          <w:p>
            <w:pPr>
              <w:spacing w:after="0"/>
              <w:rPr>
                <w:sz w:val="2"/>
                <w:szCs w:val="2"/>
                <w:color w:val="auto"/>
              </w:rPr>
            </w:pPr>
          </w:p>
        </w:tc>
        <w:tc>
          <w:tcPr>
            <w:tcW w:w="220" w:type="dxa"/>
            <w:vAlign w:val="bottom"/>
            <w:tcBorders>
              <w:right w:val="single" w:sz="8" w:color="auto"/>
            </w:tcBorders>
            <w:shd w:val="clear" w:color="auto" w:fill="000000"/>
          </w:tcPr>
          <w:p>
            <w:pPr>
              <w:spacing w:after="0"/>
              <w:rPr>
                <w:sz w:val="2"/>
                <w:szCs w:val="2"/>
                <w:color w:val="auto"/>
              </w:rPr>
            </w:pPr>
          </w:p>
        </w:tc>
        <w:tc>
          <w:tcPr>
            <w:tcW w:w="140" w:type="dxa"/>
            <w:vAlign w:val="bottom"/>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55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Total segment</w:t>
            </w:r>
          </w:p>
        </w:tc>
        <w:tc>
          <w:tcPr>
            <w:tcW w:w="9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7"/>
              </w:rPr>
              <w:t>29,502</w:t>
            </w: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3"/>
              </w:rPr>
              <w:t>26,162</w:t>
            </w:r>
          </w:p>
        </w:tc>
        <w:tc>
          <w:tcPr>
            <w:tcW w:w="200" w:type="dxa"/>
            <w:vAlign w:val="bottom"/>
            <w:shd w:val="clear" w:color="auto" w:fill="CCEEFF"/>
          </w:tcPr>
          <w:p>
            <w:pPr>
              <w:spacing w:after="0"/>
              <w:rPr>
                <w:sz w:val="18"/>
                <w:szCs w:val="18"/>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4,001</w:t>
            </w:r>
          </w:p>
        </w:tc>
        <w:tc>
          <w:tcPr>
            <w:tcW w:w="280" w:type="dxa"/>
            <w:vAlign w:val="bottom"/>
            <w:shd w:val="clear" w:color="auto" w:fill="CCEEFF"/>
          </w:tcPr>
          <w:p>
            <w:pPr>
              <w:spacing w:after="0"/>
              <w:rPr>
                <w:sz w:val="18"/>
                <w:szCs w:val="18"/>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3,631</w:t>
            </w:r>
          </w:p>
        </w:tc>
        <w:tc>
          <w:tcPr>
            <w:tcW w:w="260" w:type="dxa"/>
            <w:vAlign w:val="bottom"/>
            <w:shd w:val="clear" w:color="auto" w:fill="CCEEFF"/>
          </w:tcPr>
          <w:p>
            <w:pPr>
              <w:spacing w:after="0"/>
              <w:rPr>
                <w:sz w:val="18"/>
                <w:szCs w:val="18"/>
                <w:color w:val="auto"/>
              </w:rPr>
            </w:pPr>
          </w:p>
        </w:tc>
        <w:tc>
          <w:tcPr>
            <w:tcW w:w="70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13.6%</w:t>
            </w:r>
          </w:p>
        </w:tc>
        <w:tc>
          <w:tcPr>
            <w:tcW w:w="340" w:type="dxa"/>
            <w:vAlign w:val="bottom"/>
            <w:tcBorders>
              <w:right w:val="single" w:sz="8" w:color="CCEEFF"/>
            </w:tcBorders>
            <w:shd w:val="clear" w:color="auto" w:fill="CCEEFF"/>
          </w:tcPr>
          <w:p>
            <w:pPr>
              <w:spacing w:after="0"/>
              <w:rPr>
                <w:sz w:val="18"/>
                <w:szCs w:val="18"/>
                <w:color w:val="auto"/>
              </w:rPr>
            </w:pPr>
          </w:p>
        </w:tc>
        <w:tc>
          <w:tcPr>
            <w:tcW w:w="680" w:type="dxa"/>
            <w:vAlign w:val="bottom"/>
            <w:tcBorders>
              <w:left w:val="single" w:sz="8" w:color="CCEEFF"/>
            </w:tcBorders>
            <w:gridSpan w:val="3"/>
            <w:shd w:val="clear" w:color="auto" w:fill="CCEEFF"/>
          </w:tcPr>
          <w:p>
            <w:pPr>
              <w:jc w:val="right"/>
              <w:spacing w:after="0"/>
              <w:rPr>
                <w:sz w:val="20"/>
                <w:szCs w:val="20"/>
                <w:color w:val="auto"/>
              </w:rPr>
            </w:pPr>
            <w:r>
              <w:rPr>
                <w:rFonts w:ascii="Arial" w:cs="Arial" w:eastAsia="Arial" w:hAnsi="Arial"/>
                <w:sz w:val="18"/>
                <w:szCs w:val="18"/>
                <w:color w:val="auto"/>
              </w:rPr>
              <w:t>13.9%</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560" w:type="dxa"/>
            <w:vAlign w:val="bottom"/>
            <w:gridSpan w:val="2"/>
          </w:tcPr>
          <w:p>
            <w:pPr>
              <w:spacing w:after="0"/>
              <w:rPr>
                <w:sz w:val="20"/>
                <w:szCs w:val="20"/>
                <w:color w:val="auto"/>
              </w:rPr>
            </w:pPr>
            <w:r>
              <w:rPr>
                <w:rFonts w:ascii="Arial" w:cs="Arial" w:eastAsia="Arial" w:hAnsi="Arial"/>
                <w:sz w:val="18"/>
                <w:szCs w:val="18"/>
                <w:color w:val="auto"/>
              </w:rPr>
              <w:t>Eliminations and other</w:t>
            </w:r>
          </w:p>
        </w:tc>
        <w:tc>
          <w:tcPr>
            <w:tcW w:w="9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60" w:type="dxa"/>
            <w:vAlign w:val="bottom"/>
            <w:gridSpan w:val="2"/>
          </w:tcPr>
          <w:p>
            <w:pPr>
              <w:jc w:val="right"/>
              <w:ind w:right="100"/>
              <w:spacing w:after="0"/>
              <w:rPr>
                <w:sz w:val="20"/>
                <w:szCs w:val="20"/>
                <w:color w:val="auto"/>
              </w:rPr>
            </w:pPr>
            <w:r>
              <w:rPr>
                <w:rFonts w:ascii="Arial" w:cs="Arial" w:eastAsia="Arial" w:hAnsi="Arial"/>
                <w:sz w:val="18"/>
                <w:szCs w:val="18"/>
                <w:color w:val="auto"/>
              </w:rPr>
              <w:t>(134)</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80" w:type="dxa"/>
            <w:vAlign w:val="bottom"/>
          </w:tcPr>
          <w:p>
            <w:pPr>
              <w:jc w:val="right"/>
              <w:spacing w:after="0"/>
              <w:rPr>
                <w:sz w:val="20"/>
                <w:szCs w:val="20"/>
                <w:color w:val="auto"/>
              </w:rPr>
            </w:pPr>
            <w:r>
              <w:rPr>
                <w:rFonts w:ascii="Arial" w:cs="Arial" w:eastAsia="Arial" w:hAnsi="Arial"/>
                <w:sz w:val="18"/>
                <w:szCs w:val="18"/>
                <w:color w:val="auto"/>
              </w:rPr>
              <w:t>20</w:t>
            </w:r>
          </w:p>
        </w:tc>
        <w:tc>
          <w:tcPr>
            <w:tcW w:w="980" w:type="dxa"/>
            <w:vAlign w:val="bottom"/>
            <w:gridSpan w:val="3"/>
          </w:tcPr>
          <w:p>
            <w:pPr>
              <w:jc w:val="right"/>
              <w:ind w:right="220"/>
              <w:spacing w:after="0"/>
              <w:rPr>
                <w:sz w:val="20"/>
                <w:szCs w:val="20"/>
                <w:color w:val="auto"/>
              </w:rPr>
            </w:pPr>
            <w:r>
              <w:rPr>
                <w:rFonts w:ascii="Arial" w:cs="Arial" w:eastAsia="Arial" w:hAnsi="Arial"/>
                <w:sz w:val="18"/>
                <w:szCs w:val="18"/>
                <w:color w:val="auto"/>
              </w:rPr>
              <w:t>(22)</w:t>
            </w:r>
          </w:p>
        </w:tc>
        <w:tc>
          <w:tcPr>
            <w:tcW w:w="760" w:type="dxa"/>
            <w:vAlign w:val="bottom"/>
            <w:gridSpan w:val="2"/>
          </w:tcPr>
          <w:p>
            <w:pPr>
              <w:jc w:val="right"/>
              <w:ind w:right="200"/>
              <w:spacing w:after="0"/>
              <w:rPr>
                <w:sz w:val="20"/>
                <w:szCs w:val="20"/>
                <w:color w:val="auto"/>
              </w:rPr>
            </w:pPr>
            <w:r>
              <w:rPr>
                <w:rFonts w:ascii="Arial" w:cs="Arial" w:eastAsia="Arial" w:hAnsi="Arial"/>
                <w:sz w:val="18"/>
                <w:szCs w:val="18"/>
                <w:color w:val="auto"/>
              </w:rPr>
              <w:t>(83)</w:t>
            </w:r>
          </w:p>
        </w:tc>
        <w:tc>
          <w:tcPr>
            <w:tcW w:w="5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5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General corporate expenses</w:t>
            </w:r>
          </w:p>
        </w:tc>
        <w:tc>
          <w:tcPr>
            <w:tcW w:w="9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00" w:type="dxa"/>
            <w:vAlign w:val="bottom"/>
            <w:shd w:val="clear" w:color="auto" w:fill="CCEEFF"/>
          </w:tcPr>
          <w:p>
            <w:pPr>
              <w:jc w:val="right"/>
              <w:ind w:right="16"/>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(206)</w:t>
            </w:r>
          </w:p>
        </w:tc>
        <w:tc>
          <w:tcPr>
            <w:tcW w:w="76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(179)</w:t>
            </w:r>
          </w:p>
        </w:tc>
        <w:tc>
          <w:tcPr>
            <w:tcW w:w="54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340" w:type="dxa"/>
            <w:vAlign w:val="bottom"/>
            <w:tcBorders>
              <w:right w:val="single" w:sz="8" w:color="CCEEFF"/>
            </w:tcBorders>
            <w:shd w:val="clear" w:color="auto" w:fill="CCEEFF"/>
          </w:tcPr>
          <w:p>
            <w:pPr>
              <w:spacing w:after="0"/>
              <w:rPr>
                <w:sz w:val="18"/>
                <w:szCs w:val="18"/>
                <w:color w:val="auto"/>
              </w:rPr>
            </w:pPr>
          </w:p>
        </w:tc>
        <w:tc>
          <w:tcPr>
            <w:tcW w:w="320" w:type="dxa"/>
            <w:vAlign w:val="bottom"/>
            <w:tcBorders>
              <w:left w:val="single" w:sz="8" w:color="CCEEFF"/>
            </w:tcBorders>
            <w:shd w:val="clear" w:color="auto" w:fill="CCEEFF"/>
          </w:tcPr>
          <w:p>
            <w:pPr>
              <w:spacing w:after="0"/>
              <w:rPr>
                <w:sz w:val="18"/>
                <w:szCs w:val="18"/>
                <w:color w:val="auto"/>
              </w:rPr>
            </w:pPr>
          </w:p>
        </w:tc>
        <w:tc>
          <w:tcPr>
            <w:tcW w:w="220" w:type="dxa"/>
            <w:vAlign w:val="bottom"/>
            <w:tcBorders>
              <w:right w:val="single" w:sz="8" w:color="CCEEFF"/>
            </w:tcBorders>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5580" w:type="dxa"/>
            <w:vAlign w:val="bottom"/>
            <w:gridSpan w:val="3"/>
            <w:vMerge w:val="restart"/>
          </w:tcPr>
          <w:p>
            <w:pPr>
              <w:spacing w:after="0"/>
              <w:rPr>
                <w:sz w:val="20"/>
                <w:szCs w:val="20"/>
                <w:color w:val="auto"/>
              </w:rPr>
            </w:pPr>
            <w:r>
              <w:rPr>
                <w:rFonts w:ascii="Arial" w:cs="Arial" w:eastAsia="Arial" w:hAnsi="Arial"/>
                <w:sz w:val="18"/>
                <w:szCs w:val="18"/>
                <w:color w:val="auto"/>
              </w:rPr>
              <w:t>Consolidated</w:t>
            </w:r>
          </w:p>
        </w:tc>
        <w:tc>
          <w:tcPr>
            <w:tcW w:w="96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160" w:type="dxa"/>
            <w:vAlign w:val="bottom"/>
            <w:gridSpan w:val="2"/>
          </w:tcPr>
          <w:p>
            <w:pPr>
              <w:spacing w:after="0" w:line="20" w:lineRule="exact"/>
              <w:rPr>
                <w:sz w:val="1"/>
                <w:szCs w:val="1"/>
                <w:color w:val="auto"/>
              </w:rPr>
            </w:pPr>
          </w:p>
        </w:tc>
        <w:tc>
          <w:tcPr>
            <w:tcW w:w="340" w:type="dxa"/>
            <w:vAlign w:val="bottom"/>
            <w:tcBorders>
              <w:right w:val="single" w:sz="8" w:color="auto"/>
            </w:tcBorders>
          </w:tcPr>
          <w:p>
            <w:pPr>
              <w:spacing w:after="0" w:line="20" w:lineRule="exact"/>
              <w:rPr>
                <w:sz w:val="1"/>
                <w:szCs w:val="1"/>
                <w:color w:val="auto"/>
              </w:rPr>
            </w:pPr>
          </w:p>
        </w:tc>
        <w:tc>
          <w:tcPr>
            <w:tcW w:w="540" w:type="dxa"/>
            <w:vAlign w:val="bottom"/>
            <w:tcBorders>
              <w:left w:val="single" w:sz="8" w:color="auto"/>
              <w:right w:val="single" w:sz="8" w:color="auto"/>
            </w:tcBorders>
            <w:gridSpan w:val="2"/>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1"/>
        </w:trPr>
        <w:tc>
          <w:tcPr>
            <w:tcW w:w="5580" w:type="dxa"/>
            <w:vAlign w:val="bottom"/>
            <w:gridSpan w:val="3"/>
            <w:vMerge w:val="continue"/>
          </w:tcPr>
          <w:p>
            <w:pPr>
              <w:spacing w:after="0"/>
              <w:rPr>
                <w:sz w:val="19"/>
                <w:szCs w:val="19"/>
                <w:color w:val="auto"/>
              </w:rPr>
            </w:pPr>
          </w:p>
        </w:tc>
        <w:tc>
          <w:tcPr>
            <w:tcW w:w="1040" w:type="dxa"/>
            <w:vAlign w:val="bottom"/>
            <w:gridSpan w:val="2"/>
          </w:tcPr>
          <w:p>
            <w:pPr>
              <w:jc w:val="right"/>
              <w:spacing w:after="0"/>
              <w:rPr>
                <w:sz w:val="20"/>
                <w:szCs w:val="20"/>
                <w:color w:val="auto"/>
              </w:rPr>
            </w:pPr>
            <w:r>
              <w:rPr>
                <w:rFonts w:ascii="Arial" w:cs="Arial" w:eastAsia="Arial" w:hAnsi="Arial"/>
                <w:sz w:val="18"/>
                <w:szCs w:val="18"/>
                <w:u w:val="single" w:color="auto"/>
                <w:color w:val="auto"/>
              </w:rPr>
              <w:t>$</w:t>
            </w:r>
          </w:p>
        </w:tc>
        <w:tc>
          <w:tcPr>
            <w:tcW w:w="660" w:type="dxa"/>
            <w:vAlign w:val="bottom"/>
            <w:gridSpan w:val="2"/>
          </w:tcPr>
          <w:p>
            <w:pPr>
              <w:jc w:val="right"/>
              <w:ind w:right="160"/>
              <w:spacing w:after="0"/>
              <w:rPr>
                <w:sz w:val="20"/>
                <w:szCs w:val="20"/>
                <w:color w:val="auto"/>
              </w:rPr>
            </w:pPr>
            <w:r>
              <w:rPr>
                <w:rFonts w:ascii="Arial" w:cs="Arial" w:eastAsia="Arial" w:hAnsi="Arial"/>
                <w:sz w:val="18"/>
                <w:szCs w:val="18"/>
                <w:color w:val="auto"/>
                <w:w w:val="87"/>
              </w:rPr>
              <w:t>29,368</w:t>
            </w:r>
          </w:p>
        </w:tc>
        <w:tc>
          <w:tcPr>
            <w:tcW w:w="200" w:type="dxa"/>
            <w:vAlign w:val="bottom"/>
            <w:gridSpan w:val="2"/>
          </w:tcPr>
          <w:p>
            <w:pPr>
              <w:jc w:val="right"/>
              <w:ind w:right="20"/>
              <w:spacing w:after="0"/>
              <w:rPr>
                <w:sz w:val="20"/>
                <w:szCs w:val="20"/>
                <w:color w:val="auto"/>
              </w:rPr>
            </w:pPr>
            <w:r>
              <w:rPr>
                <w:rFonts w:ascii="Arial" w:cs="Arial" w:eastAsia="Arial" w:hAnsi="Arial"/>
                <w:sz w:val="18"/>
                <w:szCs w:val="18"/>
                <w:u w:val="single" w:color="auto"/>
                <w:color w:val="auto"/>
              </w:rPr>
              <w:t>$</w:t>
            </w:r>
          </w:p>
        </w:tc>
        <w:tc>
          <w:tcPr>
            <w:tcW w:w="480" w:type="dxa"/>
            <w:vAlign w:val="bottom"/>
          </w:tcPr>
          <w:p>
            <w:pPr>
              <w:jc w:val="right"/>
              <w:spacing w:after="0"/>
              <w:rPr>
                <w:sz w:val="20"/>
                <w:szCs w:val="20"/>
                <w:color w:val="auto"/>
              </w:rPr>
            </w:pPr>
            <w:r>
              <w:rPr>
                <w:rFonts w:ascii="Arial" w:cs="Arial" w:eastAsia="Arial" w:hAnsi="Arial"/>
                <w:sz w:val="18"/>
                <w:szCs w:val="18"/>
                <w:color w:val="auto"/>
                <w:w w:val="83"/>
              </w:rPr>
              <w:t>26,182</w:t>
            </w:r>
          </w:p>
        </w:tc>
        <w:tc>
          <w:tcPr>
            <w:tcW w:w="700" w:type="dxa"/>
            <w:vAlign w:val="bottom"/>
            <w:gridSpan w:val="2"/>
          </w:tcPr>
          <w:p>
            <w:pPr>
              <w:jc w:val="right"/>
              <w:spacing w:after="0"/>
              <w:rPr>
                <w:sz w:val="20"/>
                <w:szCs w:val="20"/>
                <w:color w:val="auto"/>
              </w:rPr>
            </w:pPr>
            <w:r>
              <w:rPr>
                <w:rFonts w:ascii="Arial" w:cs="Arial" w:eastAsia="Arial" w:hAnsi="Arial"/>
                <w:sz w:val="18"/>
                <w:szCs w:val="18"/>
                <w:u w:val="single" w:color="auto"/>
                <w:color w:val="auto"/>
              </w:rPr>
              <w:t>$</w:t>
            </w:r>
            <w:r>
              <w:rPr>
                <w:rFonts w:ascii="Arial" w:cs="Arial" w:eastAsia="Arial" w:hAnsi="Arial"/>
                <w:sz w:val="18"/>
                <w:szCs w:val="18"/>
                <w:color w:val="auto"/>
              </w:rPr>
              <w:t>3,773</w:t>
            </w:r>
          </w:p>
        </w:tc>
        <w:tc>
          <w:tcPr>
            <w:tcW w:w="280" w:type="dxa"/>
            <w:vAlign w:val="bottom"/>
          </w:tcPr>
          <w:p>
            <w:pPr>
              <w:spacing w:after="0"/>
              <w:rPr>
                <w:sz w:val="19"/>
                <w:szCs w:val="19"/>
                <w:color w:val="auto"/>
              </w:rPr>
            </w:pPr>
          </w:p>
        </w:tc>
        <w:tc>
          <w:tcPr>
            <w:tcW w:w="500" w:type="dxa"/>
            <w:vAlign w:val="bottom"/>
          </w:tcPr>
          <w:p>
            <w:pPr>
              <w:jc w:val="right"/>
              <w:spacing w:after="0"/>
              <w:rPr>
                <w:sz w:val="20"/>
                <w:szCs w:val="20"/>
                <w:color w:val="auto"/>
              </w:rPr>
            </w:pPr>
            <w:r>
              <w:rPr>
                <w:rFonts w:ascii="Arial" w:cs="Arial" w:eastAsia="Arial" w:hAnsi="Arial"/>
                <w:sz w:val="18"/>
                <w:szCs w:val="18"/>
                <w:u w:val="single" w:color="auto"/>
                <w:color w:val="auto"/>
                <w:w w:val="87"/>
              </w:rPr>
              <w:t>$</w:t>
            </w:r>
            <w:r>
              <w:rPr>
                <w:rFonts w:ascii="Arial" w:cs="Arial" w:eastAsia="Arial" w:hAnsi="Arial"/>
                <w:sz w:val="18"/>
                <w:szCs w:val="18"/>
                <w:color w:val="auto"/>
                <w:w w:val="87"/>
              </w:rPr>
              <w:t>3,369</w:t>
            </w:r>
          </w:p>
        </w:tc>
        <w:tc>
          <w:tcPr>
            <w:tcW w:w="260" w:type="dxa"/>
            <w:vAlign w:val="bottom"/>
          </w:tcPr>
          <w:p>
            <w:pPr>
              <w:spacing w:after="0"/>
              <w:rPr>
                <w:sz w:val="19"/>
                <w:szCs w:val="19"/>
                <w:color w:val="auto"/>
              </w:rPr>
            </w:pPr>
          </w:p>
        </w:tc>
        <w:tc>
          <w:tcPr>
            <w:tcW w:w="700" w:type="dxa"/>
            <w:vAlign w:val="bottom"/>
            <w:gridSpan w:val="3"/>
          </w:tcPr>
          <w:p>
            <w:pPr>
              <w:jc w:val="right"/>
              <w:spacing w:after="0"/>
              <w:rPr>
                <w:sz w:val="20"/>
                <w:szCs w:val="20"/>
                <w:color w:val="auto"/>
              </w:rPr>
            </w:pPr>
            <w:r>
              <w:rPr>
                <w:rFonts w:ascii="Arial" w:cs="Arial" w:eastAsia="Arial" w:hAnsi="Arial"/>
                <w:sz w:val="18"/>
                <w:szCs w:val="18"/>
                <w:color w:val="auto"/>
              </w:rPr>
              <w:t>12.8%</w:t>
            </w:r>
          </w:p>
        </w:tc>
        <w:tc>
          <w:tcPr>
            <w:tcW w:w="340" w:type="dxa"/>
            <w:vAlign w:val="bottom"/>
          </w:tcPr>
          <w:p>
            <w:pPr>
              <w:spacing w:after="0"/>
              <w:rPr>
                <w:sz w:val="19"/>
                <w:szCs w:val="19"/>
                <w:color w:val="auto"/>
              </w:rPr>
            </w:pPr>
          </w:p>
        </w:tc>
        <w:tc>
          <w:tcPr>
            <w:tcW w:w="680" w:type="dxa"/>
            <w:vAlign w:val="bottom"/>
            <w:gridSpan w:val="3"/>
          </w:tcPr>
          <w:p>
            <w:pPr>
              <w:jc w:val="right"/>
              <w:spacing w:after="0"/>
              <w:rPr>
                <w:sz w:val="20"/>
                <w:szCs w:val="20"/>
                <w:color w:val="auto"/>
              </w:rPr>
            </w:pPr>
            <w:r>
              <w:rPr>
                <w:rFonts w:ascii="Arial" w:cs="Arial" w:eastAsia="Arial" w:hAnsi="Arial"/>
                <w:sz w:val="18"/>
                <w:szCs w:val="18"/>
                <w:color w:val="auto"/>
              </w:rPr>
              <w:t>12.9%</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340" w:type="dxa"/>
            <w:vAlign w:val="bottom"/>
          </w:tcPr>
          <w:p>
            <w:pPr>
              <w:spacing w:after="0" w:line="20" w:lineRule="exact"/>
              <w:rPr>
                <w:sz w:val="1"/>
                <w:szCs w:val="1"/>
                <w:color w:val="auto"/>
              </w:rPr>
            </w:pPr>
          </w:p>
        </w:tc>
        <w:tc>
          <w:tcPr>
            <w:tcW w:w="4220" w:type="dxa"/>
            <w:vAlign w:val="bottom"/>
          </w:tcPr>
          <w:p>
            <w:pPr>
              <w:spacing w:after="0" w:line="20" w:lineRule="exact"/>
              <w:rPr>
                <w:sz w:val="1"/>
                <w:szCs w:val="1"/>
                <w:color w:val="auto"/>
              </w:rPr>
            </w:pPr>
          </w:p>
        </w:tc>
        <w:tc>
          <w:tcPr>
            <w:tcW w:w="960" w:type="dxa"/>
            <w:vAlign w:val="bottom"/>
            <w:vMerge w:val="restart"/>
          </w:tcPr>
          <w:p>
            <w:pPr>
              <w:jc w:val="right"/>
              <w:ind w:right="652"/>
              <w:spacing w:after="0"/>
              <w:rPr>
                <w:sz w:val="20"/>
                <w:szCs w:val="20"/>
                <w:color w:val="auto"/>
              </w:rPr>
            </w:pPr>
            <w:r>
              <w:rPr>
                <w:rFonts w:ascii="Arial" w:cs="Arial" w:eastAsia="Arial" w:hAnsi="Arial"/>
                <w:sz w:val="18"/>
                <w:szCs w:val="18"/>
                <w:color w:val="auto"/>
                <w:w w:val="99"/>
              </w:rPr>
              <w:t>28</w:t>
            </w:r>
          </w:p>
        </w:tc>
        <w:tc>
          <w:tcPr>
            <w:tcW w:w="8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59"/>
        </w:trPr>
        <w:tc>
          <w:tcPr>
            <w:tcW w:w="2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4220" w:type="dxa"/>
            <w:vAlign w:val="bottom"/>
          </w:tcPr>
          <w:p>
            <w:pPr>
              <w:spacing w:after="0"/>
              <w:rPr>
                <w:sz w:val="24"/>
                <w:szCs w:val="24"/>
                <w:color w:val="auto"/>
              </w:rPr>
            </w:pPr>
          </w:p>
        </w:tc>
        <w:tc>
          <w:tcPr>
            <w:tcW w:w="960" w:type="dxa"/>
            <w:vAlign w:val="bottom"/>
            <w:vMerge w:val="continue"/>
          </w:tcPr>
          <w:p>
            <w:pPr>
              <w:spacing w:after="0"/>
              <w:rPr>
                <w:sz w:val="24"/>
                <w:szCs w:val="24"/>
                <w:color w:val="auto"/>
              </w:rPr>
            </w:pPr>
          </w:p>
        </w:tc>
        <w:tc>
          <w:tcPr>
            <w:tcW w:w="8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459" w:right="239" w:bottom="1440" w:gutter="0" w:footer="0" w:header="0"/>
        </w:sectPr>
      </w:pPr>
    </w:p>
    <w:bookmarkStart w:id="28" w:name="page29"/>
    <w:bookmarkEnd w:id="2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60" w:firstLine="456"/>
        <w:spacing w:after="0" w:line="268" w:lineRule="auto"/>
        <w:rPr>
          <w:sz w:val="20"/>
          <w:szCs w:val="20"/>
          <w:color w:val="auto"/>
        </w:rPr>
      </w:pPr>
      <w:r>
        <w:rPr>
          <w:rFonts w:ascii="Arial" w:cs="Arial" w:eastAsia="Arial" w:hAnsi="Arial"/>
          <w:sz w:val="18"/>
          <w:szCs w:val="18"/>
          <w:color w:val="auto"/>
        </w:rPr>
        <w:t>For the first six months of 2008 and 2007, restructuring and related charges/(credits) included in consolidated operating profit totaled $128 million and $60 million, respectively, as follows:</w:t>
      </w:r>
    </w:p>
    <w:p>
      <w:pPr>
        <w:spacing w:after="0" w:line="156"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87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60" w:type="dxa"/>
            <w:vAlign w:val="bottom"/>
            <w:gridSpan w:val="6"/>
          </w:tcPr>
          <w:p>
            <w:pPr>
              <w:jc w:val="right"/>
              <w:ind w:right="180"/>
              <w:spacing w:after="0"/>
              <w:rPr>
                <w:sz w:val="20"/>
                <w:szCs w:val="20"/>
                <w:color w:val="auto"/>
              </w:rPr>
            </w:pPr>
            <w:r>
              <w:rPr>
                <w:rFonts w:ascii="Arial" w:cs="Arial" w:eastAsia="Arial" w:hAnsi="Arial"/>
                <w:sz w:val="14"/>
                <w:szCs w:val="14"/>
                <w:b w:val="1"/>
                <w:bCs w:val="1"/>
                <w:color w:val="auto"/>
                <w:w w:val="87"/>
              </w:rPr>
              <w:t>Six Months Ended</w:t>
            </w:r>
          </w:p>
        </w:tc>
        <w:tc>
          <w:tcPr>
            <w:tcW w:w="0" w:type="dxa"/>
            <w:vAlign w:val="bottom"/>
          </w:tcPr>
          <w:p>
            <w:pPr>
              <w:spacing w:after="0"/>
              <w:rPr>
                <w:sz w:val="1"/>
                <w:szCs w:val="1"/>
                <w:color w:val="auto"/>
              </w:rPr>
            </w:pPr>
          </w:p>
        </w:tc>
      </w:tr>
      <w:tr>
        <w:trPr>
          <w:trHeight w:val="161"/>
        </w:trPr>
        <w:tc>
          <w:tcPr>
            <w:tcW w:w="10060" w:type="dxa"/>
            <w:vAlign w:val="bottom"/>
            <w:gridSpan w:val="3"/>
            <w:vMerge w:val="restart"/>
          </w:tcPr>
          <w:p>
            <w:pPr>
              <w:spacing w:after="0"/>
              <w:rPr>
                <w:sz w:val="20"/>
                <w:szCs w:val="20"/>
                <w:color w:val="auto"/>
              </w:rPr>
            </w:pPr>
            <w:r>
              <w:rPr>
                <w:rFonts w:ascii="Arial" w:cs="Arial" w:eastAsia="Arial" w:hAnsi="Arial"/>
                <w:sz w:val="14"/>
                <w:szCs w:val="14"/>
                <w:b w:val="1"/>
                <w:bCs w:val="1"/>
                <w:color w:val="auto"/>
              </w:rPr>
              <w:t>(in millions of dollars)</w:t>
            </w:r>
          </w:p>
        </w:tc>
        <w:tc>
          <w:tcPr>
            <w:tcW w:w="100" w:type="dxa"/>
            <w:vAlign w:val="bottom"/>
            <w:tcBorders>
              <w:bottom w:val="single" w:sz="8" w:color="auto"/>
            </w:tcBorders>
          </w:tcPr>
          <w:p>
            <w:pPr>
              <w:spacing w:after="0"/>
              <w:rPr>
                <w:sz w:val="14"/>
                <w:szCs w:val="14"/>
                <w:color w:val="auto"/>
              </w:rPr>
            </w:pPr>
          </w:p>
        </w:tc>
        <w:tc>
          <w:tcPr>
            <w:tcW w:w="940" w:type="dxa"/>
            <w:vAlign w:val="bottom"/>
            <w:tcBorders>
              <w:bottom w:val="single" w:sz="8" w:color="auto"/>
            </w:tcBorders>
            <w:gridSpan w:val="4"/>
          </w:tcPr>
          <w:p>
            <w:pPr>
              <w:jc w:val="right"/>
              <w:ind w:right="83"/>
              <w:spacing w:after="0"/>
              <w:rPr>
                <w:sz w:val="20"/>
                <w:szCs w:val="20"/>
                <w:color w:val="auto"/>
              </w:rPr>
            </w:pPr>
            <w:r>
              <w:rPr>
                <w:rFonts w:ascii="Arial" w:cs="Arial" w:eastAsia="Arial" w:hAnsi="Arial"/>
                <w:sz w:val="14"/>
                <w:szCs w:val="14"/>
                <w:b w:val="1"/>
                <w:bCs w:val="1"/>
                <w:color w:val="auto"/>
              </w:rPr>
              <w:t>June 30,</w:t>
            </w:r>
          </w:p>
        </w:tc>
        <w:tc>
          <w:tcPr>
            <w:tcW w:w="260" w:type="dxa"/>
            <w:vAlign w:val="bottom"/>
            <w:tcBorders>
              <w:bottom w:val="single" w:sz="8" w:color="auto"/>
            </w:tcBorders>
          </w:tcPr>
          <w:p>
            <w:pPr>
              <w:spacing w:after="0"/>
              <w:rPr>
                <w:sz w:val="14"/>
                <w:szCs w:val="14"/>
                <w:color w:val="auto"/>
              </w:rPr>
            </w:pP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10060" w:type="dxa"/>
            <w:vAlign w:val="bottom"/>
            <w:gridSpan w:val="3"/>
            <w:vMerge w:val="continue"/>
          </w:tcPr>
          <w:p>
            <w:pPr>
              <w:spacing w:after="0"/>
              <w:rPr>
                <w:sz w:val="12"/>
                <w:szCs w:val="12"/>
                <w:color w:val="auto"/>
              </w:rPr>
            </w:pPr>
          </w:p>
        </w:tc>
        <w:tc>
          <w:tcPr>
            <w:tcW w:w="100" w:type="dxa"/>
            <w:vAlign w:val="bottom"/>
          </w:tcPr>
          <w:p>
            <w:pPr>
              <w:spacing w:after="0"/>
              <w:rPr>
                <w:sz w:val="12"/>
                <w:szCs w:val="12"/>
                <w:color w:val="auto"/>
              </w:rPr>
            </w:pPr>
          </w:p>
        </w:tc>
        <w:tc>
          <w:tcPr>
            <w:tcW w:w="440" w:type="dxa"/>
            <w:vAlign w:val="bottom"/>
          </w:tcPr>
          <w:p>
            <w:pPr>
              <w:jc w:val="right"/>
              <w:ind w:right="58"/>
              <w:spacing w:after="0" w:line="142" w:lineRule="exact"/>
              <w:rPr>
                <w:sz w:val="20"/>
                <w:szCs w:val="20"/>
                <w:color w:val="auto"/>
              </w:rPr>
            </w:pPr>
            <w:r>
              <w:rPr>
                <w:rFonts w:ascii="Arial" w:cs="Arial" w:eastAsia="Arial" w:hAnsi="Arial"/>
                <w:sz w:val="14"/>
                <w:szCs w:val="14"/>
                <w:b w:val="1"/>
                <w:bCs w:val="1"/>
                <w:color w:val="auto"/>
                <w:w w:val="89"/>
              </w:rPr>
              <w:t>2008</w:t>
            </w:r>
          </w:p>
        </w:tc>
        <w:tc>
          <w:tcPr>
            <w:tcW w:w="160" w:type="dxa"/>
            <w:vAlign w:val="bottom"/>
          </w:tcPr>
          <w:p>
            <w:pPr>
              <w:spacing w:after="0"/>
              <w:rPr>
                <w:sz w:val="12"/>
                <w:szCs w:val="12"/>
                <w:color w:val="auto"/>
              </w:rPr>
            </w:pPr>
          </w:p>
        </w:tc>
        <w:tc>
          <w:tcPr>
            <w:tcW w:w="600" w:type="dxa"/>
            <w:vAlign w:val="bottom"/>
            <w:gridSpan w:val="3"/>
          </w:tcPr>
          <w:p>
            <w:pPr>
              <w:jc w:val="right"/>
              <w:spacing w:after="0" w:line="142" w:lineRule="exact"/>
              <w:rPr>
                <w:sz w:val="20"/>
                <w:szCs w:val="20"/>
                <w:color w:val="auto"/>
              </w:rPr>
            </w:pPr>
            <w:r>
              <w:rPr>
                <w:rFonts w:ascii="Arial" w:cs="Arial" w:eastAsia="Arial" w:hAnsi="Arial"/>
                <w:sz w:val="14"/>
                <w:szCs w:val="14"/>
                <w:b w:val="1"/>
                <w:bCs w:val="1"/>
                <w:color w:val="auto"/>
              </w:rPr>
              <w:t>2007</w:t>
            </w: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134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Otis</w:t>
            </w:r>
          </w:p>
        </w:tc>
        <w:tc>
          <w:tcPr>
            <w:tcW w:w="8700" w:type="dxa"/>
            <w:vAlign w:val="bottom"/>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4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w:t>
            </w:r>
          </w:p>
        </w:tc>
        <w:tc>
          <w:tcPr>
            <w:tcW w:w="1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jc w:val="right"/>
              <w:ind w:right="23"/>
              <w:spacing w:after="0"/>
              <w:rPr>
                <w:sz w:val="20"/>
                <w:szCs w:val="20"/>
                <w:color w:val="auto"/>
              </w:rPr>
            </w:pPr>
            <w:r>
              <w:rPr>
                <w:rFonts w:ascii="Arial" w:cs="Arial" w:eastAsia="Arial" w:hAnsi="Arial"/>
                <w:sz w:val="15"/>
                <w:szCs w:val="15"/>
                <w:color w:val="auto"/>
                <w:w w:val="71"/>
              </w:rPr>
              <w:t>$</w:t>
            </w:r>
          </w:p>
        </w:tc>
        <w:tc>
          <w:tcPr>
            <w:tcW w:w="2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0040" w:type="dxa"/>
            <w:vAlign w:val="bottom"/>
            <w:gridSpan w:val="2"/>
          </w:tcPr>
          <w:p>
            <w:pPr>
              <w:spacing w:after="0"/>
              <w:rPr>
                <w:sz w:val="20"/>
                <w:szCs w:val="20"/>
                <w:color w:val="auto"/>
              </w:rPr>
            </w:pPr>
            <w:r>
              <w:rPr>
                <w:rFonts w:ascii="Arial" w:cs="Arial" w:eastAsia="Arial" w:hAnsi="Arial"/>
                <w:sz w:val="18"/>
                <w:szCs w:val="18"/>
                <w:color w:val="auto"/>
              </w:rPr>
              <w:t>Carrier</w:t>
            </w:r>
          </w:p>
        </w:tc>
        <w:tc>
          <w:tcPr>
            <w:tcW w:w="100" w:type="dxa"/>
            <w:vAlign w:val="bottom"/>
          </w:tcPr>
          <w:p>
            <w:pPr>
              <w:spacing w:after="0"/>
              <w:rPr>
                <w:sz w:val="18"/>
                <w:szCs w:val="18"/>
                <w:color w:val="auto"/>
              </w:rPr>
            </w:pPr>
          </w:p>
        </w:tc>
        <w:tc>
          <w:tcPr>
            <w:tcW w:w="600" w:type="dxa"/>
            <w:vAlign w:val="bottom"/>
            <w:gridSpan w:val="2"/>
          </w:tcPr>
          <w:p>
            <w:pPr>
              <w:jc w:val="right"/>
              <w:ind w:right="160"/>
              <w:spacing w:after="0"/>
              <w:rPr>
                <w:sz w:val="20"/>
                <w:szCs w:val="20"/>
                <w:color w:val="auto"/>
              </w:rPr>
            </w:pPr>
            <w:r>
              <w:rPr>
                <w:rFonts w:ascii="Arial" w:cs="Arial" w:eastAsia="Arial" w:hAnsi="Arial"/>
                <w:sz w:val="18"/>
                <w:szCs w:val="18"/>
                <w:color w:val="auto"/>
              </w:rPr>
              <w:t>57</w:t>
            </w:r>
          </w:p>
        </w:tc>
        <w:tc>
          <w:tcPr>
            <w:tcW w:w="1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60" w:type="dxa"/>
            <w:vAlign w:val="bottom"/>
          </w:tcPr>
          <w:p>
            <w:pPr>
              <w:jc w:val="right"/>
              <w:spacing w:after="0"/>
              <w:rPr>
                <w:sz w:val="20"/>
                <w:szCs w:val="20"/>
                <w:color w:val="auto"/>
              </w:rPr>
            </w:pPr>
            <w:r>
              <w:rPr>
                <w:rFonts w:ascii="Arial" w:cs="Arial" w:eastAsia="Arial" w:hAnsi="Arial"/>
                <w:sz w:val="18"/>
                <w:szCs w:val="18"/>
                <w:color w:val="auto"/>
              </w:rPr>
              <w:t>13</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00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UTC Fire &amp; Security</w:t>
            </w:r>
          </w:p>
        </w:tc>
        <w:tc>
          <w:tcPr>
            <w:tcW w:w="100" w:type="dxa"/>
            <w:vAlign w:val="bottom"/>
            <w:shd w:val="clear" w:color="auto" w:fill="CCEEFF"/>
          </w:tcPr>
          <w:p>
            <w:pPr>
              <w:spacing w:after="0"/>
              <w:rPr>
                <w:sz w:val="18"/>
                <w:szCs w:val="18"/>
                <w:color w:val="auto"/>
              </w:rPr>
            </w:pPr>
          </w:p>
        </w:tc>
        <w:tc>
          <w:tcPr>
            <w:tcW w:w="6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33</w:t>
            </w:r>
          </w:p>
        </w:tc>
        <w:tc>
          <w:tcPr>
            <w:tcW w:w="1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0040" w:type="dxa"/>
            <w:vAlign w:val="bottom"/>
            <w:gridSpan w:val="2"/>
          </w:tcPr>
          <w:p>
            <w:pPr>
              <w:spacing w:after="0"/>
              <w:rPr>
                <w:sz w:val="20"/>
                <w:szCs w:val="20"/>
                <w:color w:val="auto"/>
              </w:rPr>
            </w:pPr>
            <w:r>
              <w:rPr>
                <w:rFonts w:ascii="Arial" w:cs="Arial" w:eastAsia="Arial" w:hAnsi="Arial"/>
                <w:sz w:val="18"/>
                <w:szCs w:val="18"/>
                <w:color w:val="auto"/>
              </w:rPr>
              <w:t>Pratt &amp; Whitney</w:t>
            </w:r>
          </w:p>
        </w:tc>
        <w:tc>
          <w:tcPr>
            <w:tcW w:w="100" w:type="dxa"/>
            <w:vAlign w:val="bottom"/>
          </w:tcPr>
          <w:p>
            <w:pPr>
              <w:spacing w:after="0"/>
              <w:rPr>
                <w:sz w:val="18"/>
                <w:szCs w:val="18"/>
                <w:color w:val="auto"/>
              </w:rPr>
            </w:pPr>
          </w:p>
        </w:tc>
        <w:tc>
          <w:tcPr>
            <w:tcW w:w="600" w:type="dxa"/>
            <w:vAlign w:val="bottom"/>
            <w:gridSpan w:val="2"/>
          </w:tcPr>
          <w:p>
            <w:pPr>
              <w:jc w:val="right"/>
              <w:ind w:right="160"/>
              <w:spacing w:after="0"/>
              <w:rPr>
                <w:sz w:val="20"/>
                <w:szCs w:val="20"/>
                <w:color w:val="auto"/>
              </w:rPr>
            </w:pPr>
            <w:r>
              <w:rPr>
                <w:rFonts w:ascii="Arial" w:cs="Arial" w:eastAsia="Arial" w:hAnsi="Arial"/>
                <w:sz w:val="18"/>
                <w:szCs w:val="18"/>
                <w:color w:val="auto"/>
              </w:rPr>
              <w:t>31</w:t>
            </w:r>
          </w:p>
        </w:tc>
        <w:tc>
          <w:tcPr>
            <w:tcW w:w="1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60" w:type="dxa"/>
            <w:vAlign w:val="bottom"/>
          </w:tcPr>
          <w:p>
            <w:pPr>
              <w:jc w:val="right"/>
              <w:spacing w:after="0"/>
              <w:rPr>
                <w:sz w:val="20"/>
                <w:szCs w:val="20"/>
                <w:color w:val="auto"/>
              </w:rPr>
            </w:pPr>
            <w:r>
              <w:rPr>
                <w:rFonts w:ascii="Arial" w:cs="Arial" w:eastAsia="Arial" w:hAnsi="Arial"/>
                <w:sz w:val="18"/>
                <w:szCs w:val="18"/>
                <w:color w:val="auto"/>
              </w:rPr>
              <w:t>27</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00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Hamilton Sundstrand</w:t>
            </w:r>
          </w:p>
        </w:tc>
        <w:tc>
          <w:tcPr>
            <w:tcW w:w="100" w:type="dxa"/>
            <w:vAlign w:val="bottom"/>
            <w:shd w:val="clear" w:color="auto" w:fill="CCEEFF"/>
          </w:tcPr>
          <w:p>
            <w:pPr>
              <w:spacing w:after="0"/>
              <w:rPr>
                <w:sz w:val="18"/>
                <w:szCs w:val="18"/>
                <w:color w:val="auto"/>
              </w:rPr>
            </w:pPr>
          </w:p>
        </w:tc>
        <w:tc>
          <w:tcPr>
            <w:tcW w:w="6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1</w:t>
            </w:r>
          </w:p>
        </w:tc>
        <w:tc>
          <w:tcPr>
            <w:tcW w:w="1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10040" w:type="dxa"/>
            <w:vAlign w:val="bottom"/>
            <w:gridSpan w:val="2"/>
          </w:tcPr>
          <w:p>
            <w:pPr>
              <w:spacing w:after="0"/>
              <w:rPr>
                <w:sz w:val="20"/>
                <w:szCs w:val="20"/>
                <w:color w:val="auto"/>
              </w:rPr>
            </w:pPr>
            <w:r>
              <w:rPr>
                <w:rFonts w:ascii="Arial" w:cs="Arial" w:eastAsia="Arial" w:hAnsi="Arial"/>
                <w:sz w:val="18"/>
                <w:szCs w:val="18"/>
                <w:color w:val="auto"/>
              </w:rPr>
              <w:t>Sikorsky</w:t>
            </w:r>
          </w:p>
        </w:tc>
        <w:tc>
          <w:tcPr>
            <w:tcW w:w="100" w:type="dxa"/>
            <w:vAlign w:val="bottom"/>
          </w:tcPr>
          <w:p>
            <w:pPr>
              <w:spacing w:after="0"/>
              <w:rPr>
                <w:sz w:val="19"/>
                <w:szCs w:val="19"/>
                <w:color w:val="auto"/>
              </w:rPr>
            </w:pPr>
          </w:p>
        </w:tc>
        <w:tc>
          <w:tcPr>
            <w:tcW w:w="440" w:type="dxa"/>
            <w:vAlign w:val="bottom"/>
          </w:tcPr>
          <w:p>
            <w:pPr>
              <w:jc w:val="right"/>
              <w:ind w:right="18"/>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320" w:type="dxa"/>
            <w:vAlign w:val="bottom"/>
            <w:gridSpan w:val="2"/>
          </w:tcPr>
          <w:p>
            <w:pPr>
              <w:jc w:val="right"/>
              <w:spacing w:after="0"/>
              <w:rPr>
                <w:sz w:val="20"/>
                <w:szCs w:val="20"/>
                <w:color w:val="auto"/>
              </w:rPr>
            </w:pPr>
            <w:r>
              <w:rPr>
                <w:rFonts w:ascii="Arial" w:cs="Arial" w:eastAsia="Arial" w:hAnsi="Arial"/>
                <w:sz w:val="18"/>
                <w:szCs w:val="18"/>
                <w:color w:val="auto"/>
              </w:rPr>
              <w:t>(3)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00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Totals</w:t>
            </w: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4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128</w:t>
            </w:r>
          </w:p>
        </w:tc>
        <w:tc>
          <w:tcPr>
            <w:tcW w:w="1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80" w:type="dxa"/>
            <w:vAlign w:val="bottom"/>
            <w:tcBorders>
              <w:top w:val="single" w:sz="8" w:color="auto"/>
              <w:bottom w:val="single" w:sz="8" w:color="auto"/>
            </w:tcBorders>
            <w:shd w:val="clear" w:color="auto" w:fill="CCEEFF"/>
          </w:tcPr>
          <w:p>
            <w:pPr>
              <w:jc w:val="right"/>
              <w:ind w:right="23"/>
              <w:spacing w:after="0"/>
              <w:rPr>
                <w:sz w:val="20"/>
                <w:szCs w:val="20"/>
                <w:color w:val="auto"/>
              </w:rPr>
            </w:pPr>
            <w:r>
              <w:rPr>
                <w:rFonts w:ascii="Arial" w:cs="Arial" w:eastAsia="Arial" w:hAnsi="Arial"/>
                <w:sz w:val="15"/>
                <w:szCs w:val="15"/>
                <w:color w:val="auto"/>
                <w:w w:val="71"/>
              </w:rPr>
              <w:t>$</w:t>
            </w:r>
          </w:p>
        </w:tc>
        <w:tc>
          <w:tcPr>
            <w:tcW w:w="2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60</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340" w:type="dxa"/>
            <w:vAlign w:val="bottom"/>
          </w:tcPr>
          <w:p>
            <w:pPr>
              <w:spacing w:after="0" w:line="20" w:lineRule="exact"/>
              <w:rPr>
                <w:sz w:val="1"/>
                <w:szCs w:val="1"/>
                <w:color w:val="auto"/>
              </w:rPr>
            </w:pPr>
          </w:p>
        </w:tc>
        <w:tc>
          <w:tcPr>
            <w:tcW w:w="87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61" w:lineRule="exact"/>
        <w:rPr>
          <w:sz w:val="20"/>
          <w:szCs w:val="20"/>
          <w:color w:val="auto"/>
        </w:rPr>
      </w:pPr>
    </w:p>
    <w:p>
      <w:pPr>
        <w:ind w:right="60"/>
        <w:spacing w:after="0" w:line="255" w:lineRule="auto"/>
        <w:rPr>
          <w:sz w:val="20"/>
          <w:szCs w:val="20"/>
          <w:color w:val="auto"/>
        </w:rPr>
      </w:pPr>
      <w:r>
        <w:rPr>
          <w:rFonts w:ascii="Arial" w:cs="Arial" w:eastAsia="Arial" w:hAnsi="Arial"/>
          <w:sz w:val="18"/>
          <w:szCs w:val="18"/>
          <w:b w:val="1"/>
          <w:bCs w:val="1"/>
          <w:color w:val="auto"/>
        </w:rPr>
        <w:t xml:space="preserve">Otis - </w:t>
      </w:r>
      <w:r>
        <w:rPr>
          <w:rFonts w:ascii="Arial" w:cs="Arial" w:eastAsia="Arial" w:hAnsi="Arial"/>
          <w:sz w:val="18"/>
          <w:szCs w:val="18"/>
          <w:color w:val="auto"/>
        </w:rPr>
        <w:t>Revenues increased $546 million (19%) in the second quarter of 2008 compared with the same period of 2007 reflecting organic growth (10%) and the</w:t>
      </w:r>
      <w:r>
        <w:rPr>
          <w:rFonts w:ascii="Arial" w:cs="Arial" w:eastAsia="Arial" w:hAnsi="Arial"/>
          <w:sz w:val="18"/>
          <w:szCs w:val="18"/>
          <w:b w:val="1"/>
          <w:bCs w:val="1"/>
          <w:color w:val="auto"/>
        </w:rPr>
        <w:t xml:space="preserve"> </w:t>
      </w:r>
      <w:r>
        <w:rPr>
          <w:rFonts w:ascii="Arial" w:cs="Arial" w:eastAsia="Arial" w:hAnsi="Arial"/>
          <w:sz w:val="18"/>
          <w:szCs w:val="18"/>
          <w:color w:val="auto"/>
        </w:rPr>
        <w:t>favorable impact of foreign currency translation (9%). For the first six months of 2008, revenues increased $875 million (16%) compared with the same period of 2007 reflecting organic growth (9%) and the favorable impact of foreign currency translation (9%), partially offset by the absence of the $84 million gain on the sale of land (2%) recorded in the first quarter of 2007. Revenue growth in both the second quarter and the first six months of 2008 reflects the strong new equipment backlog entering the year as well as higher modernization and repair sales in Europe, which benefited from changes to elevator safety laws in France and Spain.</w:t>
      </w:r>
    </w:p>
    <w:p>
      <w:pPr>
        <w:spacing w:after="0" w:line="145" w:lineRule="exact"/>
        <w:rPr>
          <w:sz w:val="20"/>
          <w:szCs w:val="20"/>
          <w:color w:val="auto"/>
        </w:rPr>
      </w:pPr>
    </w:p>
    <w:p>
      <w:pPr>
        <w:ind w:right="200" w:firstLine="456"/>
        <w:spacing w:after="0" w:line="291" w:lineRule="auto"/>
        <w:rPr>
          <w:sz w:val="20"/>
          <w:szCs w:val="20"/>
          <w:color w:val="auto"/>
        </w:rPr>
      </w:pPr>
      <w:r>
        <w:rPr>
          <w:rFonts w:ascii="Arial" w:cs="Arial" w:eastAsia="Arial" w:hAnsi="Arial"/>
          <w:sz w:val="16"/>
          <w:szCs w:val="16"/>
          <w:color w:val="auto"/>
        </w:rPr>
        <w:t>Operating profits increased $139 million (26%) in the second quarter of 2008 compared with the same period of 2007. The increase reflects higher volumes, product cost reductions, and other cost containment initiatives, partially offset by higher commodity and labor costs (net combined 14%), and the favorable impact of foreign currency translation (12%). In the first six months of 2008, operating profits increased $145 million (13%) compared with the same period of 2007. The increase reflects higher volumes, product cost reductions, and other cost containment initiatives, partially offset by higher commodity and labor costs (net combined 11%), and the favorable impact of foreign currency translation (10%). These improvements were further offset by the absence of the $84 million gain on the sale of land (8%) recorded in the first quarter of 2007.</w:t>
      </w:r>
    </w:p>
    <w:p>
      <w:pPr>
        <w:spacing w:after="0" w:line="114" w:lineRule="exact"/>
        <w:rPr>
          <w:sz w:val="20"/>
          <w:szCs w:val="20"/>
          <w:color w:val="auto"/>
        </w:rPr>
      </w:pPr>
    </w:p>
    <w:p>
      <w:pPr>
        <w:ind w:right="60"/>
        <w:spacing w:after="0" w:line="254" w:lineRule="auto"/>
        <w:rPr>
          <w:sz w:val="20"/>
          <w:szCs w:val="20"/>
          <w:color w:val="auto"/>
        </w:rPr>
      </w:pPr>
      <w:r>
        <w:rPr>
          <w:rFonts w:ascii="Arial" w:cs="Arial" w:eastAsia="Arial" w:hAnsi="Arial"/>
          <w:sz w:val="18"/>
          <w:szCs w:val="18"/>
          <w:b w:val="1"/>
          <w:bCs w:val="1"/>
          <w:color w:val="auto"/>
        </w:rPr>
        <w:t xml:space="preserve">Carrier </w:t>
      </w:r>
      <w:r>
        <w:rPr>
          <w:rFonts w:ascii="Arial" w:cs="Arial" w:eastAsia="Arial" w:hAnsi="Arial"/>
          <w:sz w:val="18"/>
          <w:szCs w:val="18"/>
          <w:color w:val="auto"/>
        </w:rPr>
        <w:t>- Revenues increased $301 million (7%) in the second quarter of 2008 compared with the same period of 2007. Revenue growth reflects the favorable</w:t>
      </w:r>
      <w:r>
        <w:rPr>
          <w:rFonts w:ascii="Arial" w:cs="Arial" w:eastAsia="Arial" w:hAnsi="Arial"/>
          <w:sz w:val="18"/>
          <w:szCs w:val="18"/>
          <w:b w:val="1"/>
          <w:bCs w:val="1"/>
          <w:color w:val="auto"/>
        </w:rPr>
        <w:t xml:space="preserve"> </w:t>
      </w:r>
      <w:r>
        <w:rPr>
          <w:rFonts w:ascii="Arial" w:cs="Arial" w:eastAsia="Arial" w:hAnsi="Arial"/>
          <w:sz w:val="18"/>
          <w:szCs w:val="18"/>
          <w:color w:val="auto"/>
        </w:rPr>
        <w:t>impact of foreign currency translation (5%) and the net impact of recent acquisitions (1%). Revenue growth at Building Systems and Services (1%) was offset by declines in Refrigeration (1%) while the other businesses combined were essentially flat, reflecting continued weakness in the U.S. housing and a general slowdown in retail-related markets. For the first six months of 2008, revenues increased $580 million (8%) compared with the same period in 2007. Revenue growth reflects the favorable impact of foreign currency translation (5%) and net impact of recent acquisitions (1%). Revenue growth at Building Systems and Services (1%) and Residential and Light Commercial Systems International (1%) was partially offset by a decline in the Residential and Light Commercial Systems North America business (1%) due to the continued weakness in the U.S. housing market while the Refrigeration business was essentially flat year over year.</w:t>
      </w:r>
    </w:p>
    <w:p>
      <w:pPr>
        <w:spacing w:after="0" w:line="144" w:lineRule="exact"/>
        <w:rPr>
          <w:sz w:val="20"/>
          <w:szCs w:val="20"/>
          <w:color w:val="auto"/>
        </w:rPr>
      </w:pPr>
    </w:p>
    <w:p>
      <w:pPr>
        <w:ind w:right="60" w:firstLine="456"/>
        <w:spacing w:after="0" w:line="289" w:lineRule="auto"/>
        <w:rPr>
          <w:sz w:val="20"/>
          <w:szCs w:val="20"/>
          <w:color w:val="auto"/>
        </w:rPr>
      </w:pPr>
      <w:r>
        <w:rPr>
          <w:rFonts w:ascii="Arial" w:cs="Arial" w:eastAsia="Arial" w:hAnsi="Arial"/>
          <w:sz w:val="16"/>
          <w:szCs w:val="16"/>
          <w:color w:val="auto"/>
        </w:rPr>
        <w:t>Operating profits decreased $2 million in the second quarter of 2008 compared with the same period of 2007. Benefits from product cost reductions and prior restructuring actions in the Commercial HVAC and North American Residential businesses were partially offset by an adverse customer mix in the Refrigeration and International Residential businesses contributing a net 9% to the second quarter of 2008 operating profit. This benefit as well as the favorable impact of foreign currency translation (6%) was completely offset by higher restructuring costs (9%) and higher commodity costs, net of pricing (6%). For the first six months of 2008, operating profits increased $33 million (5%) compared with the same period of 2007. Higher restructuring (6%) and commodity costs, net of pricing (4%), was partially offset by the favorable impact of foreign currency translation (7%) and the net benefit from recent acquisitions (1%). Growth in Building Systems and Services, product cost reductions and benefits from prior restructuring actions were partially offset by lower earnings in the Refrigeration business to contribute a net 7%.</w:t>
      </w:r>
    </w:p>
    <w:p>
      <w:pPr>
        <w:spacing w:after="0" w:line="112" w:lineRule="exact"/>
        <w:rPr>
          <w:sz w:val="20"/>
          <w:szCs w:val="20"/>
          <w:color w:val="auto"/>
        </w:rPr>
      </w:pPr>
    </w:p>
    <w:p>
      <w:pPr>
        <w:ind w:right="220"/>
        <w:spacing w:after="0" w:line="258" w:lineRule="auto"/>
        <w:rPr>
          <w:sz w:val="20"/>
          <w:szCs w:val="20"/>
          <w:color w:val="auto"/>
        </w:rPr>
      </w:pPr>
      <w:r>
        <w:rPr>
          <w:rFonts w:ascii="Arial" w:cs="Arial" w:eastAsia="Arial" w:hAnsi="Arial"/>
          <w:sz w:val="18"/>
          <w:szCs w:val="18"/>
          <w:b w:val="1"/>
          <w:bCs w:val="1"/>
          <w:color w:val="auto"/>
        </w:rPr>
        <w:t xml:space="preserve">UTC Fire &amp; Security - </w:t>
      </w:r>
      <w:r>
        <w:rPr>
          <w:rFonts w:ascii="Arial" w:cs="Arial" w:eastAsia="Arial" w:hAnsi="Arial"/>
          <w:sz w:val="18"/>
          <w:szCs w:val="18"/>
          <w:color w:val="auto"/>
        </w:rPr>
        <w:t>Revenues increased $389 million (29%) in the second quarter of 2008 compared with the same period of 2007, principally due to the</w:t>
      </w:r>
      <w:r>
        <w:rPr>
          <w:rFonts w:ascii="Arial" w:cs="Arial" w:eastAsia="Arial" w:hAnsi="Arial"/>
          <w:sz w:val="18"/>
          <w:szCs w:val="18"/>
          <w:b w:val="1"/>
          <w:bCs w:val="1"/>
          <w:color w:val="auto"/>
        </w:rPr>
        <w:t xml:space="preserve"> </w:t>
      </w:r>
      <w:r>
        <w:rPr>
          <w:rFonts w:ascii="Arial" w:cs="Arial" w:eastAsia="Arial" w:hAnsi="Arial"/>
          <w:sz w:val="18"/>
          <w:szCs w:val="18"/>
          <w:color w:val="auto"/>
        </w:rPr>
        <w:t>impact of recent acquisitions (18%) and the favorable impact from foreign currency translation (7%). Organic revenue growth was 4% in the second quarter, of which 3% was contributed by the Fire Safety businesses, primarily in Europe and the Americas, despite the continuing weakness in the U.S. residential market. Weakness in the</w:t>
      </w:r>
    </w:p>
    <w:p>
      <w:pPr>
        <w:spacing w:after="0" w:line="12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29</w:t>
      </w:r>
    </w:p>
    <w:p>
      <w:pPr>
        <w:sectPr>
          <w:pgSz w:w="11900" w:h="16838" w:orient="portrait"/>
          <w:cols w:equalWidth="0" w:num="1">
            <w:col w:w="11420"/>
          </w:cols>
          <w:pgMar w:left="240" w:top="459" w:right="239" w:bottom="1440" w:gutter="0" w:footer="0" w:header="0"/>
        </w:sectPr>
      </w:pPr>
    </w:p>
    <w:bookmarkStart w:id="29" w:name="page30"/>
    <w:bookmarkEnd w:id="2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60"/>
        <w:spacing w:after="0" w:line="255" w:lineRule="auto"/>
        <w:rPr>
          <w:sz w:val="20"/>
          <w:szCs w:val="20"/>
          <w:color w:val="auto"/>
        </w:rPr>
      </w:pPr>
      <w:r>
        <w:rPr>
          <w:rFonts w:ascii="Arial" w:cs="Arial" w:eastAsia="Arial" w:hAnsi="Arial"/>
          <w:sz w:val="18"/>
          <w:szCs w:val="18"/>
          <w:color w:val="auto"/>
        </w:rPr>
        <w:t>manned guarding business had a 1% adverse impact to total organic growth, which was more than offset by organic growth in the other businesses combined. For the first six months of 2008, revenues increased $741 million (29%) compared with the same period of 2007, principally due to acquisitions (19%) and favorable impact from foreign currency translation (8%). Organic revenue growth of 2% in the first six months of the year was primarily contributed by the Fire Safety businesses, primarily in Europe. Weakness in the manned guarding business had a 1% adverse impact to total organic growth which was offset by organic growth in the other business combined.</w:t>
      </w:r>
    </w:p>
    <w:p>
      <w:pPr>
        <w:spacing w:after="0" w:line="143" w:lineRule="exact"/>
        <w:rPr>
          <w:sz w:val="20"/>
          <w:szCs w:val="20"/>
          <w:color w:val="auto"/>
        </w:rPr>
      </w:pPr>
    </w:p>
    <w:p>
      <w:pPr>
        <w:ind w:right="20" w:firstLine="456"/>
        <w:spacing w:after="0" w:line="291" w:lineRule="auto"/>
        <w:rPr>
          <w:sz w:val="20"/>
          <w:szCs w:val="20"/>
          <w:color w:val="auto"/>
        </w:rPr>
      </w:pPr>
      <w:r>
        <w:rPr>
          <w:rFonts w:ascii="Arial" w:cs="Arial" w:eastAsia="Arial" w:hAnsi="Arial"/>
          <w:sz w:val="16"/>
          <w:szCs w:val="16"/>
          <w:color w:val="auto"/>
        </w:rPr>
        <w:t>Operating profits increased $25 million (25%) in the second quarter of 2008 compared with the same period of 2007. This increase reflected operating profits from increased volume and cost reductions from previous restructuring actions (combined 25%), the net impact of recent acquisitions (15%), and the favorable impact from foreign currency translation (8%), were partially offset by higher restructuring costs (23%). For the first six months of 2008, operating profits increased $54 million (29%) compared with the same period of 2007. Operating profits from increased volume and the benefits from net cost reductions attributable to previous restructuring actions (combined 20%), net impact of recent acquisitions (16%), and the favorable impact from foreign currency translation (7%) were partially offset by higher restructuring costs (14%) to generate the increase in operating profit.</w:t>
      </w:r>
    </w:p>
    <w:p>
      <w:pPr>
        <w:spacing w:after="0" w:line="114" w:lineRule="exact"/>
        <w:rPr>
          <w:sz w:val="20"/>
          <w:szCs w:val="20"/>
          <w:color w:val="auto"/>
        </w:rPr>
      </w:pPr>
    </w:p>
    <w:p>
      <w:pPr>
        <w:spacing w:after="0" w:line="301" w:lineRule="auto"/>
        <w:rPr>
          <w:sz w:val="20"/>
          <w:szCs w:val="20"/>
          <w:color w:val="auto"/>
        </w:rPr>
      </w:pPr>
      <w:r>
        <w:rPr>
          <w:rFonts w:ascii="Arial" w:cs="Arial" w:eastAsia="Arial" w:hAnsi="Arial"/>
          <w:sz w:val="16"/>
          <w:szCs w:val="16"/>
          <w:b w:val="1"/>
          <w:bCs w:val="1"/>
          <w:color w:val="auto"/>
        </w:rPr>
        <w:t xml:space="preserve">Pratt &amp; Whitney </w:t>
      </w:r>
      <w:r>
        <w:rPr>
          <w:rFonts w:ascii="Arial" w:cs="Arial" w:eastAsia="Arial" w:hAnsi="Arial"/>
          <w:sz w:val="16"/>
          <w:szCs w:val="16"/>
          <w:color w:val="auto"/>
        </w:rPr>
        <w:t>- Revenues increased $184 million (6%) in the second quarter of 2008 compared with the same period of 2007. This increase is primarily</w:t>
      </w:r>
      <w:r>
        <w:rPr>
          <w:rFonts w:ascii="Arial" w:cs="Arial" w:eastAsia="Arial" w:hAnsi="Arial"/>
          <w:sz w:val="16"/>
          <w:szCs w:val="16"/>
          <w:b w:val="1"/>
          <w:bCs w:val="1"/>
          <w:color w:val="auto"/>
        </w:rPr>
        <w:t xml:space="preserve"> </w:t>
      </w:r>
      <w:r>
        <w:rPr>
          <w:rFonts w:ascii="Arial" w:cs="Arial" w:eastAsia="Arial" w:hAnsi="Arial"/>
          <w:sz w:val="16"/>
          <w:szCs w:val="16"/>
          <w:color w:val="auto"/>
        </w:rPr>
        <w:t>attributable to volume growth at Pratt &amp; Whitney Canada (5%). For the first six months of 2008, revenues increased $624 million (11%) compared with the same period in 2007. The six month revenue growth is primarily attributable to volume growth at Pratt &amp; Whitney Canada (6%), higher volumes and a favorable mix of military engine deliveries (2%) and volume-related increases at Pratt &amp; Whitney Power Systems (2%).</w:t>
      </w:r>
    </w:p>
    <w:p>
      <w:pPr>
        <w:spacing w:after="0" w:line="109" w:lineRule="exact"/>
        <w:rPr>
          <w:sz w:val="20"/>
          <w:szCs w:val="20"/>
          <w:color w:val="auto"/>
        </w:rPr>
      </w:pPr>
    </w:p>
    <w:p>
      <w:pPr>
        <w:ind w:firstLine="456"/>
        <w:spacing w:after="0" w:line="283" w:lineRule="auto"/>
        <w:rPr>
          <w:sz w:val="20"/>
          <w:szCs w:val="20"/>
          <w:color w:val="auto"/>
        </w:rPr>
      </w:pPr>
      <w:r>
        <w:rPr>
          <w:rFonts w:ascii="Arial" w:cs="Arial" w:eastAsia="Arial" w:hAnsi="Arial"/>
          <w:sz w:val="16"/>
          <w:szCs w:val="16"/>
          <w:color w:val="auto"/>
        </w:rPr>
        <w:t>Operating profits increased $24 million (5%) in the second quarter of 2008 compared with the same period of 2007. This increase is primarily attributable to profit contributions from higher volumes at Pratt &amp; Whitney Canada (7%) and favorable aftermarket performance and improved engine mix in military markets (8%), partially offset by the impact of adverse mix in the large commercial engine aftermarket business (3%). Pratt &amp; Whitney’s operating profits year over year were also adversely impacted by the continued weakness of the U.S. dollar (6%) as the majority of Pratt &amp; Whitney Canada’s revenue is denominated in U.S. dollars while a significant portion of its costs are incurred in Canadian dollars. For the first six months of 2008, operating profits increased $60 million</w:t>
      </w:r>
    </w:p>
    <w:p>
      <w:pPr>
        <w:spacing w:after="0" w:line="2" w:lineRule="exact"/>
        <w:rPr>
          <w:sz w:val="20"/>
          <w:szCs w:val="20"/>
          <w:color w:val="auto"/>
        </w:rPr>
      </w:pPr>
    </w:p>
    <w:p>
      <w:pPr>
        <w:spacing w:after="0"/>
        <w:rPr>
          <w:sz w:val="20"/>
          <w:szCs w:val="20"/>
          <w:color w:val="auto"/>
        </w:rPr>
      </w:pPr>
      <w:r>
        <w:rPr>
          <w:rFonts w:ascii="Arial" w:cs="Arial" w:eastAsia="Arial" w:hAnsi="Arial"/>
          <w:sz w:val="16"/>
          <w:szCs w:val="16"/>
          <w:color w:val="auto"/>
        </w:rPr>
        <w:t>(6%) compared with the same period in 2007. The increase is primarily attributable to the profit contributions from higher volumes at Pratt &amp; Whitney Canada</w:t>
      </w:r>
    </w:p>
    <w:p>
      <w:pPr>
        <w:spacing w:after="0" w:line="32" w:lineRule="exact"/>
        <w:rPr>
          <w:sz w:val="20"/>
          <w:szCs w:val="20"/>
          <w:color w:val="auto"/>
        </w:rPr>
      </w:pPr>
    </w:p>
    <w:p>
      <w:pPr>
        <w:ind w:right="80"/>
        <w:spacing w:after="0" w:line="323" w:lineRule="auto"/>
        <w:rPr>
          <w:sz w:val="20"/>
          <w:szCs w:val="20"/>
          <w:color w:val="auto"/>
        </w:rPr>
      </w:pPr>
      <w:r>
        <w:rPr>
          <w:rFonts w:ascii="Arial" w:cs="Arial" w:eastAsia="Arial" w:hAnsi="Arial"/>
          <w:sz w:val="16"/>
          <w:szCs w:val="16"/>
          <w:color w:val="auto"/>
        </w:rPr>
        <w:t>(9%) and favorable aftermarket performance and improved engine mix in military markets (9%), partially offset by the absence of the favorable impact of a 2007 contract termination (6%). Pratt &amp; Whitney’s operating profits year over year were also adversely impacted by the continued weakness of the U.S. dollar (5%).</w:t>
      </w:r>
    </w:p>
    <w:p>
      <w:pPr>
        <w:spacing w:after="0" w:line="87" w:lineRule="exact"/>
        <w:rPr>
          <w:sz w:val="20"/>
          <w:szCs w:val="20"/>
          <w:color w:val="auto"/>
        </w:rPr>
      </w:pPr>
    </w:p>
    <w:p>
      <w:pPr>
        <w:ind w:right="140"/>
        <w:spacing w:after="0" w:line="320" w:lineRule="auto"/>
        <w:rPr>
          <w:sz w:val="20"/>
          <w:szCs w:val="20"/>
          <w:color w:val="auto"/>
        </w:rPr>
      </w:pPr>
      <w:r>
        <w:rPr>
          <w:rFonts w:ascii="Arial" w:cs="Arial" w:eastAsia="Arial" w:hAnsi="Arial"/>
          <w:sz w:val="15"/>
          <w:szCs w:val="15"/>
          <w:b w:val="1"/>
          <w:bCs w:val="1"/>
          <w:color w:val="auto"/>
        </w:rPr>
        <w:t xml:space="preserve">Hamilton Sundstrand </w:t>
      </w:r>
      <w:r>
        <w:rPr>
          <w:rFonts w:ascii="Arial" w:cs="Arial" w:eastAsia="Arial" w:hAnsi="Arial"/>
          <w:sz w:val="15"/>
          <w:szCs w:val="15"/>
          <w:color w:val="auto"/>
        </w:rPr>
        <w:t>- Revenues increased $246 million (18%) in the second quarter of 2008 compared with the same period of 2007, principally due to</w:t>
      </w:r>
      <w:r>
        <w:rPr>
          <w:rFonts w:ascii="Arial" w:cs="Arial" w:eastAsia="Arial" w:hAnsi="Arial"/>
          <w:sz w:val="15"/>
          <w:szCs w:val="15"/>
          <w:b w:val="1"/>
          <w:bCs w:val="1"/>
          <w:color w:val="auto"/>
        </w:rPr>
        <w:t xml:space="preserve"> </w:t>
      </w:r>
      <w:r>
        <w:rPr>
          <w:rFonts w:ascii="Arial" w:cs="Arial" w:eastAsia="Arial" w:hAnsi="Arial"/>
          <w:sz w:val="15"/>
          <w:szCs w:val="15"/>
          <w:color w:val="auto"/>
        </w:rPr>
        <w:t>organic volume growth across the aerospace (11%) and industrial (3%) businesses, and the favorable impact of foreign currency translation (4%). Within aerospace, both OEM (7%) and aftermarket (4%) contributed to the increase. For the first six months of 2008, revenues increased $394 million (15%) compared with the same period of 2007, principally due to organic volume growth in both the aerospace (9%) and industrial (2%) businesses and the favorable impact of foreign currency translation (3%) and the impact of acquisitions (1%). Within aerospace, both OEM (6%) and aftermarket (3%) contributed to the increase.</w:t>
      </w:r>
    </w:p>
    <w:p>
      <w:pPr>
        <w:spacing w:after="0" w:line="99" w:lineRule="exact"/>
        <w:rPr>
          <w:sz w:val="20"/>
          <w:szCs w:val="20"/>
          <w:color w:val="auto"/>
        </w:rPr>
      </w:pPr>
    </w:p>
    <w:p>
      <w:pPr>
        <w:ind w:firstLine="456"/>
        <w:spacing w:after="0" w:line="289" w:lineRule="auto"/>
        <w:rPr>
          <w:sz w:val="20"/>
          <w:szCs w:val="20"/>
          <w:color w:val="auto"/>
        </w:rPr>
      </w:pPr>
      <w:r>
        <w:rPr>
          <w:rFonts w:ascii="Arial" w:cs="Arial" w:eastAsia="Arial" w:hAnsi="Arial"/>
          <w:sz w:val="16"/>
          <w:szCs w:val="16"/>
          <w:color w:val="auto"/>
        </w:rPr>
        <w:t>Hamilton Sundstrand’s operating profits increased $34 million (14%) in the second quarter of 2008 compared with the same period of 2007, principally due to volume growth in the aerospace (8%) and industrial (2%) businesses. The favorable impact of foreign currency translation (3%) and lower year over year restructuring costs (2%) partially offset by higher commodity costs (1%) also contributed to the year over year increase. Operating profit margin as a percentage of revenue, compared to the same period in 2007, was adversely impacted by mix within aerospace OEM, development, and aftermarket. For the first six months of 2008, operating profit increased $45 million (10%) compared with the same period in 2007, principally due to volume growth in the aerospace (4%) and industrial (2%) businesses. The favorable impact of foreign currency translation (2%), lower year over year restructuring costs (2%) and the net impact of acquisitions (1%) partially offset by higher commodity costs (1%) also contributed to the year over year increase. Operating profit margin as a percentage of revenue, compared to the same period in 2007, was adversely impacted by aerospace OEM mix.</w:t>
      </w:r>
    </w:p>
    <w:p>
      <w:pPr>
        <w:spacing w:after="0" w:line="112" w:lineRule="exact"/>
        <w:rPr>
          <w:sz w:val="20"/>
          <w:szCs w:val="20"/>
          <w:color w:val="auto"/>
        </w:rPr>
      </w:pPr>
    </w:p>
    <w:p>
      <w:pPr>
        <w:jc w:val="both"/>
        <w:ind w:right="220"/>
        <w:spacing w:after="0" w:line="326" w:lineRule="auto"/>
        <w:rPr>
          <w:sz w:val="20"/>
          <w:szCs w:val="20"/>
          <w:color w:val="auto"/>
        </w:rPr>
      </w:pPr>
      <w:r>
        <w:rPr>
          <w:rFonts w:ascii="Arial" w:cs="Arial" w:eastAsia="Arial" w:hAnsi="Arial"/>
          <w:sz w:val="15"/>
          <w:szCs w:val="15"/>
          <w:b w:val="1"/>
          <w:bCs w:val="1"/>
          <w:color w:val="auto"/>
        </w:rPr>
        <w:t xml:space="preserve">Sikorsky </w:t>
      </w:r>
      <w:r>
        <w:rPr>
          <w:rFonts w:ascii="Arial" w:cs="Arial" w:eastAsia="Arial" w:hAnsi="Arial"/>
          <w:sz w:val="15"/>
          <w:szCs w:val="15"/>
          <w:color w:val="auto"/>
        </w:rPr>
        <w:t>- Revenues increased $109 million (9%) in the second quarter of 2008 compared with the same period of 2007. The increase is primarily the result of</w:t>
      </w:r>
      <w:r>
        <w:rPr>
          <w:rFonts w:ascii="Arial" w:cs="Arial" w:eastAsia="Arial" w:hAnsi="Arial"/>
          <w:sz w:val="15"/>
          <w:szCs w:val="15"/>
          <w:b w:val="1"/>
          <w:bCs w:val="1"/>
          <w:color w:val="auto"/>
        </w:rPr>
        <w:t xml:space="preserve"> </w:t>
      </w:r>
      <w:r>
        <w:rPr>
          <w:rFonts w:ascii="Arial" w:cs="Arial" w:eastAsia="Arial" w:hAnsi="Arial"/>
          <w:sz w:val="15"/>
          <w:szCs w:val="15"/>
          <w:color w:val="auto"/>
        </w:rPr>
        <w:t>additional large aircraft shipments versus the prior year (7%), and an increase in aftermarket volume (3%). For the first six months of 2008, revenues increased $126 million (6%) compared with the same period of 2007 primarily as a result of increased volume in aftermarket operations (3%). Favorable aircraft mix and increased customer-funded development and program support (combined 2%) contributed the majority of the remaining year over year increase.</w:t>
      </w:r>
    </w:p>
    <w:p>
      <w:pPr>
        <w:spacing w:after="0" w:line="8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30</w:t>
      </w:r>
    </w:p>
    <w:p>
      <w:pPr>
        <w:sectPr>
          <w:pgSz w:w="11900" w:h="16838" w:orient="portrait"/>
          <w:cols w:equalWidth="0" w:num="1">
            <w:col w:w="11420"/>
          </w:cols>
          <w:pgMar w:left="240" w:top="459" w:right="239" w:bottom="1440" w:gutter="0" w:footer="0" w:header="0"/>
        </w:sectPr>
      </w:pPr>
    </w:p>
    <w:bookmarkStart w:id="30" w:name="page31"/>
    <w:bookmarkEnd w:id="3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40" w:firstLine="456"/>
        <w:spacing w:after="0" w:line="283" w:lineRule="auto"/>
        <w:rPr>
          <w:sz w:val="20"/>
          <w:szCs w:val="20"/>
          <w:color w:val="auto"/>
        </w:rPr>
      </w:pPr>
      <w:r>
        <w:rPr>
          <w:rFonts w:ascii="Arial" w:cs="Arial" w:eastAsia="Arial" w:hAnsi="Arial"/>
          <w:sz w:val="16"/>
          <w:szCs w:val="16"/>
          <w:color w:val="auto"/>
        </w:rPr>
        <w:t>Operating profits increased $24 million (28%) in the second quarter of 2008 compared to the same period of 2007 on 9% higher revenue growth. This improvement was primarily attributable to increased military aircraft deliveries and favorable aircraft mix for military and commercial programs (combined 27%) as well as volume increases in both aftermarket operations (7%) and customer funded development and program support (7%). These improvements were partially offset by incremental investments in selling, general, and administrative expenses (9%) and research and development (4%). For the first six months of 2008, operating profits increased $33 million (21%) compared to the same period of 2007 on 6% higher revenue growth. This improvement was primarily attributable to favorable aircraft mix for both military and commercial programs (combined 30%) as well as volume increases in both aftermarket operations</w:t>
      </w:r>
    </w:p>
    <w:p>
      <w:pPr>
        <w:spacing w:after="0" w:line="1" w:lineRule="exact"/>
        <w:rPr>
          <w:sz w:val="20"/>
          <w:szCs w:val="20"/>
          <w:color w:val="auto"/>
        </w:rPr>
      </w:pPr>
    </w:p>
    <w:p>
      <w:pPr>
        <w:ind w:right="60"/>
        <w:spacing w:after="0" w:line="323" w:lineRule="auto"/>
        <w:rPr>
          <w:sz w:val="20"/>
          <w:szCs w:val="20"/>
          <w:color w:val="auto"/>
        </w:rPr>
      </w:pPr>
      <w:r>
        <w:rPr>
          <w:rFonts w:ascii="Arial" w:cs="Arial" w:eastAsia="Arial" w:hAnsi="Arial"/>
          <w:sz w:val="16"/>
          <w:szCs w:val="16"/>
          <w:color w:val="auto"/>
        </w:rPr>
        <w:t>(3%) and customer funded development and program support (5%). These improvements were partially offset by incremental investments in selling, general, and administrative expenses (10%), research and development (4%) and the year over year adverse impact of restructuring (2%).</w:t>
      </w:r>
    </w:p>
    <w:p>
      <w:pPr>
        <w:spacing w:after="0" w:line="87" w:lineRule="exact"/>
        <w:rPr>
          <w:sz w:val="20"/>
          <w:szCs w:val="20"/>
          <w:color w:val="auto"/>
        </w:rPr>
      </w:pPr>
    </w:p>
    <w:p>
      <w:pPr>
        <w:ind w:right="40"/>
        <w:spacing w:after="0" w:line="301" w:lineRule="auto"/>
        <w:rPr>
          <w:sz w:val="20"/>
          <w:szCs w:val="20"/>
          <w:color w:val="auto"/>
        </w:rPr>
      </w:pPr>
      <w:r>
        <w:rPr>
          <w:rFonts w:ascii="Arial" w:cs="Arial" w:eastAsia="Arial" w:hAnsi="Arial"/>
          <w:sz w:val="16"/>
          <w:szCs w:val="16"/>
          <w:b w:val="1"/>
          <w:bCs w:val="1"/>
          <w:color w:val="auto"/>
        </w:rPr>
        <w:t xml:space="preserve">Eliminations and other - </w:t>
      </w:r>
      <w:r>
        <w:rPr>
          <w:rFonts w:ascii="Arial" w:cs="Arial" w:eastAsia="Arial" w:hAnsi="Arial"/>
          <w:sz w:val="16"/>
          <w:szCs w:val="16"/>
          <w:color w:val="auto"/>
        </w:rPr>
        <w:t>The decrease in revenue for the six months ended June 30, 2008, as compared with the same period of 2007, is primarily attributable to</w:t>
      </w:r>
      <w:r>
        <w:rPr>
          <w:rFonts w:ascii="Arial" w:cs="Arial" w:eastAsia="Arial" w:hAnsi="Arial"/>
          <w:sz w:val="16"/>
          <w:szCs w:val="16"/>
          <w:b w:val="1"/>
          <w:bCs w:val="1"/>
          <w:color w:val="auto"/>
        </w:rPr>
        <w:t xml:space="preserve"> </w:t>
      </w:r>
      <w:r>
        <w:rPr>
          <w:rFonts w:ascii="Arial" w:cs="Arial" w:eastAsia="Arial" w:hAnsi="Arial"/>
          <w:sz w:val="16"/>
          <w:szCs w:val="16"/>
          <w:color w:val="auto"/>
        </w:rPr>
        <w:t>the absence of gains of approximately $150 million from the sale of marketable securities reported in 2007. The increase in operating profits for the six months ended June 30, 2008, as compared with the same period in 2007, is primarily attributable to the absence of the previously disclosed EU Fine of $216 million (net of previously established reserves) partially offset by gains from the sale of marketable securities, as noted above.</w:t>
      </w:r>
    </w:p>
    <w:p>
      <w:pPr>
        <w:spacing w:after="0" w:line="26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LIQUIDITY AND FINANCIAL CONDITION</w:t>
      </w:r>
    </w:p>
    <w:p>
      <w:pPr>
        <w:spacing w:after="0" w:line="201"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6680" w:type="dxa"/>
            <w:vAlign w:val="bottom"/>
          </w:tcPr>
          <w:p>
            <w:pPr>
              <w:spacing w:after="0"/>
              <w:rPr>
                <w:sz w:val="14"/>
                <w:szCs w:val="14"/>
                <w:color w:val="auto"/>
              </w:rPr>
            </w:pPr>
          </w:p>
        </w:tc>
        <w:tc>
          <w:tcPr>
            <w:tcW w:w="960" w:type="dxa"/>
            <w:vAlign w:val="bottom"/>
            <w:gridSpan w:val="2"/>
          </w:tcPr>
          <w:p>
            <w:pPr>
              <w:jc w:val="right"/>
              <w:ind w:right="440"/>
              <w:spacing w:after="0"/>
              <w:rPr>
                <w:sz w:val="20"/>
                <w:szCs w:val="20"/>
                <w:color w:val="auto"/>
              </w:rPr>
            </w:pPr>
            <w:r>
              <w:rPr>
                <w:rFonts w:ascii="Arial" w:cs="Arial" w:eastAsia="Arial" w:hAnsi="Arial"/>
                <w:sz w:val="14"/>
                <w:szCs w:val="14"/>
                <w:b w:val="1"/>
                <w:bCs w:val="1"/>
                <w:color w:val="auto"/>
                <w:w w:val="89"/>
              </w:rPr>
              <w:t>June 30,</w:t>
            </w:r>
          </w:p>
        </w:tc>
        <w:tc>
          <w:tcPr>
            <w:tcW w:w="240" w:type="dxa"/>
            <w:vAlign w:val="bottom"/>
          </w:tcPr>
          <w:p>
            <w:pPr>
              <w:spacing w:after="0"/>
              <w:rPr>
                <w:sz w:val="14"/>
                <w:szCs w:val="14"/>
                <w:color w:val="auto"/>
              </w:rPr>
            </w:pPr>
          </w:p>
        </w:tc>
        <w:tc>
          <w:tcPr>
            <w:tcW w:w="1200" w:type="dxa"/>
            <w:vAlign w:val="bottom"/>
            <w:gridSpan w:val="3"/>
          </w:tcPr>
          <w:p>
            <w:pPr>
              <w:ind w:left="20"/>
              <w:spacing w:after="0"/>
              <w:rPr>
                <w:sz w:val="20"/>
                <w:szCs w:val="20"/>
                <w:color w:val="auto"/>
              </w:rPr>
            </w:pPr>
            <w:r>
              <w:rPr>
                <w:rFonts w:ascii="Arial" w:cs="Arial" w:eastAsia="Arial" w:hAnsi="Arial"/>
                <w:sz w:val="14"/>
                <w:szCs w:val="14"/>
                <w:b w:val="1"/>
                <w:bCs w:val="1"/>
                <w:color w:val="auto"/>
              </w:rPr>
              <w:t>December 31,</w:t>
            </w:r>
          </w:p>
        </w:tc>
        <w:tc>
          <w:tcPr>
            <w:tcW w:w="260" w:type="dxa"/>
            <w:vAlign w:val="bottom"/>
          </w:tcPr>
          <w:p>
            <w:pPr>
              <w:spacing w:after="0"/>
              <w:rPr>
                <w:sz w:val="14"/>
                <w:szCs w:val="14"/>
                <w:color w:val="auto"/>
              </w:rPr>
            </w:pPr>
          </w:p>
        </w:tc>
        <w:tc>
          <w:tcPr>
            <w:tcW w:w="720" w:type="dxa"/>
            <w:vAlign w:val="bottom"/>
            <w:gridSpan w:val="2"/>
          </w:tcPr>
          <w:p>
            <w:pPr>
              <w:jc w:val="right"/>
              <w:ind w:right="200"/>
              <w:spacing w:after="0"/>
              <w:rPr>
                <w:sz w:val="20"/>
                <w:szCs w:val="20"/>
                <w:color w:val="auto"/>
              </w:rPr>
            </w:pPr>
            <w:r>
              <w:rPr>
                <w:rFonts w:ascii="Arial" w:cs="Arial" w:eastAsia="Arial" w:hAnsi="Arial"/>
                <w:sz w:val="14"/>
                <w:szCs w:val="14"/>
                <w:b w:val="1"/>
                <w:bCs w:val="1"/>
                <w:color w:val="auto"/>
                <w:w w:val="89"/>
              </w:rPr>
              <w:t>June 30,</w:t>
            </w:r>
          </w:p>
        </w:tc>
        <w:tc>
          <w:tcPr>
            <w:tcW w:w="0" w:type="dxa"/>
            <w:vAlign w:val="bottom"/>
          </w:tcPr>
          <w:p>
            <w:pPr>
              <w:spacing w:after="0"/>
              <w:rPr>
                <w:sz w:val="1"/>
                <w:szCs w:val="1"/>
                <w:color w:val="auto"/>
              </w:rPr>
            </w:pPr>
          </w:p>
        </w:tc>
      </w:tr>
      <w:tr>
        <w:trPr>
          <w:trHeight w:val="161"/>
        </w:trPr>
        <w:tc>
          <w:tcPr>
            <w:tcW w:w="8040" w:type="dxa"/>
            <w:vAlign w:val="bottom"/>
            <w:gridSpan w:val="3"/>
          </w:tcPr>
          <w:p>
            <w:pPr>
              <w:spacing w:after="0"/>
              <w:rPr>
                <w:sz w:val="20"/>
                <w:szCs w:val="20"/>
                <w:color w:val="auto"/>
              </w:rPr>
            </w:pPr>
            <w:r>
              <w:rPr>
                <w:rFonts w:ascii="Arial" w:cs="Arial" w:eastAsia="Arial" w:hAnsi="Arial"/>
                <w:sz w:val="14"/>
                <w:szCs w:val="14"/>
                <w:b w:val="1"/>
                <w:bCs w:val="1"/>
                <w:color w:val="auto"/>
              </w:rPr>
              <w:t>(in millions of dollars)</w:t>
            </w:r>
          </w:p>
        </w:tc>
        <w:tc>
          <w:tcPr>
            <w:tcW w:w="580" w:type="dxa"/>
            <w:vAlign w:val="bottom"/>
          </w:tcPr>
          <w:p>
            <w:pPr>
              <w:jc w:val="right"/>
              <w:ind w:right="76"/>
              <w:spacing w:after="0"/>
              <w:rPr>
                <w:sz w:val="20"/>
                <w:szCs w:val="20"/>
                <w:color w:val="auto"/>
              </w:rPr>
            </w:pPr>
            <w:r>
              <w:rPr>
                <w:rFonts w:ascii="Arial" w:cs="Arial" w:eastAsia="Arial" w:hAnsi="Arial"/>
                <w:sz w:val="14"/>
                <w:szCs w:val="14"/>
                <w:b w:val="1"/>
                <w:bCs w:val="1"/>
                <w:color w:val="auto"/>
              </w:rPr>
              <w:t>2008</w:t>
            </w:r>
          </w:p>
        </w:tc>
        <w:tc>
          <w:tcPr>
            <w:tcW w:w="38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620" w:type="dxa"/>
            <w:vAlign w:val="bottom"/>
          </w:tcPr>
          <w:p>
            <w:pPr>
              <w:jc w:val="right"/>
              <w:ind w:right="174"/>
              <w:spacing w:after="0"/>
              <w:rPr>
                <w:sz w:val="20"/>
                <w:szCs w:val="20"/>
                <w:color w:val="auto"/>
              </w:rPr>
            </w:pPr>
            <w:r>
              <w:rPr>
                <w:rFonts w:ascii="Arial" w:cs="Arial" w:eastAsia="Arial" w:hAnsi="Arial"/>
                <w:sz w:val="14"/>
                <w:szCs w:val="14"/>
                <w:b w:val="1"/>
                <w:bCs w:val="1"/>
                <w:color w:val="auto"/>
              </w:rPr>
              <w:t>2007</w:t>
            </w:r>
          </w:p>
        </w:tc>
        <w:tc>
          <w:tcPr>
            <w:tcW w:w="400" w:type="dxa"/>
            <w:vAlign w:val="bottom"/>
          </w:tcPr>
          <w:p>
            <w:pPr>
              <w:spacing w:after="0"/>
              <w:rPr>
                <w:sz w:val="14"/>
                <w:szCs w:val="14"/>
                <w:color w:val="auto"/>
              </w:rPr>
            </w:pPr>
          </w:p>
        </w:tc>
        <w:tc>
          <w:tcPr>
            <w:tcW w:w="840" w:type="dxa"/>
            <w:vAlign w:val="bottom"/>
            <w:gridSpan w:val="2"/>
          </w:tcPr>
          <w:p>
            <w:pPr>
              <w:jc w:val="right"/>
              <w:ind w:right="92"/>
              <w:spacing w:after="0"/>
              <w:rPr>
                <w:sz w:val="20"/>
                <w:szCs w:val="20"/>
                <w:color w:val="auto"/>
              </w:rPr>
            </w:pPr>
            <w:r>
              <w:rPr>
                <w:rFonts w:ascii="Arial" w:cs="Arial" w:eastAsia="Arial" w:hAnsi="Arial"/>
                <w:sz w:val="14"/>
                <w:szCs w:val="14"/>
                <w:b w:val="1"/>
                <w:bCs w:val="1"/>
                <w:color w:val="auto"/>
              </w:rPr>
              <w:t>2007</w:t>
            </w:r>
          </w:p>
        </w:tc>
        <w:tc>
          <w:tcPr>
            <w:tcW w:w="1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20" w:type="dxa"/>
            <w:vAlign w:val="bottom"/>
            <w:vMerge w:val="restart"/>
          </w:tcPr>
          <w:p>
            <w:pPr>
              <w:spacing w:after="0" w:line="20" w:lineRule="exact"/>
              <w:rPr>
                <w:sz w:val="1"/>
                <w:szCs w:val="1"/>
                <w:color w:val="auto"/>
              </w:rPr>
            </w:pPr>
          </w:p>
        </w:tc>
        <w:tc>
          <w:tcPr>
            <w:tcW w:w="1340" w:type="dxa"/>
            <w:vAlign w:val="bottom"/>
            <w:shd w:val="clear" w:color="auto" w:fill="000000"/>
          </w:tcPr>
          <w:p>
            <w:pPr>
              <w:spacing w:after="0" w:line="20" w:lineRule="exact"/>
              <w:rPr>
                <w:sz w:val="1"/>
                <w:szCs w:val="1"/>
                <w:color w:val="auto"/>
              </w:rPr>
            </w:pPr>
          </w:p>
        </w:tc>
        <w:tc>
          <w:tcPr>
            <w:tcW w:w="6680" w:type="dxa"/>
            <w:vAlign w:val="bottom"/>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vMerge w:val="continue"/>
          </w:tcPr>
          <w:p>
            <w:pPr>
              <w:spacing w:after="0"/>
              <w:rPr>
                <w:sz w:val="18"/>
                <w:szCs w:val="18"/>
                <w:color w:val="auto"/>
              </w:rPr>
            </w:pPr>
          </w:p>
        </w:tc>
        <w:tc>
          <w:tcPr>
            <w:tcW w:w="80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Cash and cash equivalents</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3"/>
              </w:rPr>
              <w:t>$ 3,442</w:t>
            </w:r>
          </w:p>
        </w:tc>
        <w:tc>
          <w:tcPr>
            <w:tcW w:w="380" w:type="dxa"/>
            <w:vAlign w:val="bottom"/>
            <w:shd w:val="clear" w:color="auto" w:fill="CCEEFF"/>
          </w:tcPr>
          <w:p>
            <w:pPr>
              <w:spacing w:after="0"/>
              <w:rPr>
                <w:sz w:val="18"/>
                <w:szCs w:val="18"/>
                <w:color w:val="auto"/>
              </w:rPr>
            </w:pPr>
          </w:p>
        </w:tc>
        <w:tc>
          <w:tcPr>
            <w:tcW w:w="420" w:type="dxa"/>
            <w:vAlign w:val="bottom"/>
            <w:gridSpan w:val="2"/>
            <w:shd w:val="clear" w:color="auto" w:fill="CCEEFF"/>
          </w:tcPr>
          <w:p>
            <w:pPr>
              <w:ind w:left="240"/>
              <w:spacing w:after="0"/>
              <w:rPr>
                <w:sz w:val="20"/>
                <w:szCs w:val="20"/>
                <w:color w:val="auto"/>
              </w:rPr>
            </w:pPr>
            <w:r>
              <w:rPr>
                <w:rFonts w:ascii="Arial" w:cs="Arial" w:eastAsia="Arial" w:hAnsi="Arial"/>
                <w:sz w:val="18"/>
                <w:szCs w:val="18"/>
                <w:color w:val="auto"/>
              </w:rPr>
              <w:t>$</w:t>
            </w: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2,904</w:t>
            </w:r>
          </w:p>
        </w:tc>
        <w:tc>
          <w:tcPr>
            <w:tcW w:w="400" w:type="dxa"/>
            <w:vAlign w:val="bottom"/>
            <w:shd w:val="clear" w:color="auto" w:fill="CCEEFF"/>
          </w:tcPr>
          <w:p>
            <w:pPr>
              <w:spacing w:after="0"/>
              <w:rPr>
                <w:sz w:val="18"/>
                <w:szCs w:val="18"/>
                <w:color w:val="auto"/>
              </w:rPr>
            </w:pPr>
          </w:p>
        </w:tc>
        <w:tc>
          <w:tcPr>
            <w:tcW w:w="980" w:type="dxa"/>
            <w:vAlign w:val="bottom"/>
            <w:gridSpan w:val="3"/>
            <w:shd w:val="clear" w:color="auto" w:fill="CCEEFF"/>
          </w:tcPr>
          <w:p>
            <w:pPr>
              <w:jc w:val="right"/>
              <w:ind w:right="140"/>
              <w:spacing w:after="0"/>
              <w:rPr>
                <w:sz w:val="20"/>
                <w:szCs w:val="20"/>
                <w:color w:val="auto"/>
              </w:rPr>
            </w:pPr>
            <w:r>
              <w:rPr>
                <w:rFonts w:ascii="Arial" w:cs="Arial" w:eastAsia="Arial" w:hAnsi="Arial"/>
                <w:sz w:val="18"/>
                <w:szCs w:val="18"/>
                <w:color w:val="auto"/>
              </w:rPr>
              <w:t>$ 3,292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020" w:type="dxa"/>
            <w:vAlign w:val="bottom"/>
            <w:gridSpan w:val="2"/>
          </w:tcPr>
          <w:p>
            <w:pPr>
              <w:spacing w:after="0"/>
              <w:rPr>
                <w:sz w:val="20"/>
                <w:szCs w:val="20"/>
                <w:color w:val="auto"/>
              </w:rPr>
            </w:pPr>
            <w:r>
              <w:rPr>
                <w:rFonts w:ascii="Arial" w:cs="Arial" w:eastAsia="Arial" w:hAnsi="Arial"/>
                <w:sz w:val="18"/>
                <w:szCs w:val="18"/>
                <w:color w:val="auto"/>
              </w:rPr>
              <w:t>Total debt</w:t>
            </w:r>
          </w:p>
        </w:tc>
        <w:tc>
          <w:tcPr>
            <w:tcW w:w="580" w:type="dxa"/>
            <w:vAlign w:val="bottom"/>
          </w:tcPr>
          <w:p>
            <w:pPr>
              <w:jc w:val="right"/>
              <w:spacing w:after="0"/>
              <w:rPr>
                <w:sz w:val="20"/>
                <w:szCs w:val="20"/>
                <w:color w:val="auto"/>
              </w:rPr>
            </w:pPr>
            <w:r>
              <w:rPr>
                <w:rFonts w:ascii="Arial" w:cs="Arial" w:eastAsia="Arial" w:hAnsi="Arial"/>
                <w:sz w:val="18"/>
                <w:szCs w:val="18"/>
                <w:color w:val="auto"/>
              </w:rPr>
              <w:t>10,730</w:t>
            </w:r>
          </w:p>
        </w:tc>
        <w:tc>
          <w:tcPr>
            <w:tcW w:w="3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9,148</w:t>
            </w:r>
          </w:p>
        </w:tc>
        <w:tc>
          <w:tcPr>
            <w:tcW w:w="400" w:type="dxa"/>
            <w:vAlign w:val="bottom"/>
          </w:tcPr>
          <w:p>
            <w:pPr>
              <w:spacing w:after="0"/>
              <w:rPr>
                <w:sz w:val="18"/>
                <w:szCs w:val="18"/>
                <w:color w:val="auto"/>
              </w:rPr>
            </w:pPr>
          </w:p>
        </w:tc>
        <w:tc>
          <w:tcPr>
            <w:tcW w:w="980" w:type="dxa"/>
            <w:vAlign w:val="bottom"/>
            <w:gridSpan w:val="3"/>
          </w:tcPr>
          <w:p>
            <w:pPr>
              <w:jc w:val="right"/>
              <w:ind w:right="140"/>
              <w:spacing w:after="0"/>
              <w:rPr>
                <w:sz w:val="20"/>
                <w:szCs w:val="20"/>
                <w:color w:val="auto"/>
              </w:rPr>
            </w:pPr>
            <w:r>
              <w:rPr>
                <w:rFonts w:ascii="Arial" w:cs="Arial" w:eastAsia="Arial" w:hAnsi="Arial"/>
                <w:sz w:val="18"/>
                <w:szCs w:val="18"/>
                <w:color w:val="auto"/>
              </w:rPr>
              <w:t>8,593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0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Net debt (total debt less cash and cash equivalents)</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7,288</w:t>
            </w:r>
          </w:p>
        </w:tc>
        <w:tc>
          <w:tcPr>
            <w:tcW w:w="3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6,244</w:t>
            </w:r>
          </w:p>
        </w:tc>
        <w:tc>
          <w:tcPr>
            <w:tcW w:w="400" w:type="dxa"/>
            <w:vAlign w:val="bottom"/>
            <w:shd w:val="clear" w:color="auto" w:fill="CCEEFF"/>
          </w:tcPr>
          <w:p>
            <w:pPr>
              <w:spacing w:after="0"/>
              <w:rPr>
                <w:sz w:val="18"/>
                <w:szCs w:val="18"/>
                <w:color w:val="auto"/>
              </w:rPr>
            </w:pPr>
          </w:p>
        </w:tc>
        <w:tc>
          <w:tcPr>
            <w:tcW w:w="980" w:type="dxa"/>
            <w:vAlign w:val="bottom"/>
            <w:gridSpan w:val="3"/>
            <w:shd w:val="clear" w:color="auto" w:fill="CCEEFF"/>
          </w:tcPr>
          <w:p>
            <w:pPr>
              <w:jc w:val="right"/>
              <w:ind w:right="140"/>
              <w:spacing w:after="0"/>
              <w:rPr>
                <w:sz w:val="20"/>
                <w:szCs w:val="20"/>
                <w:color w:val="auto"/>
              </w:rPr>
            </w:pPr>
            <w:r>
              <w:rPr>
                <w:rFonts w:ascii="Arial" w:cs="Arial" w:eastAsia="Arial" w:hAnsi="Arial"/>
                <w:sz w:val="18"/>
                <w:szCs w:val="18"/>
                <w:color w:val="auto"/>
              </w:rPr>
              <w:t>5,301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020" w:type="dxa"/>
            <w:vAlign w:val="bottom"/>
            <w:gridSpan w:val="2"/>
          </w:tcPr>
          <w:p>
            <w:pPr>
              <w:spacing w:after="0"/>
              <w:rPr>
                <w:sz w:val="20"/>
                <w:szCs w:val="20"/>
                <w:color w:val="auto"/>
              </w:rPr>
            </w:pPr>
            <w:r>
              <w:rPr>
                <w:rFonts w:ascii="Arial" w:cs="Arial" w:eastAsia="Arial" w:hAnsi="Arial"/>
                <w:sz w:val="18"/>
                <w:szCs w:val="18"/>
                <w:color w:val="auto"/>
              </w:rPr>
              <w:t>Shareowners’ equity</w:t>
            </w:r>
          </w:p>
        </w:tc>
        <w:tc>
          <w:tcPr>
            <w:tcW w:w="580" w:type="dxa"/>
            <w:vAlign w:val="bottom"/>
          </w:tcPr>
          <w:p>
            <w:pPr>
              <w:jc w:val="right"/>
              <w:spacing w:after="0"/>
              <w:rPr>
                <w:sz w:val="20"/>
                <w:szCs w:val="20"/>
                <w:color w:val="auto"/>
              </w:rPr>
            </w:pPr>
            <w:r>
              <w:rPr>
                <w:rFonts w:ascii="Arial" w:cs="Arial" w:eastAsia="Arial" w:hAnsi="Arial"/>
                <w:sz w:val="18"/>
                <w:szCs w:val="18"/>
                <w:color w:val="auto"/>
              </w:rPr>
              <w:t>21,912</w:t>
            </w:r>
          </w:p>
        </w:tc>
        <w:tc>
          <w:tcPr>
            <w:tcW w:w="3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21,355</w:t>
            </w:r>
          </w:p>
        </w:tc>
        <w:tc>
          <w:tcPr>
            <w:tcW w:w="400" w:type="dxa"/>
            <w:vAlign w:val="bottom"/>
          </w:tcPr>
          <w:p>
            <w:pPr>
              <w:spacing w:after="0"/>
              <w:rPr>
                <w:sz w:val="18"/>
                <w:szCs w:val="18"/>
                <w:color w:val="auto"/>
              </w:rPr>
            </w:pPr>
          </w:p>
        </w:tc>
        <w:tc>
          <w:tcPr>
            <w:tcW w:w="980" w:type="dxa"/>
            <w:vAlign w:val="bottom"/>
            <w:gridSpan w:val="3"/>
          </w:tcPr>
          <w:p>
            <w:pPr>
              <w:jc w:val="right"/>
              <w:ind w:right="140"/>
              <w:spacing w:after="0"/>
              <w:rPr>
                <w:sz w:val="20"/>
                <w:szCs w:val="20"/>
                <w:color w:val="auto"/>
              </w:rPr>
            </w:pPr>
            <w:r>
              <w:rPr>
                <w:rFonts w:ascii="Arial" w:cs="Arial" w:eastAsia="Arial" w:hAnsi="Arial"/>
                <w:sz w:val="18"/>
                <w:szCs w:val="18"/>
                <w:color w:val="auto"/>
              </w:rPr>
              <w:t>19,195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0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Total capitalization (debt plus equity)</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32,642</w:t>
            </w:r>
          </w:p>
        </w:tc>
        <w:tc>
          <w:tcPr>
            <w:tcW w:w="3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30,503</w:t>
            </w:r>
          </w:p>
        </w:tc>
        <w:tc>
          <w:tcPr>
            <w:tcW w:w="400" w:type="dxa"/>
            <w:vAlign w:val="bottom"/>
            <w:shd w:val="clear" w:color="auto" w:fill="CCEEFF"/>
          </w:tcPr>
          <w:p>
            <w:pPr>
              <w:spacing w:after="0"/>
              <w:rPr>
                <w:sz w:val="18"/>
                <w:szCs w:val="18"/>
                <w:color w:val="auto"/>
              </w:rPr>
            </w:pPr>
          </w:p>
        </w:tc>
        <w:tc>
          <w:tcPr>
            <w:tcW w:w="980" w:type="dxa"/>
            <w:vAlign w:val="bottom"/>
            <w:gridSpan w:val="3"/>
            <w:shd w:val="clear" w:color="auto" w:fill="CCEEFF"/>
          </w:tcPr>
          <w:p>
            <w:pPr>
              <w:jc w:val="right"/>
              <w:ind w:right="140"/>
              <w:spacing w:after="0"/>
              <w:rPr>
                <w:sz w:val="20"/>
                <w:szCs w:val="20"/>
                <w:color w:val="auto"/>
              </w:rPr>
            </w:pPr>
            <w:r>
              <w:rPr>
                <w:rFonts w:ascii="Arial" w:cs="Arial" w:eastAsia="Arial" w:hAnsi="Arial"/>
                <w:sz w:val="18"/>
                <w:szCs w:val="18"/>
                <w:color w:val="auto"/>
              </w:rPr>
              <w:t>27,788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020" w:type="dxa"/>
            <w:vAlign w:val="bottom"/>
            <w:gridSpan w:val="2"/>
          </w:tcPr>
          <w:p>
            <w:pPr>
              <w:spacing w:after="0"/>
              <w:rPr>
                <w:sz w:val="20"/>
                <w:szCs w:val="20"/>
                <w:color w:val="auto"/>
              </w:rPr>
            </w:pPr>
            <w:r>
              <w:rPr>
                <w:rFonts w:ascii="Arial" w:cs="Arial" w:eastAsia="Arial" w:hAnsi="Arial"/>
                <w:sz w:val="18"/>
                <w:szCs w:val="18"/>
                <w:color w:val="auto"/>
              </w:rPr>
              <w:t>Net capitalization (debt plus equity less cash and cash equivalents)</w:t>
            </w:r>
          </w:p>
        </w:tc>
        <w:tc>
          <w:tcPr>
            <w:tcW w:w="580" w:type="dxa"/>
            <w:vAlign w:val="bottom"/>
          </w:tcPr>
          <w:p>
            <w:pPr>
              <w:jc w:val="right"/>
              <w:spacing w:after="0"/>
              <w:rPr>
                <w:sz w:val="20"/>
                <w:szCs w:val="20"/>
                <w:color w:val="auto"/>
              </w:rPr>
            </w:pPr>
            <w:r>
              <w:rPr>
                <w:rFonts w:ascii="Arial" w:cs="Arial" w:eastAsia="Arial" w:hAnsi="Arial"/>
                <w:sz w:val="18"/>
                <w:szCs w:val="18"/>
                <w:color w:val="auto"/>
              </w:rPr>
              <w:t>29,200</w:t>
            </w:r>
          </w:p>
        </w:tc>
        <w:tc>
          <w:tcPr>
            <w:tcW w:w="3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27,599</w:t>
            </w:r>
          </w:p>
        </w:tc>
        <w:tc>
          <w:tcPr>
            <w:tcW w:w="400" w:type="dxa"/>
            <w:vAlign w:val="bottom"/>
          </w:tcPr>
          <w:p>
            <w:pPr>
              <w:spacing w:after="0"/>
              <w:rPr>
                <w:sz w:val="18"/>
                <w:szCs w:val="18"/>
                <w:color w:val="auto"/>
              </w:rPr>
            </w:pPr>
          </w:p>
        </w:tc>
        <w:tc>
          <w:tcPr>
            <w:tcW w:w="980" w:type="dxa"/>
            <w:vAlign w:val="bottom"/>
            <w:gridSpan w:val="3"/>
          </w:tcPr>
          <w:p>
            <w:pPr>
              <w:jc w:val="right"/>
              <w:ind w:right="140"/>
              <w:spacing w:after="0"/>
              <w:rPr>
                <w:sz w:val="20"/>
                <w:szCs w:val="20"/>
                <w:color w:val="auto"/>
              </w:rPr>
            </w:pPr>
            <w:r>
              <w:rPr>
                <w:rFonts w:ascii="Arial" w:cs="Arial" w:eastAsia="Arial" w:hAnsi="Arial"/>
                <w:sz w:val="18"/>
                <w:szCs w:val="18"/>
                <w:color w:val="auto"/>
              </w:rPr>
              <w:t>24,496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0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Debt to total capitalization</w:t>
            </w:r>
          </w:p>
        </w:tc>
        <w:tc>
          <w:tcPr>
            <w:tcW w:w="96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33%</w:t>
            </w:r>
          </w:p>
        </w:tc>
        <w:tc>
          <w:tcPr>
            <w:tcW w:w="2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30%</w:t>
            </w:r>
          </w:p>
        </w:tc>
        <w:tc>
          <w:tcPr>
            <w:tcW w:w="98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31%</w:t>
            </w: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8020" w:type="dxa"/>
            <w:vAlign w:val="bottom"/>
            <w:gridSpan w:val="2"/>
          </w:tcPr>
          <w:p>
            <w:pPr>
              <w:spacing w:after="0"/>
              <w:rPr>
                <w:sz w:val="20"/>
                <w:szCs w:val="20"/>
                <w:color w:val="auto"/>
              </w:rPr>
            </w:pPr>
            <w:r>
              <w:rPr>
                <w:rFonts w:ascii="Arial" w:cs="Arial" w:eastAsia="Arial" w:hAnsi="Arial"/>
                <w:sz w:val="18"/>
                <w:szCs w:val="18"/>
                <w:color w:val="auto"/>
              </w:rPr>
              <w:t>Net debt to net capitalization</w:t>
            </w:r>
          </w:p>
        </w:tc>
        <w:tc>
          <w:tcPr>
            <w:tcW w:w="960" w:type="dxa"/>
            <w:vAlign w:val="bottom"/>
            <w:gridSpan w:val="2"/>
          </w:tcPr>
          <w:p>
            <w:pPr>
              <w:jc w:val="right"/>
              <w:ind w:right="240"/>
              <w:spacing w:after="0"/>
              <w:rPr>
                <w:sz w:val="20"/>
                <w:szCs w:val="20"/>
                <w:color w:val="auto"/>
              </w:rPr>
            </w:pPr>
            <w:r>
              <w:rPr>
                <w:rFonts w:ascii="Arial" w:cs="Arial" w:eastAsia="Arial" w:hAnsi="Arial"/>
                <w:sz w:val="18"/>
                <w:szCs w:val="18"/>
                <w:color w:val="auto"/>
              </w:rPr>
              <w:t>25%</w:t>
            </w:r>
          </w:p>
        </w:tc>
        <w:tc>
          <w:tcPr>
            <w:tcW w:w="2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20" w:type="dxa"/>
            <w:vAlign w:val="bottom"/>
            <w:gridSpan w:val="2"/>
          </w:tcPr>
          <w:p>
            <w:pPr>
              <w:jc w:val="right"/>
              <w:ind w:right="260"/>
              <w:spacing w:after="0"/>
              <w:rPr>
                <w:sz w:val="20"/>
                <w:szCs w:val="20"/>
                <w:color w:val="auto"/>
              </w:rPr>
            </w:pPr>
            <w:r>
              <w:rPr>
                <w:rFonts w:ascii="Arial" w:cs="Arial" w:eastAsia="Arial" w:hAnsi="Arial"/>
                <w:sz w:val="18"/>
                <w:szCs w:val="18"/>
                <w:color w:val="auto"/>
              </w:rPr>
              <w:t>23%</w:t>
            </w:r>
          </w:p>
        </w:tc>
        <w:tc>
          <w:tcPr>
            <w:tcW w:w="980" w:type="dxa"/>
            <w:vAlign w:val="bottom"/>
            <w:gridSpan w:val="3"/>
          </w:tcPr>
          <w:p>
            <w:pPr>
              <w:jc w:val="right"/>
              <w:spacing w:after="0"/>
              <w:rPr>
                <w:sz w:val="20"/>
                <w:szCs w:val="20"/>
                <w:color w:val="auto"/>
              </w:rPr>
            </w:pPr>
            <w:r>
              <w:rPr>
                <w:rFonts w:ascii="Arial" w:cs="Arial" w:eastAsia="Arial" w:hAnsi="Arial"/>
                <w:sz w:val="18"/>
                <w:szCs w:val="18"/>
                <w:color w:val="auto"/>
              </w:rPr>
              <w:t>22%</w:t>
            </w:r>
          </w:p>
        </w:tc>
        <w:tc>
          <w:tcPr>
            <w:tcW w:w="0" w:type="dxa"/>
            <w:vAlign w:val="bottom"/>
          </w:tcPr>
          <w:p>
            <w:pPr>
              <w:spacing w:after="0"/>
              <w:rPr>
                <w:sz w:val="1"/>
                <w:szCs w:val="1"/>
                <w:color w:val="auto"/>
              </w:rPr>
            </w:pPr>
          </w:p>
        </w:tc>
      </w:tr>
    </w:tbl>
    <w:p>
      <w:pPr>
        <w:spacing w:after="0" w:line="147" w:lineRule="exact"/>
        <w:rPr>
          <w:sz w:val="20"/>
          <w:szCs w:val="20"/>
          <w:color w:val="auto"/>
        </w:rPr>
      </w:pPr>
    </w:p>
    <w:p>
      <w:pPr>
        <w:ind w:right="20" w:firstLine="456"/>
        <w:spacing w:after="0" w:line="255" w:lineRule="auto"/>
        <w:rPr>
          <w:sz w:val="20"/>
          <w:szCs w:val="20"/>
          <w:color w:val="auto"/>
        </w:rPr>
      </w:pPr>
      <w:r>
        <w:rPr>
          <w:rFonts w:ascii="Arial" w:cs="Arial" w:eastAsia="Arial" w:hAnsi="Arial"/>
          <w:sz w:val="18"/>
          <w:szCs w:val="18"/>
          <w:color w:val="auto"/>
        </w:rPr>
        <w:t>We assess our liquidity in terms of our ability to generate cash to fund our operating, investing and financing activities. Our principal source of liquidity is operating cash flows, which, after netting out capital expenditures, we target to equal or exceed net income for the full year. In addition to operating cash flows, other significant factors that affect our overall management of liquidity include: capital expenditures, customer financing requirements, investments in businesses, dividends, common stock repurchases, pension funding, adequacy of available bank lines of credit, and the ability to attract long-term capital at satisfactory terms.</w:t>
      </w:r>
    </w:p>
    <w:p>
      <w:pPr>
        <w:spacing w:after="0" w:line="143" w:lineRule="exact"/>
        <w:rPr>
          <w:sz w:val="20"/>
          <w:szCs w:val="20"/>
          <w:color w:val="auto"/>
        </w:rPr>
      </w:pPr>
    </w:p>
    <w:p>
      <w:pPr>
        <w:ind w:right="20" w:firstLine="456"/>
        <w:spacing w:after="0" w:line="310" w:lineRule="auto"/>
        <w:rPr>
          <w:sz w:val="20"/>
          <w:szCs w:val="20"/>
          <w:color w:val="auto"/>
        </w:rPr>
      </w:pPr>
      <w:r>
        <w:rPr>
          <w:rFonts w:ascii="Arial" w:cs="Arial" w:eastAsia="Arial" w:hAnsi="Arial"/>
          <w:sz w:val="15"/>
          <w:szCs w:val="15"/>
          <w:color w:val="auto"/>
        </w:rPr>
        <w:t>Recent distress in the markets has had an adverse impact on market activities including, among other things, volatility in security prices, diminished liquidity, rating downgrades of certain investments and declining valuations of others. We have assessed the implications of these factors on our current business and determined that there has not been a significant impact to our financial position, results of operations or liquidity during the first six months of 2008. As discussed further below, our strong debt ratings and financial position have historically enabled us to issue long-term debt at favorable market rates. While market volatility cannot be predicted, we do not currently expect a significant impact to our liquidity, financial position or results of operations in 2008. Approximately 86% of our domestic pension plans are invested in readily-liquid investments, including equity, fixed income, asset backed receivables and structured products. Less than 1% of these investments are senior tranches of several structured investment vehicles that have been absorbed onto the balance sheets of the sponsoring banks. The balance of our domestic pension plans, 14%, is invested in less-liquid but market-valued investments, including real estate and private equity.</w:t>
      </w:r>
    </w:p>
    <w:p>
      <w:pPr>
        <w:spacing w:after="0" w:line="108" w:lineRule="exact"/>
        <w:rPr>
          <w:sz w:val="20"/>
          <w:szCs w:val="20"/>
          <w:color w:val="auto"/>
        </w:rPr>
      </w:pPr>
    </w:p>
    <w:p>
      <w:pPr>
        <w:ind w:right="180" w:firstLine="456"/>
        <w:spacing w:after="0" w:line="255" w:lineRule="auto"/>
        <w:rPr>
          <w:sz w:val="20"/>
          <w:szCs w:val="20"/>
          <w:color w:val="auto"/>
        </w:rPr>
      </w:pPr>
      <w:r>
        <w:rPr>
          <w:rFonts w:ascii="Arial" w:cs="Arial" w:eastAsia="Arial" w:hAnsi="Arial"/>
          <w:sz w:val="18"/>
          <w:szCs w:val="18"/>
          <w:color w:val="auto"/>
        </w:rPr>
        <w:t>Most of our cash is denominated in foreign currencies. We manage our worldwide cash requirements considering available funds among the many subsidiaries through which we conduct our business and the cost effectiveness with which those funds can be accessed. The repatriation of cash balances from certain of our subsidiaries could have adverse tax consequences; however, those balances are generally available without legal restrictions to fund ordinary business operations. We have transferred and will continue to transfer cash from those subsidiaries to UTC and to other international subsidiaries when it is cost effective to do so.</w:t>
      </w:r>
    </w:p>
    <w:p>
      <w:pPr>
        <w:spacing w:after="0" w:line="143" w:lineRule="exact"/>
        <w:rPr>
          <w:sz w:val="20"/>
          <w:szCs w:val="20"/>
          <w:color w:val="auto"/>
        </w:rPr>
      </w:pPr>
    </w:p>
    <w:p>
      <w:pPr>
        <w:ind w:right="340" w:firstLine="456"/>
        <w:spacing w:after="0" w:line="268" w:lineRule="auto"/>
        <w:rPr>
          <w:sz w:val="20"/>
          <w:szCs w:val="20"/>
          <w:color w:val="auto"/>
        </w:rPr>
      </w:pPr>
      <w:r>
        <w:rPr>
          <w:rFonts w:ascii="Arial" w:cs="Arial" w:eastAsia="Arial" w:hAnsi="Arial"/>
          <w:sz w:val="18"/>
          <w:szCs w:val="18"/>
          <w:color w:val="auto"/>
        </w:rPr>
        <w:t>Our ability to obtain debt financing at comparable risk-based interest rates is partly a function of our existing debt to capitalization levels as well as our current credit standing. Our credit ratings are reviewed regularly by major debt rating</w:t>
      </w:r>
    </w:p>
    <w:p>
      <w:pPr>
        <w:spacing w:after="0" w:line="11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31</w:t>
      </w:r>
    </w:p>
    <w:p>
      <w:pPr>
        <w:sectPr>
          <w:pgSz w:w="11900" w:h="16838" w:orient="portrait"/>
          <w:cols w:equalWidth="0" w:num="1">
            <w:col w:w="11420"/>
          </w:cols>
          <w:pgMar w:left="240" w:top="459" w:right="239" w:bottom="1440" w:gutter="0" w:footer="0" w:header="0"/>
        </w:sectPr>
      </w:pPr>
    </w:p>
    <w:bookmarkStart w:id="31" w:name="page32"/>
    <w:bookmarkEnd w:id="3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100"/>
        <w:spacing w:after="0" w:line="332" w:lineRule="auto"/>
        <w:rPr>
          <w:sz w:val="20"/>
          <w:szCs w:val="20"/>
          <w:color w:val="auto"/>
        </w:rPr>
      </w:pPr>
      <w:r>
        <w:rPr>
          <w:rFonts w:ascii="Arial" w:cs="Arial" w:eastAsia="Arial" w:hAnsi="Arial"/>
          <w:sz w:val="16"/>
          <w:szCs w:val="16"/>
          <w:color w:val="auto"/>
        </w:rPr>
        <w:t>agencies such as Standard and Poor’s and Moody’s Investors Service. In 2008, Standard and Poor’s affirmed our long-term and short-term debt ratings as A and A-1, respectively. Similarly, Moody’s Investors Service also affirmed its corporate rating on our long-term and short-term debt as A2 and P-1, respectively.</w:t>
      </w:r>
    </w:p>
    <w:p>
      <w:pPr>
        <w:spacing w:after="0" w:line="85" w:lineRule="exact"/>
        <w:rPr>
          <w:sz w:val="20"/>
          <w:szCs w:val="20"/>
          <w:color w:val="auto"/>
        </w:rPr>
      </w:pPr>
    </w:p>
    <w:p>
      <w:pPr>
        <w:ind w:right="20" w:firstLine="456"/>
        <w:spacing w:after="0" w:line="298" w:lineRule="auto"/>
        <w:rPr>
          <w:sz w:val="20"/>
          <w:szCs w:val="20"/>
          <w:color w:val="auto"/>
        </w:rPr>
      </w:pPr>
      <w:r>
        <w:rPr>
          <w:rFonts w:ascii="Arial" w:cs="Arial" w:eastAsia="Arial" w:hAnsi="Arial"/>
          <w:sz w:val="16"/>
          <w:szCs w:val="16"/>
          <w:color w:val="auto"/>
        </w:rPr>
        <w:t>Our debt to capitalization levels increased during the first six months of 2008 as we issued $1.0 billion of long-term debt in May 2008, the proceeds of which were used for general corporate purposes including repurchases of our stock. We believe our future operating cash flows will be sufficient to meet our future operating cash needs including further acquisition spending, continued common stock repurchases and pension funding as needed. Further, our ability to obtain debt or equity financing, as well as the availability under committed credit lines, provides additional potential sources of liquidity should they be required.</w:t>
      </w:r>
    </w:p>
    <w:p>
      <w:pPr>
        <w:spacing w:after="0" w:line="275" w:lineRule="exact"/>
        <w:rPr>
          <w:sz w:val="20"/>
          <w:szCs w:val="20"/>
          <w:color w:val="auto"/>
        </w:rPr>
      </w:pPr>
    </w:p>
    <w:p>
      <w:pPr>
        <w:jc w:val="center"/>
        <w:ind w:right="-79"/>
        <w:spacing w:after="0"/>
        <w:rPr>
          <w:sz w:val="20"/>
          <w:szCs w:val="20"/>
          <w:color w:val="auto"/>
        </w:rPr>
      </w:pPr>
      <w:r>
        <w:rPr>
          <w:rFonts w:ascii="Arial" w:cs="Arial" w:eastAsia="Arial" w:hAnsi="Arial"/>
          <w:sz w:val="18"/>
          <w:szCs w:val="18"/>
          <w:b w:val="1"/>
          <w:bCs w:val="1"/>
          <w:i w:val="1"/>
          <w:iCs w:val="1"/>
          <w:u w:val="single" w:color="auto"/>
          <w:color w:val="auto"/>
        </w:rPr>
        <w:t>Cash Flow from Operating Activities</w:t>
      </w:r>
    </w:p>
    <w:p>
      <w:pPr>
        <w:spacing w:after="0" w:line="207" w:lineRule="exact"/>
        <w:rPr>
          <w:sz w:val="20"/>
          <w:szCs w:val="20"/>
          <w:color w:val="auto"/>
        </w:rPr>
      </w:pPr>
    </w:p>
    <w:tbl>
      <w:tblPr>
        <w:tblLayout w:type="fixed"/>
        <w:tblInd w:w="460" w:type="dxa"/>
        <w:tblCellMar>
          <w:top w:w="0" w:type="dxa"/>
          <w:left w:w="0" w:type="dxa"/>
          <w:bottom w:w="0" w:type="dxa"/>
          <w:right w:w="0" w:type="dxa"/>
        </w:tblCellMar>
      </w:tblPr>
      <w:tr>
        <w:trPr>
          <w:trHeight w:val="161"/>
        </w:trPr>
        <w:tc>
          <w:tcPr>
            <w:tcW w:w="5960" w:type="dxa"/>
            <w:vAlign w:val="bottom"/>
            <w:gridSpan w:val="3"/>
            <w:vMerge w:val="restart"/>
          </w:tcPr>
          <w:p>
            <w:pPr>
              <w:spacing w:after="0"/>
              <w:rPr>
                <w:sz w:val="20"/>
                <w:szCs w:val="20"/>
                <w:color w:val="auto"/>
              </w:rPr>
            </w:pPr>
            <w:r>
              <w:rPr>
                <w:rFonts w:ascii="Arial" w:cs="Arial" w:eastAsia="Arial" w:hAnsi="Arial"/>
                <w:sz w:val="14"/>
                <w:szCs w:val="14"/>
                <w:b w:val="1"/>
                <w:bCs w:val="1"/>
                <w:color w:val="auto"/>
              </w:rPr>
              <w:t>(in millions of dollars)</w:t>
            </w:r>
          </w:p>
        </w:tc>
        <w:tc>
          <w:tcPr>
            <w:tcW w:w="26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780" w:type="dxa"/>
            <w:vAlign w:val="bottom"/>
            <w:gridSpan w:val="6"/>
          </w:tcPr>
          <w:p>
            <w:pPr>
              <w:ind w:left="20"/>
              <w:spacing w:after="0"/>
              <w:rPr>
                <w:sz w:val="20"/>
                <w:szCs w:val="20"/>
                <w:color w:val="auto"/>
              </w:rPr>
            </w:pPr>
            <w:r>
              <w:rPr>
                <w:rFonts w:ascii="Arial" w:cs="Arial" w:eastAsia="Arial" w:hAnsi="Arial"/>
                <w:sz w:val="14"/>
                <w:szCs w:val="14"/>
                <w:b w:val="1"/>
                <w:bCs w:val="1"/>
                <w:color w:val="auto"/>
                <w:w w:val="95"/>
              </w:rPr>
              <w:t>Six Months Ended June 30,</w:t>
            </w:r>
          </w:p>
        </w:tc>
        <w:tc>
          <w:tcPr>
            <w:tcW w:w="0" w:type="dxa"/>
            <w:vAlign w:val="bottom"/>
          </w:tcPr>
          <w:p>
            <w:pPr>
              <w:spacing w:after="0"/>
              <w:rPr>
                <w:sz w:val="1"/>
                <w:szCs w:val="1"/>
                <w:color w:val="auto"/>
              </w:rPr>
            </w:pPr>
          </w:p>
        </w:tc>
      </w:tr>
      <w:tr>
        <w:trPr>
          <w:trHeight w:val="142"/>
        </w:trPr>
        <w:tc>
          <w:tcPr>
            <w:tcW w:w="5960" w:type="dxa"/>
            <w:vAlign w:val="bottom"/>
            <w:gridSpan w:val="3"/>
            <w:vMerge w:val="continue"/>
          </w:tcPr>
          <w:p>
            <w:pPr>
              <w:spacing w:after="0"/>
              <w:rPr>
                <w:sz w:val="12"/>
                <w:szCs w:val="12"/>
                <w:color w:val="auto"/>
              </w:rPr>
            </w:pPr>
          </w:p>
        </w:tc>
        <w:tc>
          <w:tcPr>
            <w:tcW w:w="2660" w:type="dxa"/>
            <w:vAlign w:val="bottom"/>
          </w:tcPr>
          <w:p>
            <w:pPr>
              <w:spacing w:after="0"/>
              <w:rPr>
                <w:sz w:val="12"/>
                <w:szCs w:val="12"/>
                <w:color w:val="auto"/>
              </w:rPr>
            </w:pPr>
          </w:p>
        </w:tc>
        <w:tc>
          <w:tcPr>
            <w:tcW w:w="120" w:type="dxa"/>
            <w:vAlign w:val="bottom"/>
            <w:tcBorders>
              <w:top w:val="single" w:sz="8" w:color="auto"/>
            </w:tcBorders>
          </w:tcPr>
          <w:p>
            <w:pPr>
              <w:spacing w:after="0"/>
              <w:rPr>
                <w:sz w:val="12"/>
                <w:szCs w:val="12"/>
                <w:color w:val="auto"/>
              </w:rPr>
            </w:pPr>
          </w:p>
        </w:tc>
        <w:tc>
          <w:tcPr>
            <w:tcW w:w="600" w:type="dxa"/>
            <w:vAlign w:val="bottom"/>
            <w:tcBorders>
              <w:top w:val="single" w:sz="8" w:color="auto"/>
            </w:tcBorders>
          </w:tcPr>
          <w:p>
            <w:pPr>
              <w:jc w:val="right"/>
              <w:ind w:right="166"/>
              <w:spacing w:after="0" w:line="142" w:lineRule="exact"/>
              <w:rPr>
                <w:sz w:val="20"/>
                <w:szCs w:val="20"/>
                <w:color w:val="auto"/>
              </w:rPr>
            </w:pPr>
            <w:r>
              <w:rPr>
                <w:rFonts w:ascii="Arial" w:cs="Arial" w:eastAsia="Arial" w:hAnsi="Arial"/>
                <w:sz w:val="14"/>
                <w:szCs w:val="14"/>
                <w:b w:val="1"/>
                <w:bCs w:val="1"/>
                <w:color w:val="auto"/>
              </w:rPr>
              <w:t>2008</w:t>
            </w:r>
          </w:p>
        </w:tc>
        <w:tc>
          <w:tcPr>
            <w:tcW w:w="200" w:type="dxa"/>
            <w:vAlign w:val="bottom"/>
            <w:tcBorders>
              <w:top w:val="single" w:sz="8" w:color="auto"/>
            </w:tcBorders>
          </w:tcPr>
          <w:p>
            <w:pPr>
              <w:spacing w:after="0"/>
              <w:rPr>
                <w:sz w:val="12"/>
                <w:szCs w:val="12"/>
                <w:color w:val="auto"/>
              </w:rPr>
            </w:pPr>
          </w:p>
        </w:tc>
        <w:tc>
          <w:tcPr>
            <w:tcW w:w="200" w:type="dxa"/>
            <w:vAlign w:val="bottom"/>
            <w:tcBorders>
              <w:top w:val="single" w:sz="8" w:color="auto"/>
            </w:tcBorders>
          </w:tcPr>
          <w:p>
            <w:pPr>
              <w:spacing w:after="0"/>
              <w:rPr>
                <w:sz w:val="12"/>
                <w:szCs w:val="12"/>
                <w:color w:val="auto"/>
              </w:rPr>
            </w:pPr>
          </w:p>
        </w:tc>
        <w:tc>
          <w:tcPr>
            <w:tcW w:w="160" w:type="dxa"/>
            <w:vAlign w:val="bottom"/>
            <w:tcBorders>
              <w:top w:val="single" w:sz="8" w:color="auto"/>
            </w:tcBorders>
          </w:tcPr>
          <w:p>
            <w:pPr>
              <w:spacing w:after="0"/>
              <w:rPr>
                <w:sz w:val="12"/>
                <w:szCs w:val="12"/>
                <w:color w:val="auto"/>
              </w:rPr>
            </w:pPr>
          </w:p>
        </w:tc>
        <w:tc>
          <w:tcPr>
            <w:tcW w:w="600" w:type="dxa"/>
            <w:vAlign w:val="bottom"/>
            <w:tcBorders>
              <w:top w:val="single" w:sz="8" w:color="auto"/>
            </w:tcBorders>
          </w:tcPr>
          <w:p>
            <w:pPr>
              <w:jc w:val="right"/>
              <w:ind w:right="162"/>
              <w:spacing w:after="0" w:line="142" w:lineRule="exact"/>
              <w:rPr>
                <w:sz w:val="20"/>
                <w:szCs w:val="20"/>
                <w:color w:val="auto"/>
              </w:rPr>
            </w:pPr>
            <w:r>
              <w:rPr>
                <w:rFonts w:ascii="Arial" w:cs="Arial" w:eastAsia="Arial" w:hAnsi="Arial"/>
                <w:sz w:val="14"/>
                <w:szCs w:val="14"/>
                <w:b w:val="1"/>
                <w:bCs w:val="1"/>
                <w:color w:val="auto"/>
              </w:rPr>
              <w:t>2007</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0"/>
        </w:trPr>
        <w:tc>
          <w:tcPr>
            <w:tcW w:w="20" w:type="dxa"/>
            <w:vAlign w:val="bottom"/>
            <w:vMerge w:val="restart"/>
          </w:tcPr>
          <w:p>
            <w:pPr>
              <w:spacing w:after="0" w:line="20" w:lineRule="exact"/>
              <w:rPr>
                <w:sz w:val="1"/>
                <w:szCs w:val="1"/>
                <w:color w:val="auto"/>
              </w:rPr>
            </w:pPr>
          </w:p>
        </w:tc>
        <w:tc>
          <w:tcPr>
            <w:tcW w:w="1340" w:type="dxa"/>
            <w:vAlign w:val="bottom"/>
            <w:shd w:val="clear" w:color="auto" w:fill="000000"/>
          </w:tcPr>
          <w:p>
            <w:pPr>
              <w:spacing w:after="0" w:line="20" w:lineRule="exact"/>
              <w:rPr>
                <w:sz w:val="1"/>
                <w:szCs w:val="1"/>
                <w:color w:val="auto"/>
              </w:rPr>
            </w:pPr>
          </w:p>
        </w:tc>
        <w:tc>
          <w:tcPr>
            <w:tcW w:w="4600" w:type="dxa"/>
            <w:vAlign w:val="bottom"/>
          </w:tcPr>
          <w:p>
            <w:pPr>
              <w:spacing w:after="0" w:line="20" w:lineRule="exact"/>
              <w:rPr>
                <w:sz w:val="1"/>
                <w:szCs w:val="1"/>
                <w:color w:val="auto"/>
              </w:rPr>
            </w:pPr>
          </w:p>
        </w:tc>
        <w:tc>
          <w:tcPr>
            <w:tcW w:w="266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vMerge w:val="continue"/>
          </w:tcPr>
          <w:p>
            <w:pPr>
              <w:spacing w:after="0"/>
              <w:rPr>
                <w:sz w:val="18"/>
                <w:szCs w:val="18"/>
                <w:color w:val="auto"/>
              </w:rPr>
            </w:pPr>
          </w:p>
        </w:tc>
        <w:tc>
          <w:tcPr>
            <w:tcW w:w="59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Net cash flows provided by operating activities</w:t>
            </w:r>
          </w:p>
        </w:tc>
        <w:tc>
          <w:tcPr>
            <w:tcW w:w="27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w:t>
            </w:r>
          </w:p>
        </w:tc>
        <w:tc>
          <w:tcPr>
            <w:tcW w:w="80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2,306</w:t>
            </w:r>
          </w:p>
        </w:tc>
        <w:tc>
          <w:tcPr>
            <w:tcW w:w="3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1,902</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bl>
    <w:p>
      <w:pPr>
        <w:spacing w:after="0" w:line="154" w:lineRule="exact"/>
        <w:rPr>
          <w:sz w:val="20"/>
          <w:szCs w:val="20"/>
          <w:color w:val="auto"/>
        </w:rPr>
      </w:pPr>
    </w:p>
    <w:p>
      <w:pPr>
        <w:ind w:firstLine="456"/>
        <w:spacing w:after="0" w:line="255" w:lineRule="auto"/>
        <w:rPr>
          <w:sz w:val="20"/>
          <w:szCs w:val="20"/>
          <w:color w:val="auto"/>
        </w:rPr>
      </w:pPr>
      <w:r>
        <w:rPr>
          <w:rFonts w:ascii="Arial" w:cs="Arial" w:eastAsia="Arial" w:hAnsi="Arial"/>
          <w:sz w:val="18"/>
          <w:szCs w:val="18"/>
          <w:color w:val="auto"/>
        </w:rPr>
        <w:t>The increase in cash flows provided by operating activities for the first six months of 2008 as compared with the same period in 2007 is largely driven by the absence of the previously disclosed funding of the EU Fine (approximately $300 million) and the payment of Canadian taxes (approximately $200 million) in the first quarter of 2007. This was partially offset by higher working capital cash requirements in 2008. At Carrier, receivables and inventory increased due to the normal seasonality of the business, while Sikorsky inventory increased in advance of shipments expected in the second half of the year, net of advance payments received.</w:t>
      </w:r>
    </w:p>
    <w:p>
      <w:pPr>
        <w:spacing w:after="0" w:line="143" w:lineRule="exact"/>
        <w:rPr>
          <w:sz w:val="20"/>
          <w:szCs w:val="20"/>
          <w:color w:val="auto"/>
        </w:rPr>
      </w:pPr>
    </w:p>
    <w:p>
      <w:pPr>
        <w:jc w:val="both"/>
        <w:ind w:right="120" w:firstLine="456"/>
        <w:spacing w:after="0" w:line="306" w:lineRule="auto"/>
        <w:rPr>
          <w:sz w:val="20"/>
          <w:szCs w:val="20"/>
          <w:color w:val="auto"/>
        </w:rPr>
      </w:pPr>
      <w:r>
        <w:rPr>
          <w:rFonts w:ascii="Arial" w:cs="Arial" w:eastAsia="Arial" w:hAnsi="Arial"/>
          <w:sz w:val="16"/>
          <w:szCs w:val="16"/>
          <w:color w:val="auto"/>
        </w:rPr>
        <w:t>The funded status of our pension plans is dependent upon many factors, including returns on invested assets and the level of market interest rates. We can contribute cash or company stock to our plans at our discretion. Although we did not make any contributions to our pension plans during the first six months of 2008, we expect to make contributions of up to $250 million to our global pension plans during the year.</w:t>
      </w:r>
    </w:p>
    <w:p>
      <w:pPr>
        <w:spacing w:after="0" w:line="269" w:lineRule="exact"/>
        <w:rPr>
          <w:sz w:val="20"/>
          <w:szCs w:val="20"/>
          <w:color w:val="auto"/>
        </w:rPr>
      </w:pPr>
    </w:p>
    <w:p>
      <w:pPr>
        <w:jc w:val="center"/>
        <w:ind w:right="-79"/>
        <w:spacing w:after="0"/>
        <w:rPr>
          <w:sz w:val="20"/>
          <w:szCs w:val="20"/>
          <w:color w:val="auto"/>
        </w:rPr>
      </w:pPr>
      <w:r>
        <w:rPr>
          <w:rFonts w:ascii="Arial" w:cs="Arial" w:eastAsia="Arial" w:hAnsi="Arial"/>
          <w:sz w:val="18"/>
          <w:szCs w:val="18"/>
          <w:b w:val="1"/>
          <w:bCs w:val="1"/>
          <w:i w:val="1"/>
          <w:iCs w:val="1"/>
          <w:u w:val="single" w:color="auto"/>
          <w:color w:val="auto"/>
        </w:rPr>
        <w:t>Cash Flow from Investing Activities</w:t>
      </w:r>
    </w:p>
    <w:p>
      <w:pPr>
        <w:spacing w:after="0" w:line="207" w:lineRule="exact"/>
        <w:rPr>
          <w:sz w:val="20"/>
          <w:szCs w:val="20"/>
          <w:color w:val="auto"/>
        </w:rPr>
      </w:pPr>
    </w:p>
    <w:tbl>
      <w:tblPr>
        <w:tblLayout w:type="fixed"/>
        <w:tblInd w:w="460" w:type="dxa"/>
        <w:tblCellMar>
          <w:top w:w="0" w:type="dxa"/>
          <w:left w:w="0" w:type="dxa"/>
          <w:bottom w:w="0" w:type="dxa"/>
          <w:right w:w="0" w:type="dxa"/>
        </w:tblCellMar>
      </w:tblPr>
      <w:tr>
        <w:trPr>
          <w:trHeight w:val="161"/>
        </w:trPr>
        <w:tc>
          <w:tcPr>
            <w:tcW w:w="8520" w:type="dxa"/>
            <w:vAlign w:val="bottom"/>
            <w:gridSpan w:val="3"/>
            <w:vMerge w:val="restart"/>
          </w:tcPr>
          <w:p>
            <w:pPr>
              <w:spacing w:after="0"/>
              <w:rPr>
                <w:sz w:val="20"/>
                <w:szCs w:val="20"/>
                <w:color w:val="auto"/>
              </w:rPr>
            </w:pPr>
            <w:r>
              <w:rPr>
                <w:rFonts w:ascii="Arial" w:cs="Arial" w:eastAsia="Arial" w:hAnsi="Arial"/>
                <w:sz w:val="14"/>
                <w:szCs w:val="14"/>
                <w:b w:val="1"/>
                <w:bCs w:val="1"/>
                <w:color w:val="auto"/>
              </w:rPr>
              <w:t>(in millions of dollars)</w:t>
            </w:r>
          </w:p>
        </w:tc>
        <w:tc>
          <w:tcPr>
            <w:tcW w:w="120" w:type="dxa"/>
            <w:vAlign w:val="bottom"/>
          </w:tcPr>
          <w:p>
            <w:pPr>
              <w:spacing w:after="0"/>
              <w:rPr>
                <w:sz w:val="14"/>
                <w:szCs w:val="14"/>
                <w:color w:val="auto"/>
              </w:rPr>
            </w:pPr>
          </w:p>
        </w:tc>
        <w:tc>
          <w:tcPr>
            <w:tcW w:w="1860" w:type="dxa"/>
            <w:vAlign w:val="bottom"/>
            <w:gridSpan w:val="4"/>
          </w:tcPr>
          <w:p>
            <w:pPr>
              <w:jc w:val="right"/>
              <w:ind w:right="240"/>
              <w:spacing w:after="0"/>
              <w:rPr>
                <w:sz w:val="20"/>
                <w:szCs w:val="20"/>
                <w:color w:val="auto"/>
              </w:rPr>
            </w:pPr>
            <w:r>
              <w:rPr>
                <w:rFonts w:ascii="Arial" w:cs="Arial" w:eastAsia="Arial" w:hAnsi="Arial"/>
                <w:sz w:val="14"/>
                <w:szCs w:val="14"/>
                <w:b w:val="1"/>
                <w:bCs w:val="1"/>
                <w:color w:val="auto"/>
                <w:w w:val="88"/>
              </w:rPr>
              <w:t>Six Months Ended June 30,</w:t>
            </w:r>
          </w:p>
        </w:tc>
        <w:tc>
          <w:tcPr>
            <w:tcW w:w="0" w:type="dxa"/>
            <w:vAlign w:val="bottom"/>
          </w:tcPr>
          <w:p>
            <w:pPr>
              <w:spacing w:after="0"/>
              <w:rPr>
                <w:sz w:val="1"/>
                <w:szCs w:val="1"/>
                <w:color w:val="auto"/>
              </w:rPr>
            </w:pPr>
          </w:p>
        </w:tc>
      </w:tr>
      <w:tr>
        <w:trPr>
          <w:trHeight w:val="142"/>
        </w:trPr>
        <w:tc>
          <w:tcPr>
            <w:tcW w:w="8520" w:type="dxa"/>
            <w:vAlign w:val="bottom"/>
            <w:gridSpan w:val="3"/>
            <w:vMerge w:val="continue"/>
          </w:tcPr>
          <w:p>
            <w:pPr>
              <w:spacing w:after="0"/>
              <w:rPr>
                <w:sz w:val="12"/>
                <w:szCs w:val="12"/>
                <w:color w:val="auto"/>
              </w:rPr>
            </w:pPr>
          </w:p>
        </w:tc>
        <w:tc>
          <w:tcPr>
            <w:tcW w:w="120" w:type="dxa"/>
            <w:vAlign w:val="bottom"/>
            <w:tcBorders>
              <w:top w:val="single" w:sz="8" w:color="auto"/>
            </w:tcBorders>
          </w:tcPr>
          <w:p>
            <w:pPr>
              <w:spacing w:after="0"/>
              <w:rPr>
                <w:sz w:val="12"/>
                <w:szCs w:val="12"/>
                <w:color w:val="auto"/>
              </w:rPr>
            </w:pPr>
          </w:p>
        </w:tc>
        <w:tc>
          <w:tcPr>
            <w:tcW w:w="680" w:type="dxa"/>
            <w:vAlign w:val="bottom"/>
            <w:tcBorders>
              <w:top w:val="single" w:sz="8" w:color="auto"/>
            </w:tcBorders>
          </w:tcPr>
          <w:p>
            <w:pPr>
              <w:jc w:val="right"/>
              <w:ind w:right="206"/>
              <w:spacing w:after="0" w:line="142" w:lineRule="exact"/>
              <w:rPr>
                <w:sz w:val="20"/>
                <w:szCs w:val="20"/>
                <w:color w:val="auto"/>
              </w:rPr>
            </w:pPr>
            <w:r>
              <w:rPr>
                <w:rFonts w:ascii="Arial" w:cs="Arial" w:eastAsia="Arial" w:hAnsi="Arial"/>
                <w:sz w:val="14"/>
                <w:szCs w:val="14"/>
                <w:b w:val="1"/>
                <w:bCs w:val="1"/>
                <w:color w:val="auto"/>
              </w:rPr>
              <w:t>2008</w:t>
            </w:r>
          </w:p>
        </w:tc>
        <w:tc>
          <w:tcPr>
            <w:tcW w:w="480" w:type="dxa"/>
            <w:vAlign w:val="bottom"/>
            <w:tcBorders>
              <w:top w:val="single" w:sz="8" w:color="auto"/>
            </w:tcBorders>
          </w:tcPr>
          <w:p>
            <w:pPr>
              <w:spacing w:after="0"/>
              <w:rPr>
                <w:sz w:val="12"/>
                <w:szCs w:val="12"/>
                <w:color w:val="auto"/>
              </w:rPr>
            </w:pPr>
          </w:p>
        </w:tc>
        <w:tc>
          <w:tcPr>
            <w:tcW w:w="640" w:type="dxa"/>
            <w:vAlign w:val="bottom"/>
            <w:tcBorders>
              <w:top w:val="single" w:sz="8" w:color="auto"/>
            </w:tcBorders>
          </w:tcPr>
          <w:p>
            <w:pPr>
              <w:jc w:val="right"/>
              <w:ind w:right="102"/>
              <w:spacing w:after="0" w:line="142" w:lineRule="exact"/>
              <w:rPr>
                <w:sz w:val="20"/>
                <w:szCs w:val="20"/>
                <w:color w:val="auto"/>
              </w:rPr>
            </w:pPr>
            <w:r>
              <w:rPr>
                <w:rFonts w:ascii="Arial" w:cs="Arial" w:eastAsia="Arial" w:hAnsi="Arial"/>
                <w:sz w:val="14"/>
                <w:szCs w:val="14"/>
                <w:b w:val="1"/>
                <w:bCs w:val="1"/>
                <w:color w:val="auto"/>
              </w:rPr>
              <w:t>2007</w:t>
            </w: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0"/>
        </w:trPr>
        <w:tc>
          <w:tcPr>
            <w:tcW w:w="20" w:type="dxa"/>
            <w:vAlign w:val="bottom"/>
            <w:vMerge w:val="restart"/>
          </w:tcPr>
          <w:p>
            <w:pPr>
              <w:spacing w:after="0" w:line="20" w:lineRule="exact"/>
              <w:rPr>
                <w:sz w:val="1"/>
                <w:szCs w:val="1"/>
                <w:color w:val="auto"/>
              </w:rPr>
            </w:pPr>
          </w:p>
        </w:tc>
        <w:tc>
          <w:tcPr>
            <w:tcW w:w="1340" w:type="dxa"/>
            <w:vAlign w:val="bottom"/>
            <w:shd w:val="clear" w:color="auto" w:fill="000000"/>
          </w:tcPr>
          <w:p>
            <w:pPr>
              <w:spacing w:after="0" w:line="20" w:lineRule="exact"/>
              <w:rPr>
                <w:sz w:val="1"/>
                <w:szCs w:val="1"/>
                <w:color w:val="auto"/>
              </w:rPr>
            </w:pPr>
          </w:p>
        </w:tc>
        <w:tc>
          <w:tcPr>
            <w:tcW w:w="716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vMerge w:val="continue"/>
          </w:tcPr>
          <w:p>
            <w:pPr>
              <w:spacing w:after="0"/>
              <w:rPr>
                <w:sz w:val="18"/>
                <w:szCs w:val="18"/>
                <w:color w:val="auto"/>
              </w:rPr>
            </w:pPr>
          </w:p>
        </w:tc>
        <w:tc>
          <w:tcPr>
            <w:tcW w:w="85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Net cash flows used in investing activities</w:t>
            </w:r>
          </w:p>
        </w:tc>
        <w:tc>
          <w:tcPr>
            <w:tcW w:w="12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160" w:type="dxa"/>
            <w:vAlign w:val="bottom"/>
            <w:gridSpan w:val="2"/>
            <w:shd w:val="clear" w:color="auto" w:fill="CCEEFF"/>
          </w:tcPr>
          <w:p>
            <w:pPr>
              <w:jc w:val="right"/>
              <w:ind w:right="420"/>
              <w:spacing w:after="0"/>
              <w:rPr>
                <w:sz w:val="20"/>
                <w:szCs w:val="20"/>
                <w:color w:val="auto"/>
              </w:rPr>
            </w:pPr>
            <w:r>
              <w:rPr>
                <w:rFonts w:ascii="Arial" w:cs="Arial" w:eastAsia="Arial" w:hAnsi="Arial"/>
                <w:sz w:val="18"/>
                <w:szCs w:val="18"/>
                <w:color w:val="auto"/>
              </w:rPr>
              <w:t>(1,231)</w:t>
            </w:r>
          </w:p>
        </w:tc>
        <w:tc>
          <w:tcPr>
            <w:tcW w:w="7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   (537)</w:t>
            </w:r>
          </w:p>
        </w:tc>
        <w:tc>
          <w:tcPr>
            <w:tcW w:w="0" w:type="dxa"/>
            <w:vAlign w:val="bottom"/>
          </w:tcPr>
          <w:p>
            <w:pPr>
              <w:spacing w:after="0"/>
              <w:rPr>
                <w:sz w:val="1"/>
                <w:szCs w:val="1"/>
                <w:color w:val="auto"/>
              </w:rPr>
            </w:pPr>
          </w:p>
        </w:tc>
      </w:tr>
    </w:tbl>
    <w:p>
      <w:pPr>
        <w:spacing w:after="0" w:line="154" w:lineRule="exact"/>
        <w:rPr>
          <w:sz w:val="20"/>
          <w:szCs w:val="20"/>
          <w:color w:val="auto"/>
        </w:rPr>
      </w:pPr>
    </w:p>
    <w:p>
      <w:pPr>
        <w:ind w:firstLine="456"/>
        <w:spacing w:after="0" w:line="287" w:lineRule="auto"/>
        <w:rPr>
          <w:sz w:val="20"/>
          <w:szCs w:val="20"/>
          <w:color w:val="auto"/>
        </w:rPr>
      </w:pPr>
      <w:r>
        <w:rPr>
          <w:rFonts w:ascii="Arial" w:cs="Arial" w:eastAsia="Arial" w:hAnsi="Arial"/>
          <w:sz w:val="16"/>
          <w:szCs w:val="16"/>
          <w:color w:val="auto"/>
        </w:rPr>
        <w:t>The increase in the net use of cash flows in investing activities, as compared to the prior year, is largely a result of the absence of the first quarter 2007 sale of marketable securities of $234 million. Capital expenditures increased $83 million as compared to 2007 as a result of capacity increases at Carrier, Pratt &amp; Whitney and Sikorsky. Customer financing activities was a net use of cash of $92 million for the first six months of 2008, compared to a net use of cash of $23 million for the same period in 2007. While we expect that 2008 customer financing activity will be a net use of funds, actual funding is subject to usage under existing customer financing commitments during the remainder of the year. We may also arrange for third-party investors to assume a portion of our commitments. We had financing and rental commitments of approximately $1,831 million and $1,370 million related to commercial aircraft at June 30, 2008 and December 31, 2007, respectively, of which as much as $835 million may be required to be disbursed during 2008. Acquisition activity in the first six months of 2008 was $546 million and primarily consisted of a number of small purchases in the commercial businesses. We expect total investments in businesses in 2008 to approximate $2 billion, including acquisitions announced during the first six months of 2008; however, actual acquisition spending may vary depending upon the timing and availability of acquisition opportunities including the outstanding proposal, subject to due diligence, to the Board of Directors of Diebold.</w:t>
      </w:r>
    </w:p>
    <w:p>
      <w:pPr>
        <w:spacing w:after="0" w:line="285" w:lineRule="exact"/>
        <w:rPr>
          <w:sz w:val="20"/>
          <w:szCs w:val="20"/>
          <w:color w:val="auto"/>
        </w:rPr>
      </w:pPr>
    </w:p>
    <w:p>
      <w:pPr>
        <w:jc w:val="center"/>
        <w:ind w:right="-79"/>
        <w:spacing w:after="0"/>
        <w:rPr>
          <w:sz w:val="20"/>
          <w:szCs w:val="20"/>
          <w:color w:val="auto"/>
        </w:rPr>
      </w:pPr>
      <w:r>
        <w:rPr>
          <w:rFonts w:ascii="Arial" w:cs="Arial" w:eastAsia="Arial" w:hAnsi="Arial"/>
          <w:sz w:val="18"/>
          <w:szCs w:val="18"/>
          <w:b w:val="1"/>
          <w:bCs w:val="1"/>
          <w:i w:val="1"/>
          <w:iCs w:val="1"/>
          <w:u w:val="single" w:color="auto"/>
          <w:color w:val="auto"/>
        </w:rPr>
        <w:t>Cash Flow from Financing Activities</w:t>
      </w:r>
    </w:p>
    <w:p>
      <w:pPr>
        <w:spacing w:after="0" w:line="207" w:lineRule="exact"/>
        <w:rPr>
          <w:sz w:val="20"/>
          <w:szCs w:val="20"/>
          <w:color w:val="auto"/>
        </w:rPr>
      </w:pPr>
    </w:p>
    <w:tbl>
      <w:tblPr>
        <w:tblLayout w:type="fixed"/>
        <w:tblInd w:w="460" w:type="dxa"/>
        <w:tblCellMar>
          <w:top w:w="0" w:type="dxa"/>
          <w:left w:w="0" w:type="dxa"/>
          <w:bottom w:w="0" w:type="dxa"/>
          <w:right w:w="0" w:type="dxa"/>
        </w:tblCellMar>
      </w:tblPr>
      <w:tr>
        <w:trPr>
          <w:trHeight w:val="161"/>
        </w:trPr>
        <w:tc>
          <w:tcPr>
            <w:tcW w:w="8440" w:type="dxa"/>
            <w:vAlign w:val="bottom"/>
            <w:gridSpan w:val="3"/>
            <w:vMerge w:val="restart"/>
          </w:tcPr>
          <w:p>
            <w:pPr>
              <w:spacing w:after="0"/>
              <w:rPr>
                <w:sz w:val="20"/>
                <w:szCs w:val="20"/>
                <w:color w:val="auto"/>
              </w:rPr>
            </w:pPr>
            <w:r>
              <w:rPr>
                <w:rFonts w:ascii="Arial" w:cs="Arial" w:eastAsia="Arial" w:hAnsi="Arial"/>
                <w:sz w:val="14"/>
                <w:szCs w:val="14"/>
                <w:b w:val="1"/>
                <w:bCs w:val="1"/>
                <w:color w:val="auto"/>
              </w:rPr>
              <w:t>(in millions of dollars)</w:t>
            </w:r>
          </w:p>
        </w:tc>
        <w:tc>
          <w:tcPr>
            <w:tcW w:w="160" w:type="dxa"/>
            <w:vAlign w:val="bottom"/>
          </w:tcPr>
          <w:p>
            <w:pPr>
              <w:spacing w:after="0"/>
              <w:rPr>
                <w:sz w:val="14"/>
                <w:szCs w:val="14"/>
                <w:color w:val="auto"/>
              </w:rPr>
            </w:pPr>
          </w:p>
        </w:tc>
        <w:tc>
          <w:tcPr>
            <w:tcW w:w="1900" w:type="dxa"/>
            <w:vAlign w:val="bottom"/>
            <w:gridSpan w:val="6"/>
          </w:tcPr>
          <w:p>
            <w:pPr>
              <w:ind w:left="60"/>
              <w:spacing w:after="0"/>
              <w:rPr>
                <w:sz w:val="20"/>
                <w:szCs w:val="20"/>
                <w:color w:val="auto"/>
              </w:rPr>
            </w:pPr>
            <w:r>
              <w:rPr>
                <w:rFonts w:ascii="Arial" w:cs="Arial" w:eastAsia="Arial" w:hAnsi="Arial"/>
                <w:sz w:val="14"/>
                <w:szCs w:val="14"/>
                <w:b w:val="1"/>
                <w:bCs w:val="1"/>
                <w:color w:val="auto"/>
              </w:rPr>
              <w:t>Six Months Ended June 30,</w:t>
            </w:r>
          </w:p>
        </w:tc>
        <w:tc>
          <w:tcPr>
            <w:tcW w:w="0" w:type="dxa"/>
            <w:vAlign w:val="bottom"/>
          </w:tcPr>
          <w:p>
            <w:pPr>
              <w:spacing w:after="0"/>
              <w:rPr>
                <w:sz w:val="1"/>
                <w:szCs w:val="1"/>
                <w:color w:val="auto"/>
              </w:rPr>
            </w:pPr>
          </w:p>
        </w:tc>
      </w:tr>
      <w:tr>
        <w:trPr>
          <w:trHeight w:val="142"/>
        </w:trPr>
        <w:tc>
          <w:tcPr>
            <w:tcW w:w="8440" w:type="dxa"/>
            <w:vAlign w:val="bottom"/>
            <w:gridSpan w:val="3"/>
            <w:vMerge w:val="continue"/>
          </w:tcPr>
          <w:p>
            <w:pPr>
              <w:spacing w:after="0"/>
              <w:rPr>
                <w:sz w:val="12"/>
                <w:szCs w:val="12"/>
                <w:color w:val="auto"/>
              </w:rPr>
            </w:pPr>
          </w:p>
        </w:tc>
        <w:tc>
          <w:tcPr>
            <w:tcW w:w="160" w:type="dxa"/>
            <w:vAlign w:val="bottom"/>
            <w:tcBorders>
              <w:top w:val="single" w:sz="8" w:color="auto"/>
            </w:tcBorders>
          </w:tcPr>
          <w:p>
            <w:pPr>
              <w:spacing w:after="0"/>
              <w:rPr>
                <w:sz w:val="12"/>
                <w:szCs w:val="12"/>
                <w:color w:val="auto"/>
              </w:rPr>
            </w:pPr>
          </w:p>
        </w:tc>
        <w:tc>
          <w:tcPr>
            <w:tcW w:w="540" w:type="dxa"/>
            <w:vAlign w:val="bottom"/>
            <w:tcBorders>
              <w:top w:val="single" w:sz="8" w:color="auto"/>
            </w:tcBorders>
          </w:tcPr>
          <w:p>
            <w:pPr>
              <w:ind w:left="60"/>
              <w:spacing w:after="0" w:line="142" w:lineRule="exact"/>
              <w:rPr>
                <w:sz w:val="20"/>
                <w:szCs w:val="20"/>
                <w:color w:val="auto"/>
              </w:rPr>
            </w:pPr>
            <w:r>
              <w:rPr>
                <w:rFonts w:ascii="Arial" w:cs="Arial" w:eastAsia="Arial" w:hAnsi="Arial"/>
                <w:sz w:val="14"/>
                <w:szCs w:val="14"/>
                <w:b w:val="1"/>
                <w:bCs w:val="1"/>
                <w:color w:val="auto"/>
              </w:rPr>
              <w:t>2008</w:t>
            </w:r>
          </w:p>
        </w:tc>
        <w:tc>
          <w:tcPr>
            <w:tcW w:w="320" w:type="dxa"/>
            <w:vAlign w:val="bottom"/>
            <w:tcBorders>
              <w:top w:val="single" w:sz="8" w:color="auto"/>
            </w:tcBorders>
          </w:tcPr>
          <w:p>
            <w:pPr>
              <w:spacing w:after="0"/>
              <w:rPr>
                <w:sz w:val="12"/>
                <w:szCs w:val="12"/>
                <w:color w:val="auto"/>
              </w:rPr>
            </w:pPr>
          </w:p>
        </w:tc>
        <w:tc>
          <w:tcPr>
            <w:tcW w:w="260" w:type="dxa"/>
            <w:vAlign w:val="bottom"/>
            <w:tcBorders>
              <w:top w:val="single" w:sz="8" w:color="auto"/>
            </w:tcBorders>
          </w:tcPr>
          <w:p>
            <w:pPr>
              <w:spacing w:after="0"/>
              <w:rPr>
                <w:sz w:val="12"/>
                <w:szCs w:val="12"/>
                <w:color w:val="auto"/>
              </w:rPr>
            </w:pPr>
          </w:p>
        </w:tc>
        <w:tc>
          <w:tcPr>
            <w:tcW w:w="160" w:type="dxa"/>
            <w:vAlign w:val="bottom"/>
            <w:tcBorders>
              <w:top w:val="single" w:sz="8" w:color="auto"/>
            </w:tcBorders>
          </w:tcPr>
          <w:p>
            <w:pPr>
              <w:spacing w:after="0"/>
              <w:rPr>
                <w:sz w:val="12"/>
                <w:szCs w:val="12"/>
                <w:color w:val="auto"/>
              </w:rPr>
            </w:pPr>
          </w:p>
        </w:tc>
        <w:tc>
          <w:tcPr>
            <w:tcW w:w="560" w:type="dxa"/>
            <w:vAlign w:val="bottom"/>
            <w:tcBorders>
              <w:top w:val="single" w:sz="8" w:color="auto"/>
            </w:tcBorders>
          </w:tcPr>
          <w:p>
            <w:pPr>
              <w:jc w:val="right"/>
              <w:ind w:right="142"/>
              <w:spacing w:after="0" w:line="142" w:lineRule="exact"/>
              <w:rPr>
                <w:sz w:val="20"/>
                <w:szCs w:val="20"/>
                <w:color w:val="auto"/>
              </w:rPr>
            </w:pPr>
            <w:r>
              <w:rPr>
                <w:rFonts w:ascii="Arial" w:cs="Arial" w:eastAsia="Arial" w:hAnsi="Arial"/>
                <w:sz w:val="14"/>
                <w:szCs w:val="14"/>
                <w:b w:val="1"/>
                <w:bCs w:val="1"/>
                <w:color w:val="auto"/>
              </w:rPr>
              <w:t>2007</w:t>
            </w: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0"/>
        </w:trPr>
        <w:tc>
          <w:tcPr>
            <w:tcW w:w="20" w:type="dxa"/>
            <w:vAlign w:val="bottom"/>
            <w:vMerge w:val="restart"/>
          </w:tcPr>
          <w:p>
            <w:pPr>
              <w:spacing w:after="0" w:line="20" w:lineRule="exact"/>
              <w:rPr>
                <w:sz w:val="1"/>
                <w:szCs w:val="1"/>
                <w:color w:val="auto"/>
              </w:rPr>
            </w:pPr>
          </w:p>
        </w:tc>
        <w:tc>
          <w:tcPr>
            <w:tcW w:w="1340" w:type="dxa"/>
            <w:vAlign w:val="bottom"/>
            <w:shd w:val="clear" w:color="auto" w:fill="000000"/>
          </w:tcPr>
          <w:p>
            <w:pPr>
              <w:spacing w:after="0" w:line="20" w:lineRule="exact"/>
              <w:rPr>
                <w:sz w:val="1"/>
                <w:szCs w:val="1"/>
                <w:color w:val="auto"/>
              </w:rPr>
            </w:pPr>
          </w:p>
        </w:tc>
        <w:tc>
          <w:tcPr>
            <w:tcW w:w="708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vMerge w:val="continue"/>
          </w:tcPr>
          <w:p>
            <w:pPr>
              <w:spacing w:after="0"/>
              <w:rPr>
                <w:sz w:val="18"/>
                <w:szCs w:val="18"/>
                <w:color w:val="auto"/>
              </w:rPr>
            </w:pPr>
          </w:p>
        </w:tc>
        <w:tc>
          <w:tcPr>
            <w:tcW w:w="84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Net cash flows used in financing activities</w:t>
            </w: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86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(612)</w:t>
            </w:r>
          </w:p>
        </w:tc>
        <w:tc>
          <w:tcPr>
            <w:tcW w:w="42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w:t>
            </w:r>
          </w:p>
        </w:tc>
        <w:tc>
          <w:tcPr>
            <w:tcW w:w="6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(691)</w:t>
            </w:r>
          </w:p>
        </w:tc>
        <w:tc>
          <w:tcPr>
            <w:tcW w:w="0" w:type="dxa"/>
            <w:vAlign w:val="bottom"/>
          </w:tcPr>
          <w:p>
            <w:pPr>
              <w:spacing w:after="0"/>
              <w:rPr>
                <w:sz w:val="1"/>
                <w:szCs w:val="1"/>
                <w:color w:val="auto"/>
              </w:rPr>
            </w:pPr>
          </w:p>
        </w:tc>
      </w:tr>
    </w:tbl>
    <w:p>
      <w:pPr>
        <w:spacing w:after="0" w:line="154" w:lineRule="exact"/>
        <w:rPr>
          <w:sz w:val="20"/>
          <w:szCs w:val="20"/>
          <w:color w:val="auto"/>
        </w:rPr>
      </w:pPr>
    </w:p>
    <w:p>
      <w:pPr>
        <w:ind w:right="140" w:firstLine="456"/>
        <w:spacing w:after="0" w:line="268" w:lineRule="auto"/>
        <w:rPr>
          <w:sz w:val="20"/>
          <w:szCs w:val="20"/>
          <w:color w:val="auto"/>
        </w:rPr>
      </w:pPr>
      <w:r>
        <w:rPr>
          <w:rFonts w:ascii="Arial" w:cs="Arial" w:eastAsia="Arial" w:hAnsi="Arial"/>
          <w:sz w:val="18"/>
          <w:szCs w:val="18"/>
          <w:color w:val="auto"/>
        </w:rPr>
        <w:t>Commercial paper borrowings provide short-term liquidity to supplement operating cash flows and are used for general corporate purposes as well as the potential funding of certain acquisitions. We had $350 million of commercial paper</w:t>
      </w:r>
    </w:p>
    <w:p>
      <w:pPr>
        <w:spacing w:after="0" w:line="118"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32</w:t>
      </w:r>
    </w:p>
    <w:p>
      <w:pPr>
        <w:sectPr>
          <w:pgSz w:w="11900" w:h="16838" w:orient="portrait"/>
          <w:cols w:equalWidth="0" w:num="1">
            <w:col w:w="11360"/>
          </w:cols>
          <w:pgMar w:left="240" w:top="459" w:right="299" w:bottom="1440" w:gutter="0" w:footer="0" w:header="0"/>
        </w:sectPr>
      </w:pPr>
    </w:p>
    <w:bookmarkStart w:id="32" w:name="page33"/>
    <w:bookmarkEnd w:id="3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60"/>
        <w:spacing w:after="0" w:line="291" w:lineRule="auto"/>
        <w:rPr>
          <w:sz w:val="20"/>
          <w:szCs w:val="20"/>
          <w:color w:val="auto"/>
        </w:rPr>
      </w:pPr>
      <w:r>
        <w:rPr>
          <w:rFonts w:ascii="Arial" w:cs="Arial" w:eastAsia="Arial" w:hAnsi="Arial"/>
          <w:sz w:val="16"/>
          <w:szCs w:val="16"/>
          <w:color w:val="auto"/>
        </w:rPr>
        <w:t>outstanding at June 30, 2008, all of which was scheduled to mature in less than one week. At June 30, 2008, we had credit commitments from banks totaling $2.5 billion. We have a credit commitment of $1.5 billion under a revolving credit agreement that serves as a back-up facility for the issuance of commercial paper. As of June 30, 2008, there were no borrowings under this line of credit, which expires in October 2011. We also have a $1.0 billion multi-currency revolving credit agreement that is to be used for general corporate funding purposes, including acquisitions. As of June 30, 2008, approximately $747 million had been borrowed under this line of credit to fund corporate expenses and acquisitions. This credit agreement expires in November 2011. In May 2008, we issued $1.0 billion of long-term debt which was used for general corporate purposes including repurchases of our stock.</w:t>
      </w:r>
    </w:p>
    <w:p>
      <w:pPr>
        <w:spacing w:after="0" w:line="120" w:lineRule="exact"/>
        <w:rPr>
          <w:sz w:val="20"/>
          <w:szCs w:val="20"/>
          <w:color w:val="auto"/>
        </w:rPr>
      </w:pPr>
    </w:p>
    <w:p>
      <w:pPr>
        <w:ind w:right="80" w:firstLine="456"/>
        <w:spacing w:after="0" w:line="287" w:lineRule="auto"/>
        <w:rPr>
          <w:sz w:val="20"/>
          <w:szCs w:val="20"/>
          <w:color w:val="auto"/>
        </w:rPr>
      </w:pPr>
      <w:r>
        <w:rPr>
          <w:rFonts w:ascii="Arial" w:cs="Arial" w:eastAsia="Arial" w:hAnsi="Arial"/>
          <w:sz w:val="16"/>
          <w:szCs w:val="16"/>
          <w:color w:val="auto"/>
        </w:rPr>
        <w:t>We repurchased $1,567 million of common stock of which $1,520 million was paid for in the first six months of 2008, under a 60 million share repurchase program. On June 11, 2008, the Board of Directors authorized a new 60 million common share repurchase program that replaced the previous program, approved in December 2006, which was nearing completion. Share repurchase in the first six months of 2008 represents approximately 22 million shares, which includes 18 million shares repurchased under the previous program and 4 million shares repurchased under the new program. At June 30, 2008, approximately 56 million shares remain available for repurchase under the new share repurchase program. We expect total share repurchases in 2008 will likely exceed $2 billion and expect the total number of outstanding shares to decrease during the year. However, total repurchases may vary depending upon the level of other investing activities. The share repurchase program continues to be a significant use of our cash flows and, at a minimum, is expected to offset the dilutive effect of the issuance of stock and options under stock-based employee benefit programs. We paid dividends of $0.32 per share in the first quarter of 2008 totaling $293 million and $0.32 per share in the second quarter of 2008 totaling $290 million. On June 11, 2008, the Board of Directors declared a dividend of $0.32 per share payable September 10, 2008.</w:t>
      </w:r>
    </w:p>
    <w:p>
      <w:pPr>
        <w:spacing w:after="0" w:line="123" w:lineRule="exact"/>
        <w:rPr>
          <w:sz w:val="20"/>
          <w:szCs w:val="20"/>
          <w:color w:val="auto"/>
        </w:rPr>
      </w:pPr>
    </w:p>
    <w:p>
      <w:pPr>
        <w:ind w:right="360" w:firstLine="456"/>
        <w:spacing w:after="0" w:line="268" w:lineRule="auto"/>
        <w:rPr>
          <w:sz w:val="20"/>
          <w:szCs w:val="20"/>
          <w:color w:val="auto"/>
        </w:rPr>
      </w:pPr>
      <w:r>
        <w:rPr>
          <w:rFonts w:ascii="Arial" w:cs="Arial" w:eastAsia="Arial" w:hAnsi="Arial"/>
          <w:sz w:val="18"/>
          <w:szCs w:val="18"/>
          <w:color w:val="auto"/>
        </w:rPr>
        <w:t>In July 2007, we filed a universal shelf registration statement with the SEC for an indeterminate amount of securities for future issuance, subject to our internal limitations on the amount of debt to be issued under this shelf registration statement.</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Off-Balance Sheet Arrangements and Contractual Obligations</w:t>
      </w:r>
    </w:p>
    <w:p>
      <w:pPr>
        <w:spacing w:after="0" w:line="96" w:lineRule="exact"/>
        <w:rPr>
          <w:sz w:val="20"/>
          <w:szCs w:val="20"/>
          <w:color w:val="auto"/>
        </w:rPr>
      </w:pPr>
    </w:p>
    <w:p>
      <w:pPr>
        <w:ind w:right="540" w:firstLine="456"/>
        <w:spacing w:after="0" w:line="268" w:lineRule="auto"/>
        <w:rPr>
          <w:sz w:val="20"/>
          <w:szCs w:val="20"/>
          <w:color w:val="auto"/>
        </w:rPr>
      </w:pPr>
      <w:r>
        <w:rPr>
          <w:rFonts w:ascii="Arial" w:cs="Arial" w:eastAsia="Arial" w:hAnsi="Arial"/>
          <w:sz w:val="18"/>
          <w:szCs w:val="18"/>
          <w:color w:val="auto"/>
        </w:rPr>
        <w:t>In our 2007 Form 10-K, we disclosed our off-balance sheet arrangements and contractual obligations. At June 30, 2008, there have been no material changes to these off-balance sheet arrangements outside the ordinary course of business.</w:t>
      </w:r>
    </w:p>
    <w:p>
      <w:pPr>
        <w:spacing w:after="0" w:line="248" w:lineRule="exact"/>
        <w:rPr>
          <w:sz w:val="20"/>
          <w:szCs w:val="20"/>
          <w:color w:val="auto"/>
        </w:rPr>
      </w:pPr>
    </w:p>
    <w:p>
      <w:pPr>
        <w:spacing w:after="0"/>
        <w:tabs>
          <w:tab w:leader="none" w:pos="1020" w:val="left"/>
        </w:tabs>
        <w:rPr>
          <w:sz w:val="20"/>
          <w:szCs w:val="20"/>
          <w:color w:val="auto"/>
        </w:rPr>
      </w:pPr>
      <w:r>
        <w:rPr>
          <w:rFonts w:ascii="Arial" w:cs="Arial" w:eastAsia="Arial" w:hAnsi="Arial"/>
          <w:sz w:val="18"/>
          <w:szCs w:val="18"/>
          <w:b w:val="1"/>
          <w:bCs w:val="1"/>
          <w:color w:val="auto"/>
        </w:rPr>
        <w:t>Item 3.</w:t>
      </w:r>
      <w:r>
        <w:rPr>
          <w:sz w:val="20"/>
          <w:szCs w:val="20"/>
          <w:color w:val="auto"/>
        </w:rPr>
        <w:tab/>
      </w:r>
      <w:r>
        <w:rPr>
          <w:rFonts w:ascii="Arial" w:cs="Arial" w:eastAsia="Arial" w:hAnsi="Arial"/>
          <w:sz w:val="16"/>
          <w:szCs w:val="16"/>
          <w:b w:val="1"/>
          <w:bCs w:val="1"/>
          <w:color w:val="auto"/>
        </w:rPr>
        <w:t>Quantitative and Qualitative Disclosures About Market Risk</w:t>
      </w:r>
    </w:p>
    <w:p>
      <w:pPr>
        <w:spacing w:after="0" w:line="96" w:lineRule="exact"/>
        <w:rPr>
          <w:sz w:val="20"/>
          <w:szCs w:val="20"/>
          <w:color w:val="auto"/>
        </w:rPr>
      </w:pPr>
    </w:p>
    <w:p>
      <w:pPr>
        <w:ind w:right="20" w:firstLine="456"/>
        <w:spacing w:after="0" w:line="268" w:lineRule="auto"/>
        <w:rPr>
          <w:sz w:val="20"/>
          <w:szCs w:val="20"/>
          <w:color w:val="auto"/>
        </w:rPr>
      </w:pPr>
      <w:r>
        <w:rPr>
          <w:rFonts w:ascii="Arial" w:cs="Arial" w:eastAsia="Arial" w:hAnsi="Arial"/>
          <w:sz w:val="18"/>
          <w:szCs w:val="18"/>
          <w:color w:val="auto"/>
        </w:rPr>
        <w:t>There has been no significant change in our exposure to market risk during the first six months of 2008. For discussion of our exposure to market risk, refer to Part II, Item 7A, “Quantitative and Qualitative Disclosures about Market Risk,” contained in our 2007 Form 10-K.</w:t>
      </w:r>
    </w:p>
    <w:p>
      <w:pPr>
        <w:spacing w:after="0" w:line="248" w:lineRule="exact"/>
        <w:rPr>
          <w:sz w:val="20"/>
          <w:szCs w:val="20"/>
          <w:color w:val="auto"/>
        </w:rPr>
      </w:pPr>
    </w:p>
    <w:p>
      <w:pPr>
        <w:spacing w:after="0"/>
        <w:tabs>
          <w:tab w:leader="none" w:pos="1020" w:val="left"/>
        </w:tabs>
        <w:rPr>
          <w:sz w:val="20"/>
          <w:szCs w:val="20"/>
          <w:color w:val="auto"/>
        </w:rPr>
      </w:pPr>
      <w:r>
        <w:rPr>
          <w:rFonts w:ascii="Arial" w:cs="Arial" w:eastAsia="Arial" w:hAnsi="Arial"/>
          <w:sz w:val="18"/>
          <w:szCs w:val="18"/>
          <w:b w:val="1"/>
          <w:bCs w:val="1"/>
          <w:color w:val="auto"/>
        </w:rPr>
        <w:t>Item 4.</w:t>
      </w:r>
      <w:r>
        <w:rPr>
          <w:sz w:val="20"/>
          <w:szCs w:val="20"/>
          <w:color w:val="auto"/>
        </w:rPr>
        <w:tab/>
      </w:r>
      <w:r>
        <w:rPr>
          <w:rFonts w:ascii="Arial" w:cs="Arial" w:eastAsia="Arial" w:hAnsi="Arial"/>
          <w:sz w:val="15"/>
          <w:szCs w:val="15"/>
          <w:b w:val="1"/>
          <w:bCs w:val="1"/>
          <w:color w:val="auto"/>
        </w:rPr>
        <w:t>Controls and Procedures</w:t>
      </w:r>
    </w:p>
    <w:p>
      <w:pPr>
        <w:spacing w:after="0" w:line="96" w:lineRule="exact"/>
        <w:rPr>
          <w:sz w:val="20"/>
          <w:szCs w:val="20"/>
          <w:color w:val="auto"/>
        </w:rPr>
      </w:pPr>
    </w:p>
    <w:p>
      <w:pPr>
        <w:ind w:firstLine="456"/>
        <w:spacing w:after="0" w:line="286" w:lineRule="auto"/>
        <w:rPr>
          <w:sz w:val="20"/>
          <w:szCs w:val="20"/>
          <w:color w:val="auto"/>
        </w:rPr>
      </w:pPr>
      <w:r>
        <w:rPr>
          <w:rFonts w:ascii="Arial" w:cs="Arial" w:eastAsia="Arial" w:hAnsi="Arial"/>
          <w:sz w:val="16"/>
          <w:szCs w:val="16"/>
          <w:color w:val="auto"/>
        </w:rPr>
        <w:t>As required by Rule 13a-15 under the Securities Exchange Act of 1934, we carried out an evaluation under the supervision and with the participation of our management, including the President and Chief Executive Officer, the Vice President, Accounting and Finance, the Vice President, Finance, and the Vice President, Controller, of the effectiveness of the design and operation of our disclosure controls and procedures as of June 30, 2008. There are inherent limitations to the effectiveness of any system of disclosure controls and procedures, including the possibility of human error and the circumvention or overriding of the controls and procedures. Accordingly, even effective disclosure controls and procedures can only provide reasonable assurance of achieving their control objectives. Based upon our evaluation, our President and Chief Executive Officer, our Vice President, Accounting and Finance, our Vice President, Finance, and our Vice President, Controller have concluded that, as of June 30, 2008, our disclosure controls and procedures were effective to provide reasonable assurance that information required to be disclosed in the reports that we file or submit under the Securities Exchange Act of 1934 is recorded, processed, summarized and reported within the time periods specified in the applicable rules and forms, and that it is accumulated and communicated to our management, including our President and Chief Executive Officer, our Vice President, Accounting and Finance, our Vice President, Finance, and our Vice President, Controller, as appropriate, to allow timely decisions regarding required disclosure.</w:t>
      </w:r>
    </w:p>
    <w:p>
      <w:pPr>
        <w:spacing w:after="0" w:line="127" w:lineRule="exact"/>
        <w:rPr>
          <w:sz w:val="20"/>
          <w:szCs w:val="20"/>
          <w:color w:val="auto"/>
        </w:rPr>
      </w:pPr>
    </w:p>
    <w:p>
      <w:pPr>
        <w:ind w:right="720" w:firstLine="456"/>
        <w:spacing w:after="0" w:line="268" w:lineRule="auto"/>
        <w:rPr>
          <w:sz w:val="20"/>
          <w:szCs w:val="20"/>
          <w:color w:val="auto"/>
        </w:rPr>
      </w:pPr>
      <w:r>
        <w:rPr>
          <w:rFonts w:ascii="Arial" w:cs="Arial" w:eastAsia="Arial" w:hAnsi="Arial"/>
          <w:sz w:val="18"/>
          <w:szCs w:val="18"/>
          <w:color w:val="auto"/>
        </w:rPr>
        <w:t>There has been no change in our internal control over financial reporting during the quarter ended June 30, 2008 that has materially affected, or is reasonably likely to materially affect, our internal control over financial reporting.</w:t>
      </w:r>
    </w:p>
    <w:p>
      <w:pPr>
        <w:spacing w:after="0" w:line="288"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CAUTIONARY NOTE CONCERNING FACTORS THAT MAY AFFECT FUTURE RESULTS</w:t>
      </w:r>
    </w:p>
    <w:p>
      <w:pPr>
        <w:spacing w:after="0" w:line="177" w:lineRule="exact"/>
        <w:rPr>
          <w:sz w:val="20"/>
          <w:szCs w:val="20"/>
          <w:color w:val="auto"/>
        </w:rPr>
      </w:pPr>
    </w:p>
    <w:p>
      <w:pPr>
        <w:ind w:right="520" w:firstLine="456"/>
        <w:spacing w:after="0" w:line="259" w:lineRule="auto"/>
        <w:rPr>
          <w:sz w:val="20"/>
          <w:szCs w:val="20"/>
          <w:color w:val="auto"/>
        </w:rPr>
      </w:pPr>
      <w:r>
        <w:rPr>
          <w:rFonts w:ascii="Arial" w:cs="Arial" w:eastAsia="Arial" w:hAnsi="Arial"/>
          <w:sz w:val="18"/>
          <w:szCs w:val="18"/>
          <w:color w:val="auto"/>
        </w:rPr>
        <w:t>This report on Form 10-Q contains statements which, to the extent they are not statements of historical or present fact, constitute “forward-looking statements” under the securities laws. From time to time, oral or written forward-looking statements may also be included in other materials released to the public. These forward-looking statements are intended to</w:t>
      </w:r>
    </w:p>
    <w:p>
      <w:pPr>
        <w:spacing w:after="0" w:line="12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33</w:t>
      </w:r>
    </w:p>
    <w:p>
      <w:pPr>
        <w:sectPr>
          <w:pgSz w:w="11900" w:h="16838" w:orient="portrait"/>
          <w:cols w:equalWidth="0" w:num="1">
            <w:col w:w="11420"/>
          </w:cols>
          <w:pgMar w:left="240" w:top="459" w:right="239" w:bottom="1440" w:gutter="0" w:footer="0" w:header="0"/>
        </w:sectPr>
      </w:pPr>
    </w:p>
    <w:bookmarkStart w:id="33" w:name="page34"/>
    <w:bookmarkEnd w:id="3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120"/>
        <w:spacing w:after="0" w:line="256" w:lineRule="auto"/>
        <w:rPr>
          <w:sz w:val="20"/>
          <w:szCs w:val="20"/>
          <w:color w:val="auto"/>
        </w:rPr>
      </w:pPr>
      <w:r>
        <w:rPr>
          <w:rFonts w:ascii="Arial" w:cs="Arial" w:eastAsia="Arial" w:hAnsi="Arial"/>
          <w:sz w:val="18"/>
          <w:szCs w:val="18"/>
          <w:color w:val="auto"/>
        </w:rPr>
        <w:t>provide management’s current expectations or plans for our future operating and financial performance, based on assumptions currently believed to be valid. Forward-looking statements can be identified by the use of words such as “believe,” “expect,” “plans,” “strategy,” “prospects,” “estimate,” “project,” “target,” “anticipate,” “guidance” and other words of similar meaning in connection with a discussion of future operating or financial performance. These include, among others, statements relating to:</w:t>
      </w:r>
    </w:p>
    <w:p>
      <w:pPr>
        <w:spacing w:after="0" w:line="62" w:lineRule="exact"/>
        <w:rPr>
          <w:sz w:val="20"/>
          <w:szCs w:val="20"/>
          <w:color w:val="auto"/>
        </w:rPr>
      </w:pPr>
    </w:p>
    <w:p>
      <w:pPr>
        <w:ind w:left="460" w:hanging="452"/>
        <w:spacing w:after="0"/>
        <w:tabs>
          <w:tab w:leader="none" w:pos="460" w:val="left"/>
        </w:tabs>
        <w:numPr>
          <w:ilvl w:val="0"/>
          <w:numId w:val="3"/>
        </w:numPr>
        <w:rPr>
          <w:rFonts w:ascii="Arial" w:cs="Arial" w:eastAsia="Arial" w:hAnsi="Arial"/>
          <w:sz w:val="18"/>
          <w:szCs w:val="18"/>
          <w:color w:val="auto"/>
        </w:rPr>
      </w:pPr>
      <w:r>
        <w:rPr>
          <w:rFonts w:ascii="Arial" w:cs="Arial" w:eastAsia="Arial" w:hAnsi="Arial"/>
          <w:sz w:val="18"/>
          <w:szCs w:val="18"/>
          <w:color w:val="auto"/>
        </w:rPr>
        <w:t>future earnings and other measures of financial performance;</w:t>
      </w:r>
    </w:p>
    <w:p>
      <w:pPr>
        <w:spacing w:after="0" w:line="90" w:lineRule="exact"/>
        <w:rPr>
          <w:rFonts w:ascii="Arial" w:cs="Arial" w:eastAsia="Arial" w:hAnsi="Arial"/>
          <w:sz w:val="18"/>
          <w:szCs w:val="18"/>
          <w:color w:val="auto"/>
        </w:rPr>
      </w:pPr>
    </w:p>
    <w:p>
      <w:pPr>
        <w:ind w:left="460" w:hanging="452"/>
        <w:spacing w:after="0"/>
        <w:tabs>
          <w:tab w:leader="none" w:pos="460" w:val="left"/>
        </w:tabs>
        <w:numPr>
          <w:ilvl w:val="0"/>
          <w:numId w:val="3"/>
        </w:numPr>
        <w:rPr>
          <w:rFonts w:ascii="Arial" w:cs="Arial" w:eastAsia="Arial" w:hAnsi="Arial"/>
          <w:sz w:val="18"/>
          <w:szCs w:val="18"/>
          <w:color w:val="auto"/>
        </w:rPr>
      </w:pPr>
      <w:r>
        <w:rPr>
          <w:rFonts w:ascii="Arial" w:cs="Arial" w:eastAsia="Arial" w:hAnsi="Arial"/>
          <w:sz w:val="18"/>
          <w:szCs w:val="18"/>
          <w:color w:val="auto"/>
        </w:rPr>
        <w:t>future cash flow and uses of cash;</w:t>
      </w:r>
    </w:p>
    <w:p>
      <w:pPr>
        <w:spacing w:after="0" w:line="90" w:lineRule="exact"/>
        <w:rPr>
          <w:rFonts w:ascii="Arial" w:cs="Arial" w:eastAsia="Arial" w:hAnsi="Arial"/>
          <w:sz w:val="18"/>
          <w:szCs w:val="18"/>
          <w:color w:val="auto"/>
        </w:rPr>
      </w:pPr>
    </w:p>
    <w:p>
      <w:pPr>
        <w:ind w:left="460" w:hanging="452"/>
        <w:spacing w:after="0"/>
        <w:tabs>
          <w:tab w:leader="none" w:pos="460" w:val="left"/>
        </w:tabs>
        <w:numPr>
          <w:ilvl w:val="0"/>
          <w:numId w:val="3"/>
        </w:numPr>
        <w:rPr>
          <w:rFonts w:ascii="Arial" w:cs="Arial" w:eastAsia="Arial" w:hAnsi="Arial"/>
          <w:sz w:val="18"/>
          <w:szCs w:val="18"/>
          <w:color w:val="auto"/>
        </w:rPr>
      </w:pPr>
      <w:r>
        <w:rPr>
          <w:rFonts w:ascii="Arial" w:cs="Arial" w:eastAsia="Arial" w:hAnsi="Arial"/>
          <w:sz w:val="18"/>
          <w:szCs w:val="18"/>
          <w:color w:val="auto"/>
        </w:rPr>
        <w:t>the effect of economic downturns or growth in particular regions;</w:t>
      </w:r>
    </w:p>
    <w:p>
      <w:pPr>
        <w:spacing w:after="0" w:line="90" w:lineRule="exact"/>
        <w:rPr>
          <w:rFonts w:ascii="Arial" w:cs="Arial" w:eastAsia="Arial" w:hAnsi="Arial"/>
          <w:sz w:val="18"/>
          <w:szCs w:val="18"/>
          <w:color w:val="auto"/>
        </w:rPr>
      </w:pPr>
    </w:p>
    <w:p>
      <w:pPr>
        <w:ind w:left="460" w:hanging="452"/>
        <w:spacing w:after="0"/>
        <w:tabs>
          <w:tab w:leader="none" w:pos="460" w:val="left"/>
        </w:tabs>
        <w:numPr>
          <w:ilvl w:val="0"/>
          <w:numId w:val="3"/>
        </w:numPr>
        <w:rPr>
          <w:rFonts w:ascii="Arial" w:cs="Arial" w:eastAsia="Arial" w:hAnsi="Arial"/>
          <w:sz w:val="18"/>
          <w:szCs w:val="18"/>
          <w:color w:val="auto"/>
        </w:rPr>
      </w:pPr>
      <w:r>
        <w:rPr>
          <w:rFonts w:ascii="Arial" w:cs="Arial" w:eastAsia="Arial" w:hAnsi="Arial"/>
          <w:sz w:val="18"/>
          <w:szCs w:val="18"/>
          <w:color w:val="auto"/>
        </w:rPr>
        <w:t>the effect of changes in the level of activity in particular industries or markets;</w:t>
      </w:r>
    </w:p>
    <w:p>
      <w:pPr>
        <w:spacing w:after="0" w:line="90" w:lineRule="exact"/>
        <w:rPr>
          <w:rFonts w:ascii="Arial" w:cs="Arial" w:eastAsia="Arial" w:hAnsi="Arial"/>
          <w:sz w:val="18"/>
          <w:szCs w:val="18"/>
          <w:color w:val="auto"/>
        </w:rPr>
      </w:pPr>
    </w:p>
    <w:p>
      <w:pPr>
        <w:ind w:left="460" w:right="160" w:hanging="452"/>
        <w:spacing w:after="0" w:line="268" w:lineRule="auto"/>
        <w:tabs>
          <w:tab w:leader="none" w:pos="460" w:val="left"/>
        </w:tabs>
        <w:numPr>
          <w:ilvl w:val="0"/>
          <w:numId w:val="3"/>
        </w:numPr>
        <w:rPr>
          <w:rFonts w:ascii="Arial" w:cs="Arial" w:eastAsia="Arial" w:hAnsi="Arial"/>
          <w:sz w:val="18"/>
          <w:szCs w:val="18"/>
          <w:color w:val="auto"/>
        </w:rPr>
      </w:pPr>
      <w:r>
        <w:rPr>
          <w:rFonts w:ascii="Arial" w:cs="Arial" w:eastAsia="Arial" w:hAnsi="Arial"/>
          <w:sz w:val="18"/>
          <w:szCs w:val="18"/>
          <w:color w:val="auto"/>
        </w:rPr>
        <w:t>the impact on the revenues and operating results of our aerospace businesses as a result of the current challenging economic environment in the aerospace industry;</w:t>
      </w:r>
    </w:p>
    <w:p>
      <w:pPr>
        <w:spacing w:after="0" w:line="50" w:lineRule="exact"/>
        <w:rPr>
          <w:rFonts w:ascii="Arial" w:cs="Arial" w:eastAsia="Arial" w:hAnsi="Arial"/>
          <w:sz w:val="18"/>
          <w:szCs w:val="18"/>
          <w:color w:val="auto"/>
        </w:rPr>
      </w:pPr>
    </w:p>
    <w:p>
      <w:pPr>
        <w:ind w:left="460" w:hanging="452"/>
        <w:spacing w:after="0"/>
        <w:tabs>
          <w:tab w:leader="none" w:pos="460" w:val="left"/>
        </w:tabs>
        <w:numPr>
          <w:ilvl w:val="0"/>
          <w:numId w:val="3"/>
        </w:numPr>
        <w:rPr>
          <w:rFonts w:ascii="Arial" w:cs="Arial" w:eastAsia="Arial" w:hAnsi="Arial"/>
          <w:sz w:val="18"/>
          <w:szCs w:val="18"/>
          <w:color w:val="auto"/>
        </w:rPr>
      </w:pPr>
      <w:r>
        <w:rPr>
          <w:rFonts w:ascii="Arial" w:cs="Arial" w:eastAsia="Arial" w:hAnsi="Arial"/>
          <w:sz w:val="18"/>
          <w:szCs w:val="18"/>
          <w:color w:val="auto"/>
        </w:rPr>
        <w:t>the availability and cost of materials, components, services and supplies;</w:t>
      </w:r>
    </w:p>
    <w:p>
      <w:pPr>
        <w:spacing w:after="0" w:line="90" w:lineRule="exact"/>
        <w:rPr>
          <w:rFonts w:ascii="Arial" w:cs="Arial" w:eastAsia="Arial" w:hAnsi="Arial"/>
          <w:sz w:val="18"/>
          <w:szCs w:val="18"/>
          <w:color w:val="auto"/>
        </w:rPr>
      </w:pPr>
    </w:p>
    <w:p>
      <w:pPr>
        <w:ind w:left="460" w:hanging="452"/>
        <w:spacing w:after="0"/>
        <w:tabs>
          <w:tab w:leader="none" w:pos="460" w:val="left"/>
        </w:tabs>
        <w:numPr>
          <w:ilvl w:val="0"/>
          <w:numId w:val="3"/>
        </w:numPr>
        <w:rPr>
          <w:rFonts w:ascii="Arial" w:cs="Arial" w:eastAsia="Arial" w:hAnsi="Arial"/>
          <w:sz w:val="18"/>
          <w:szCs w:val="18"/>
          <w:color w:val="auto"/>
        </w:rPr>
      </w:pPr>
      <w:r>
        <w:rPr>
          <w:rFonts w:ascii="Arial" w:cs="Arial" w:eastAsia="Arial" w:hAnsi="Arial"/>
          <w:sz w:val="18"/>
          <w:szCs w:val="18"/>
          <w:color w:val="auto"/>
        </w:rPr>
        <w:t>the scope, nature or impact of acquisition activity and integration into our businesses;</w:t>
      </w:r>
    </w:p>
    <w:p>
      <w:pPr>
        <w:spacing w:after="0" w:line="90" w:lineRule="exact"/>
        <w:rPr>
          <w:rFonts w:ascii="Arial" w:cs="Arial" w:eastAsia="Arial" w:hAnsi="Arial"/>
          <w:sz w:val="18"/>
          <w:szCs w:val="18"/>
          <w:color w:val="auto"/>
        </w:rPr>
      </w:pPr>
    </w:p>
    <w:p>
      <w:pPr>
        <w:ind w:left="460" w:hanging="452"/>
        <w:spacing w:after="0"/>
        <w:tabs>
          <w:tab w:leader="none" w:pos="460" w:val="left"/>
        </w:tabs>
        <w:numPr>
          <w:ilvl w:val="0"/>
          <w:numId w:val="3"/>
        </w:numPr>
        <w:rPr>
          <w:rFonts w:ascii="Arial" w:cs="Arial" w:eastAsia="Arial" w:hAnsi="Arial"/>
          <w:sz w:val="18"/>
          <w:szCs w:val="18"/>
          <w:color w:val="auto"/>
        </w:rPr>
      </w:pPr>
      <w:r>
        <w:rPr>
          <w:rFonts w:ascii="Arial" w:cs="Arial" w:eastAsia="Arial" w:hAnsi="Arial"/>
          <w:sz w:val="18"/>
          <w:szCs w:val="18"/>
          <w:color w:val="auto"/>
        </w:rPr>
        <w:t>the development, production and support of advanced technologies and new products and services;</w:t>
      </w:r>
    </w:p>
    <w:p>
      <w:pPr>
        <w:spacing w:after="0" w:line="90" w:lineRule="exact"/>
        <w:rPr>
          <w:rFonts w:ascii="Arial" w:cs="Arial" w:eastAsia="Arial" w:hAnsi="Arial"/>
          <w:sz w:val="18"/>
          <w:szCs w:val="18"/>
          <w:color w:val="auto"/>
        </w:rPr>
      </w:pPr>
    </w:p>
    <w:p>
      <w:pPr>
        <w:ind w:left="460" w:hanging="452"/>
        <w:spacing w:after="0"/>
        <w:tabs>
          <w:tab w:leader="none" w:pos="460" w:val="left"/>
        </w:tabs>
        <w:numPr>
          <w:ilvl w:val="0"/>
          <w:numId w:val="3"/>
        </w:numPr>
        <w:rPr>
          <w:rFonts w:ascii="Arial" w:cs="Arial" w:eastAsia="Arial" w:hAnsi="Arial"/>
          <w:sz w:val="18"/>
          <w:szCs w:val="18"/>
          <w:color w:val="auto"/>
        </w:rPr>
      </w:pPr>
      <w:r>
        <w:rPr>
          <w:rFonts w:ascii="Arial" w:cs="Arial" w:eastAsia="Arial" w:hAnsi="Arial"/>
          <w:sz w:val="18"/>
          <w:szCs w:val="18"/>
          <w:color w:val="auto"/>
        </w:rPr>
        <w:t>new business opportunities;</w:t>
      </w:r>
    </w:p>
    <w:p>
      <w:pPr>
        <w:spacing w:after="0" w:line="90" w:lineRule="exact"/>
        <w:rPr>
          <w:rFonts w:ascii="Arial" w:cs="Arial" w:eastAsia="Arial" w:hAnsi="Arial"/>
          <w:sz w:val="18"/>
          <w:szCs w:val="18"/>
          <w:color w:val="auto"/>
        </w:rPr>
      </w:pPr>
    </w:p>
    <w:p>
      <w:pPr>
        <w:ind w:left="460" w:hanging="452"/>
        <w:spacing w:after="0"/>
        <w:tabs>
          <w:tab w:leader="none" w:pos="460" w:val="left"/>
        </w:tabs>
        <w:numPr>
          <w:ilvl w:val="0"/>
          <w:numId w:val="3"/>
        </w:numPr>
        <w:rPr>
          <w:rFonts w:ascii="Arial" w:cs="Arial" w:eastAsia="Arial" w:hAnsi="Arial"/>
          <w:sz w:val="18"/>
          <w:szCs w:val="18"/>
          <w:color w:val="auto"/>
        </w:rPr>
      </w:pPr>
      <w:r>
        <w:rPr>
          <w:rFonts w:ascii="Arial" w:cs="Arial" w:eastAsia="Arial" w:hAnsi="Arial"/>
          <w:sz w:val="18"/>
          <w:szCs w:val="18"/>
          <w:color w:val="auto"/>
        </w:rPr>
        <w:t>restructuring costs and savings;</w:t>
      </w:r>
    </w:p>
    <w:p>
      <w:pPr>
        <w:spacing w:after="0" w:line="90" w:lineRule="exact"/>
        <w:rPr>
          <w:rFonts w:ascii="Arial" w:cs="Arial" w:eastAsia="Arial" w:hAnsi="Arial"/>
          <w:sz w:val="18"/>
          <w:szCs w:val="18"/>
          <w:color w:val="auto"/>
        </w:rPr>
      </w:pPr>
    </w:p>
    <w:p>
      <w:pPr>
        <w:ind w:left="460" w:hanging="452"/>
        <w:spacing w:after="0"/>
        <w:tabs>
          <w:tab w:leader="none" w:pos="460" w:val="left"/>
        </w:tabs>
        <w:numPr>
          <w:ilvl w:val="0"/>
          <w:numId w:val="3"/>
        </w:numPr>
        <w:rPr>
          <w:rFonts w:ascii="Arial" w:cs="Arial" w:eastAsia="Arial" w:hAnsi="Arial"/>
          <w:sz w:val="18"/>
          <w:szCs w:val="18"/>
          <w:color w:val="auto"/>
        </w:rPr>
      </w:pPr>
      <w:r>
        <w:rPr>
          <w:rFonts w:ascii="Arial" w:cs="Arial" w:eastAsia="Arial" w:hAnsi="Arial"/>
          <w:sz w:val="18"/>
          <w:szCs w:val="18"/>
          <w:color w:val="auto"/>
        </w:rPr>
        <w:t>the effective negotiation of collective bargaining agreements;</w:t>
      </w:r>
    </w:p>
    <w:p>
      <w:pPr>
        <w:spacing w:after="0" w:line="90" w:lineRule="exact"/>
        <w:rPr>
          <w:rFonts w:ascii="Arial" w:cs="Arial" w:eastAsia="Arial" w:hAnsi="Arial"/>
          <w:sz w:val="18"/>
          <w:szCs w:val="18"/>
          <w:color w:val="auto"/>
        </w:rPr>
      </w:pPr>
    </w:p>
    <w:p>
      <w:pPr>
        <w:ind w:left="460" w:hanging="452"/>
        <w:spacing w:after="0"/>
        <w:tabs>
          <w:tab w:leader="none" w:pos="460" w:val="left"/>
        </w:tabs>
        <w:numPr>
          <w:ilvl w:val="0"/>
          <w:numId w:val="3"/>
        </w:numPr>
        <w:rPr>
          <w:rFonts w:ascii="Arial" w:cs="Arial" w:eastAsia="Arial" w:hAnsi="Arial"/>
          <w:sz w:val="18"/>
          <w:szCs w:val="18"/>
          <w:color w:val="auto"/>
        </w:rPr>
      </w:pPr>
      <w:r>
        <w:rPr>
          <w:rFonts w:ascii="Arial" w:cs="Arial" w:eastAsia="Arial" w:hAnsi="Arial"/>
          <w:sz w:val="18"/>
          <w:szCs w:val="18"/>
          <w:color w:val="auto"/>
        </w:rPr>
        <w:t>the outcome of contingencies;</w:t>
      </w:r>
    </w:p>
    <w:p>
      <w:pPr>
        <w:spacing w:after="0" w:line="90" w:lineRule="exact"/>
        <w:rPr>
          <w:rFonts w:ascii="Arial" w:cs="Arial" w:eastAsia="Arial" w:hAnsi="Arial"/>
          <w:sz w:val="18"/>
          <w:szCs w:val="18"/>
          <w:color w:val="auto"/>
        </w:rPr>
      </w:pPr>
    </w:p>
    <w:p>
      <w:pPr>
        <w:ind w:left="460" w:hanging="452"/>
        <w:spacing w:after="0"/>
        <w:tabs>
          <w:tab w:leader="none" w:pos="460" w:val="left"/>
        </w:tabs>
        <w:numPr>
          <w:ilvl w:val="0"/>
          <w:numId w:val="3"/>
        </w:numPr>
        <w:rPr>
          <w:rFonts w:ascii="Arial" w:cs="Arial" w:eastAsia="Arial" w:hAnsi="Arial"/>
          <w:sz w:val="18"/>
          <w:szCs w:val="18"/>
          <w:color w:val="auto"/>
        </w:rPr>
      </w:pPr>
      <w:r>
        <w:rPr>
          <w:rFonts w:ascii="Arial" w:cs="Arial" w:eastAsia="Arial" w:hAnsi="Arial"/>
          <w:sz w:val="18"/>
          <w:szCs w:val="18"/>
          <w:color w:val="auto"/>
        </w:rPr>
        <w:t>future repurchases of common stock;</w:t>
      </w:r>
    </w:p>
    <w:p>
      <w:pPr>
        <w:spacing w:after="0" w:line="90" w:lineRule="exact"/>
        <w:rPr>
          <w:rFonts w:ascii="Arial" w:cs="Arial" w:eastAsia="Arial" w:hAnsi="Arial"/>
          <w:sz w:val="18"/>
          <w:szCs w:val="18"/>
          <w:color w:val="auto"/>
        </w:rPr>
      </w:pPr>
    </w:p>
    <w:p>
      <w:pPr>
        <w:ind w:left="460" w:hanging="452"/>
        <w:spacing w:after="0"/>
        <w:tabs>
          <w:tab w:leader="none" w:pos="460" w:val="left"/>
        </w:tabs>
        <w:numPr>
          <w:ilvl w:val="0"/>
          <w:numId w:val="3"/>
        </w:numPr>
        <w:rPr>
          <w:rFonts w:ascii="Arial" w:cs="Arial" w:eastAsia="Arial" w:hAnsi="Arial"/>
          <w:sz w:val="18"/>
          <w:szCs w:val="18"/>
          <w:color w:val="auto"/>
        </w:rPr>
      </w:pPr>
      <w:r>
        <w:rPr>
          <w:rFonts w:ascii="Arial" w:cs="Arial" w:eastAsia="Arial" w:hAnsi="Arial"/>
          <w:sz w:val="18"/>
          <w:szCs w:val="18"/>
          <w:color w:val="auto"/>
        </w:rPr>
        <w:t>future levels of indebtedness and capital spending; and</w:t>
      </w:r>
    </w:p>
    <w:p>
      <w:pPr>
        <w:spacing w:after="0" w:line="90" w:lineRule="exact"/>
        <w:rPr>
          <w:rFonts w:ascii="Arial" w:cs="Arial" w:eastAsia="Arial" w:hAnsi="Arial"/>
          <w:sz w:val="18"/>
          <w:szCs w:val="18"/>
          <w:color w:val="auto"/>
        </w:rPr>
      </w:pPr>
    </w:p>
    <w:p>
      <w:pPr>
        <w:ind w:left="460" w:hanging="452"/>
        <w:spacing w:after="0"/>
        <w:tabs>
          <w:tab w:leader="none" w:pos="460" w:val="left"/>
        </w:tabs>
        <w:numPr>
          <w:ilvl w:val="0"/>
          <w:numId w:val="3"/>
        </w:numPr>
        <w:rPr>
          <w:rFonts w:ascii="Arial" w:cs="Arial" w:eastAsia="Arial" w:hAnsi="Arial"/>
          <w:sz w:val="18"/>
          <w:szCs w:val="18"/>
          <w:color w:val="auto"/>
        </w:rPr>
      </w:pPr>
      <w:r>
        <w:rPr>
          <w:rFonts w:ascii="Arial" w:cs="Arial" w:eastAsia="Arial" w:hAnsi="Arial"/>
          <w:sz w:val="18"/>
          <w:szCs w:val="18"/>
          <w:color w:val="auto"/>
        </w:rPr>
        <w:t>pension plan assumptions and future contributions.</w:t>
      </w:r>
    </w:p>
    <w:p>
      <w:pPr>
        <w:spacing w:after="0" w:line="171" w:lineRule="exact"/>
        <w:rPr>
          <w:sz w:val="20"/>
          <w:szCs w:val="20"/>
          <w:color w:val="auto"/>
        </w:rPr>
      </w:pPr>
    </w:p>
    <w:p>
      <w:pPr>
        <w:ind w:firstLine="456"/>
        <w:spacing w:after="0" w:line="286" w:lineRule="auto"/>
        <w:rPr>
          <w:sz w:val="20"/>
          <w:szCs w:val="20"/>
          <w:color w:val="auto"/>
        </w:rPr>
      </w:pPr>
      <w:r>
        <w:rPr>
          <w:rFonts w:ascii="Arial" w:cs="Arial" w:eastAsia="Arial" w:hAnsi="Arial"/>
          <w:sz w:val="16"/>
          <w:szCs w:val="16"/>
          <w:color w:val="auto"/>
        </w:rPr>
        <w:t>All forward-looking statements involve risks and uncertainties that may cause actual results to differ materially from those expressed or implied in the forward-looking statements. This Quarterly Report on Form 10-Q includes important information as to factors that may cause actual results to vary materially from those stated in the forward-looking statements. See the “Notes to Condensed Consolidated Financial Statements” under the heading “Contingent Liabilities,” the section titled “Management’s Discussion and Analysis of Financial Condition and Results of Operations” under the headings “Business Overview,” “Critical Accounting Estimates,” “Results of Continuing Operations,” and “Liquidity and Financial Condition” and the section titled “Risk Factors.” Our 2007 Annual Report also includes important information as to these risk factors in the “Business” section under the headings “Description of Business by Segment” and “Other Matters Relating to our Business as a Whole,” and in the “Risk Factors” and “Legal Proceedings” sections. Additional important information as to these factors is included in our 2007 Annual Report in the section titled “Management’s Discussion and Analysis of Financial Condition and Results of Operations” under the headings “Business Overview,” “Critical Accounting Estimates,” “Environmental Matters” and “Restructuring and Other Costs.” For additional information identifying factors that may cause actual results to vary materially from those stated in the forward-looking statements, see our reports on Forms 10-Q and 8-K filed with the SEC from time to time.</w:t>
      </w:r>
    </w:p>
    <w:p>
      <w:pPr>
        <w:spacing w:after="0" w:line="20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Part II – Other Information</w:t>
      </w:r>
    </w:p>
    <w:p>
      <w:pPr>
        <w:spacing w:after="0" w:line="90" w:lineRule="exact"/>
        <w:rPr>
          <w:sz w:val="20"/>
          <w:szCs w:val="20"/>
          <w:color w:val="auto"/>
        </w:rPr>
      </w:pPr>
    </w:p>
    <w:p>
      <w:pPr>
        <w:spacing w:after="0"/>
        <w:tabs>
          <w:tab w:leader="none" w:pos="1020" w:val="left"/>
        </w:tabs>
        <w:rPr>
          <w:sz w:val="20"/>
          <w:szCs w:val="20"/>
          <w:color w:val="auto"/>
        </w:rPr>
      </w:pPr>
      <w:r>
        <w:rPr>
          <w:rFonts w:ascii="Arial" w:cs="Arial" w:eastAsia="Arial" w:hAnsi="Arial"/>
          <w:sz w:val="18"/>
          <w:szCs w:val="18"/>
          <w:b w:val="1"/>
          <w:bCs w:val="1"/>
          <w:color w:val="auto"/>
        </w:rPr>
        <w:t>Item 1.</w:t>
      </w:r>
      <w:r>
        <w:rPr>
          <w:sz w:val="20"/>
          <w:szCs w:val="20"/>
          <w:color w:val="auto"/>
        </w:rPr>
        <w:tab/>
      </w:r>
      <w:r>
        <w:rPr>
          <w:rFonts w:ascii="Arial" w:cs="Arial" w:eastAsia="Arial" w:hAnsi="Arial"/>
          <w:sz w:val="15"/>
          <w:szCs w:val="15"/>
          <w:b w:val="1"/>
          <w:bCs w:val="1"/>
          <w:color w:val="auto"/>
        </w:rPr>
        <w:t>Legal Proceedings.</w:t>
      </w:r>
    </w:p>
    <w:p>
      <w:pPr>
        <w:spacing w:after="0" w:line="96" w:lineRule="exact"/>
        <w:rPr>
          <w:sz w:val="20"/>
          <w:szCs w:val="20"/>
          <w:color w:val="auto"/>
        </w:rPr>
      </w:pPr>
    </w:p>
    <w:p>
      <w:pPr>
        <w:ind w:right="80" w:firstLine="456"/>
        <w:spacing w:after="0" w:line="288" w:lineRule="auto"/>
        <w:rPr>
          <w:sz w:val="20"/>
          <w:szCs w:val="20"/>
          <w:color w:val="auto"/>
        </w:rPr>
      </w:pPr>
      <w:r>
        <w:rPr>
          <w:rFonts w:ascii="Arial" w:cs="Arial" w:eastAsia="Arial" w:hAnsi="Arial"/>
          <w:sz w:val="16"/>
          <w:szCs w:val="16"/>
          <w:color w:val="auto"/>
        </w:rPr>
        <w:t>As previously disclosed, class action consumer complaints have been filed against Carrier in Washington, Minnesota, Michigan, Wisconsin, Ontario and British Columbia. The complaints allege Carrier engaged in deceptive and unfair trade practices by knowingly selling high-efficiency condensing furnaces containing secondary heat exchangers that corrode and fail prematurely, causing residential customers to incur labor costs for repair or replacement that are not covered by Carrier’s warranty. While Carrier denies liability and disputes the claims, Carrier and counsel for the class action plaintiffs have reached a comprehensive agreement to settle these actions. Under the settlement, Carrier agrees to (1) extend the labor warranty on the heat exchangers for current owners of affected furnaces, or provide an optional credit toward the purchase of new equipment, (2) reimburse owners who have already paid for repairs to their heat exchanger, and (3) pay the fees and costs incurred by the plaintiffs. We received final approvals of the settlement from the U.S. court in April 2008 and from the Canadian courts in June 2008 and July 2008. As of June 30, 2008, we have reserves of approximately $15 million for the remaining estimated future costs of this settlement.</w:t>
      </w:r>
    </w:p>
    <w:p>
      <w:pPr>
        <w:spacing w:after="0" w:line="120" w:lineRule="exact"/>
        <w:rPr>
          <w:sz w:val="20"/>
          <w:szCs w:val="20"/>
          <w:color w:val="auto"/>
        </w:rPr>
      </w:pPr>
    </w:p>
    <w:p>
      <w:pPr>
        <w:ind w:right="160" w:firstLine="456"/>
        <w:spacing w:after="0" w:line="268" w:lineRule="auto"/>
        <w:rPr>
          <w:sz w:val="20"/>
          <w:szCs w:val="20"/>
          <w:color w:val="auto"/>
        </w:rPr>
      </w:pPr>
      <w:r>
        <w:rPr>
          <w:rFonts w:ascii="Arial" w:cs="Arial" w:eastAsia="Arial" w:hAnsi="Arial"/>
          <w:sz w:val="18"/>
          <w:szCs w:val="18"/>
          <w:color w:val="auto"/>
        </w:rPr>
        <w:t>Except as noted above, there have been no material developments in legal proceedings. For a description of previously reported legal proceedings refer to Part I, Item 3, “Legal Proceedings,” of our 2007 Form 10-K.</w:t>
      </w:r>
    </w:p>
    <w:p>
      <w:pPr>
        <w:spacing w:after="0" w:line="45" w:lineRule="exact"/>
        <w:rPr>
          <w:sz w:val="20"/>
          <w:szCs w:val="20"/>
          <w:color w:val="auto"/>
        </w:rPr>
      </w:pPr>
    </w:p>
    <w:p>
      <w:pPr>
        <w:spacing w:after="0"/>
        <w:tabs>
          <w:tab w:leader="none" w:pos="1020" w:val="left"/>
        </w:tabs>
        <w:rPr>
          <w:sz w:val="20"/>
          <w:szCs w:val="20"/>
          <w:color w:val="auto"/>
        </w:rPr>
      </w:pPr>
      <w:r>
        <w:rPr>
          <w:rFonts w:ascii="Arial" w:cs="Arial" w:eastAsia="Arial" w:hAnsi="Arial"/>
          <w:sz w:val="18"/>
          <w:szCs w:val="18"/>
          <w:b w:val="1"/>
          <w:bCs w:val="1"/>
          <w:color w:val="auto"/>
        </w:rPr>
        <w:t>Item 1A.</w:t>
      </w:r>
      <w:r>
        <w:rPr>
          <w:sz w:val="20"/>
          <w:szCs w:val="20"/>
          <w:color w:val="auto"/>
        </w:rPr>
        <w:tab/>
      </w:r>
      <w:r>
        <w:rPr>
          <w:rFonts w:ascii="Arial" w:cs="Arial" w:eastAsia="Arial" w:hAnsi="Arial"/>
          <w:sz w:val="15"/>
          <w:szCs w:val="15"/>
          <w:b w:val="1"/>
          <w:bCs w:val="1"/>
          <w:color w:val="auto"/>
        </w:rPr>
        <w:t>Risk Factors</w:t>
      </w:r>
    </w:p>
    <w:p>
      <w:pPr>
        <w:spacing w:after="0" w:line="96" w:lineRule="exact"/>
        <w:rPr>
          <w:sz w:val="20"/>
          <w:szCs w:val="20"/>
          <w:color w:val="auto"/>
        </w:rPr>
      </w:pPr>
    </w:p>
    <w:p>
      <w:pPr>
        <w:ind w:right="60" w:firstLine="456"/>
        <w:spacing w:after="0" w:line="290" w:lineRule="auto"/>
        <w:rPr>
          <w:sz w:val="20"/>
          <w:szCs w:val="20"/>
          <w:color w:val="auto"/>
        </w:rPr>
      </w:pPr>
      <w:r>
        <w:rPr>
          <w:rFonts w:ascii="Arial" w:cs="Arial" w:eastAsia="Arial" w:hAnsi="Arial"/>
          <w:sz w:val="16"/>
          <w:szCs w:val="16"/>
          <w:color w:val="auto"/>
        </w:rPr>
        <w:t>Our business, financial condition, operating results and cash flows can be impacted by a number of factors, including, but not limited to, those set forth below, any one of which could cause our actual results to vary materially from recent results or from our anticipated future results. For a discussion identifying additional risk factors and important factors that could cause actual results to differ materially from those anticipated, see the discussion in the “Business” section under the headings “Other Matters Relating to Our Business as a Whole” and “Cautionary Note Concerning Factors That May Affect Future Results” in our 2007 Form 10-K, in “Management’s Discussion and Analysis of Financial Condition and Results of Operations” and “Notes to Consolidated Financial Statements” in our 2007 Annual Report, and in “Management’s Discussion and Analysis of Financial Condition and Results of Operations” and “Notes to Condensed Consolidated Financial Statements” in this Form 10-Q.</w:t>
      </w:r>
    </w:p>
    <w:p>
      <w:pPr>
        <w:sectPr>
          <w:pgSz w:w="11900" w:h="16838" w:orient="portrait"/>
          <w:cols w:equalWidth="0" w:num="1">
            <w:col w:w="11420"/>
          </w:cols>
          <w:pgMar w:left="240" w:top="459" w:right="239" w:bottom="1440" w:gutter="0" w:footer="0" w:header="0"/>
        </w:sectPr>
      </w:pPr>
    </w:p>
    <w:p>
      <w:pPr>
        <w:spacing w:after="0" w:line="105"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34</w:t>
      </w:r>
    </w:p>
    <w:p>
      <w:pPr>
        <w:sectPr>
          <w:pgSz w:w="11900" w:h="16838" w:orient="portrait"/>
          <w:cols w:equalWidth="0" w:num="1">
            <w:col w:w="11420"/>
          </w:cols>
          <w:pgMar w:left="240" w:top="459" w:right="239" w:bottom="1440" w:gutter="0" w:footer="0" w:header="0"/>
          <w:type w:val="continuous"/>
        </w:sectPr>
      </w:pPr>
    </w:p>
    <w:bookmarkStart w:id="34" w:name="page35"/>
    <w:bookmarkEnd w:id="3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Our Financial Performance Is Dependent on the Conditions of the Aerospace and Construction Industries</w:t>
      </w:r>
    </w:p>
    <w:p>
      <w:pPr>
        <w:spacing w:after="0" w:line="90" w:lineRule="exact"/>
        <w:rPr>
          <w:sz w:val="20"/>
          <w:szCs w:val="20"/>
          <w:color w:val="auto"/>
        </w:rPr>
      </w:pPr>
    </w:p>
    <w:p>
      <w:pPr>
        <w:ind w:firstLine="456"/>
        <w:spacing w:after="0" w:line="284" w:lineRule="auto"/>
        <w:rPr>
          <w:sz w:val="20"/>
          <w:szCs w:val="20"/>
          <w:color w:val="auto"/>
        </w:rPr>
      </w:pPr>
      <w:r>
        <w:rPr>
          <w:rFonts w:ascii="Arial" w:cs="Arial" w:eastAsia="Arial" w:hAnsi="Arial"/>
          <w:sz w:val="16"/>
          <w:szCs w:val="16"/>
          <w:color w:val="auto"/>
        </w:rPr>
        <w:t>The results of our commercial and military aerospace businesses, which generated 37 percent of our consolidated revenues in 2007, are directly tied to the economic conditions in the commercial aviation and defense industries, which are cyclical in nature. The challenging operating environment currently faced by commercial airlines is expected to continue. As a result, capital spending by commercial airlines and aircraft manufacturers may be influenced by a wide variety of factors, including current and predicted traffic levels, load factors, aircraft fuel pricing, labor issues, worldwide airline profits, airline consolidation, airline insolvencies, competition, the retirement of older aircraft, regulatory changes, terrorism and related safety concerns, general economic conditions, corporate profitability, and backlog levels, all of which could reduce both the demand for air travel and the aftermarket sales and margins of our aerospace businesses. Future terrorist actions or pandemic health issues could dramatically reduce both the demand for air travel and our aerospace businesses aftermarket sales and margins. Also, since a substantial portion of the backlog for commercial aerospace customers is scheduled for delivery beyond 2008, changes in economic conditions may cause customers to request that firm orders be rescheduled or canceled. At times, our aerospace businesses also enter into firm, fixed-price development contracts, which may require us to bear cost overruns related to unforeseen technical and design challenges that arise during the development stage of the program. In addition, our aerospace businesses face intense competition from domestic and foreign manufacturers of new equipment and spare parts. The defense industry is also affected by a changing global political environment, continued pressure on U.S. and global defense spending and U.S. foreign policy and the level of activity in military flight operations. Spare parts sales and aftermarket service trends are affected by similar factors, including usage, pricing, regulatory changes, the retirement of older aircraft and technological improvements to new engines that increase reliability. Furthermore, because of the lengthy research and development cycle involved in bringing products in these business segments to market, we cannot predict the economic conditions that will exist when any new product is complete. A reduction in capital spending in the commercial aviation or defense industries could have a significant effect on the demand for our products, which could have an adverse effect on our financial performance or results of operations. The results of our commercial and industrial businesses, which generated 63 percent of our revenues in 2007, are influenced by a number of external factors, including fluctuations in residential and commercial construction activity, interest rates, labor costs, foreign currency exchange rates, customer attrition, raw material and energy costs, the tightening of the U.S. credit markets and other global and political factors. In addition to these factors, Carrier’s financial performance can also be influenced by production and utilization of transport equipment and, in its residential business, weather conditions.</w:t>
      </w:r>
    </w:p>
    <w:p>
      <w:pPr>
        <w:spacing w:after="0" w:line="20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Our Business May Be Affected by Government Contracting Risks</w:t>
      </w:r>
    </w:p>
    <w:p>
      <w:pPr>
        <w:spacing w:after="0" w:line="90" w:lineRule="exact"/>
        <w:rPr>
          <w:sz w:val="20"/>
          <w:szCs w:val="20"/>
          <w:color w:val="auto"/>
        </w:rPr>
      </w:pPr>
    </w:p>
    <w:p>
      <w:pPr>
        <w:ind w:right="20" w:firstLine="456"/>
        <w:spacing w:after="0" w:line="287" w:lineRule="auto"/>
        <w:rPr>
          <w:sz w:val="20"/>
          <w:szCs w:val="20"/>
          <w:color w:val="auto"/>
        </w:rPr>
      </w:pPr>
      <w:r>
        <w:rPr>
          <w:rFonts w:ascii="Arial" w:cs="Arial" w:eastAsia="Arial" w:hAnsi="Arial"/>
          <w:sz w:val="16"/>
          <w:szCs w:val="16"/>
          <w:color w:val="auto"/>
        </w:rPr>
        <w:t>U.S. government contracts are subject to termination by the government, either for the convenience of the government or for default as a result of our failure to perform under the applicable contract. If terminated by the government as a result of our default, we could be liable for additional costs the government incurs in acquiring undelivered goods or services from another source and any other damages it suffers. We are now, and believe that in light of the current U.S. government contracting environment we will continue to be, the subject of one or more U.S. government investigations. If we or one of our business units were charged with wrongdoing as a result of any U.S. government investigation (including violation of certain environmental or export laws), the U.S. government could suspend us from bidding on or receiving awards of new U.S. government contracts pending the completion of legal proceedings. If convicted or found liable, the U.S. government could subject us to fines, penalties, repayments and treble and other damages. The U.S. government could void any contracts found to be tainted by fraud. The U.S. government also reserves the right to debar a contractor from receiving new government contracts for fraudulent, criminal or other seriously improper conduct. Debarment generally does not exceed three years. Independently, failure to comply with U.S. laws and regulations related to the export of goods and technology outside the United States could result in civil or criminal penalties and suspension or termination of our export privileges.</w:t>
      </w:r>
    </w:p>
    <w:p>
      <w:pPr>
        <w:spacing w:after="0" w:line="123" w:lineRule="exact"/>
        <w:rPr>
          <w:sz w:val="20"/>
          <w:szCs w:val="20"/>
          <w:color w:val="auto"/>
        </w:rPr>
      </w:pPr>
    </w:p>
    <w:p>
      <w:pPr>
        <w:ind w:right="200"/>
        <w:spacing w:after="0" w:line="268" w:lineRule="auto"/>
        <w:rPr>
          <w:sz w:val="20"/>
          <w:szCs w:val="20"/>
          <w:color w:val="auto"/>
        </w:rPr>
      </w:pPr>
      <w:r>
        <w:rPr>
          <w:rFonts w:ascii="Arial" w:cs="Arial" w:eastAsia="Arial" w:hAnsi="Arial"/>
          <w:sz w:val="18"/>
          <w:szCs w:val="18"/>
          <w:b w:val="1"/>
          <w:bCs w:val="1"/>
          <w:i w:val="1"/>
          <w:iCs w:val="1"/>
          <w:color w:val="auto"/>
        </w:rPr>
        <w:t>Our International Operations Subject Us to Economic Risk As Our Results of Operations May Be Adversely Affected by Changes in Economic Conditions, Foreign Currency Fluctuations and Changes in Local Government Regulation</w:t>
      </w:r>
    </w:p>
    <w:p>
      <w:pPr>
        <w:spacing w:after="0" w:line="51" w:lineRule="exact"/>
        <w:rPr>
          <w:sz w:val="20"/>
          <w:szCs w:val="20"/>
          <w:color w:val="auto"/>
        </w:rPr>
      </w:pPr>
    </w:p>
    <w:p>
      <w:pPr>
        <w:ind w:right="20" w:firstLine="456"/>
        <w:spacing w:after="0" w:line="290" w:lineRule="auto"/>
        <w:rPr>
          <w:sz w:val="20"/>
          <w:szCs w:val="20"/>
          <w:color w:val="auto"/>
        </w:rPr>
      </w:pPr>
      <w:r>
        <w:rPr>
          <w:rFonts w:ascii="Arial" w:cs="Arial" w:eastAsia="Arial" w:hAnsi="Arial"/>
          <w:sz w:val="16"/>
          <w:szCs w:val="16"/>
          <w:color w:val="auto"/>
        </w:rPr>
        <w:t>We conduct our business on a global basis, with 62 percent of our total 2007 segment revenues derived from operations outside of the United States and from U.S. export sales. Changes in local and regional economic conditions, including fluctuations in exchange rates, may affect product demand in our non-U.S. operations and export markets. Foreign currency fluctuations can also affect reported profits of our non-U.S. operations (primarily the commercial businesses) where transactions are generally denominated in local currencies. In addition, currency fluctuations may affect the prices we pay suppliers for materials used in our products. Our financial statements are denominated in U.S. dollars. Accordingly, fluctuations in exchange rates may give rise to translation gains or losses when financial statements of non-U.S. operating units are translated into U.S. dollars. Given that the majority of our revenues are non-U.S. based, a strengthening of the U.S. dollar against other major foreign currencies could adversely affect our results of operations.</w:t>
      </w:r>
    </w:p>
    <w:p>
      <w:pPr>
        <w:spacing w:after="0" w:line="118" w:lineRule="exact"/>
        <w:rPr>
          <w:sz w:val="20"/>
          <w:szCs w:val="20"/>
          <w:color w:val="auto"/>
        </w:rPr>
      </w:pPr>
    </w:p>
    <w:p>
      <w:pPr>
        <w:ind w:right="200" w:firstLine="456"/>
        <w:spacing w:after="0" w:line="268" w:lineRule="auto"/>
        <w:rPr>
          <w:sz w:val="20"/>
          <w:szCs w:val="20"/>
          <w:color w:val="auto"/>
        </w:rPr>
      </w:pPr>
      <w:r>
        <w:rPr>
          <w:rFonts w:ascii="Arial" w:cs="Arial" w:eastAsia="Arial" w:hAnsi="Arial"/>
          <w:sz w:val="18"/>
          <w:szCs w:val="18"/>
          <w:color w:val="auto"/>
        </w:rPr>
        <w:t>The majority of sales in the aerospace businesses is transacted in U.S. dollars, consistent with established industry practice, while the majority of costs at locations outside the United States is incurred in the applicable local currency</w:t>
      </w:r>
    </w:p>
    <w:p>
      <w:pPr>
        <w:spacing w:after="0" w:line="118"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35</w:t>
      </w:r>
    </w:p>
    <w:p>
      <w:pPr>
        <w:sectPr>
          <w:pgSz w:w="11900" w:h="16838" w:orient="portrait"/>
          <w:cols w:equalWidth="0" w:num="1">
            <w:col w:w="11400"/>
          </w:cols>
          <w:pgMar w:left="240" w:top="459" w:right="259" w:bottom="1440" w:gutter="0" w:footer="0" w:header="0"/>
        </w:sectPr>
      </w:pPr>
    </w:p>
    <w:bookmarkStart w:id="35" w:name="page36"/>
    <w:bookmarkEnd w:id="3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jc w:val="both"/>
        <w:spacing w:after="0" w:line="298" w:lineRule="auto"/>
        <w:rPr>
          <w:sz w:val="20"/>
          <w:szCs w:val="20"/>
          <w:color w:val="auto"/>
        </w:rPr>
      </w:pPr>
      <w:r>
        <w:rPr>
          <w:rFonts w:ascii="Arial" w:cs="Arial" w:eastAsia="Arial" w:hAnsi="Arial"/>
          <w:sz w:val="16"/>
          <w:szCs w:val="16"/>
          <w:color w:val="auto"/>
        </w:rPr>
        <w:t>(principally the Euro and the Canadian dollar). For operating units with U.S. dollar sales and local currency costs, there is a foreign currency exposure that could impact our results of operations depending on market changes in the exchange rate of the U.S. dollar against the applicable foreign currencies. To manage certain exposures, we employ long-term hedging strategies associated with U.S. dollar revenues. See Note 1 to the Consolidated Financial Statements in our 2007 Annual Report and Note 8 to the Condensed Consolidated Financial Statements in this Form 10-Q for a discussion of our hedging strategies.</w:t>
      </w:r>
    </w:p>
    <w:p>
      <w:pPr>
        <w:spacing w:after="0" w:line="113" w:lineRule="exact"/>
        <w:rPr>
          <w:sz w:val="20"/>
          <w:szCs w:val="20"/>
          <w:color w:val="auto"/>
        </w:rPr>
      </w:pPr>
    </w:p>
    <w:p>
      <w:pPr>
        <w:ind w:right="40" w:firstLine="456"/>
        <w:spacing w:after="0" w:line="289" w:lineRule="auto"/>
        <w:rPr>
          <w:sz w:val="20"/>
          <w:szCs w:val="20"/>
          <w:color w:val="auto"/>
        </w:rPr>
      </w:pPr>
      <w:r>
        <w:rPr>
          <w:rFonts w:ascii="Arial" w:cs="Arial" w:eastAsia="Arial" w:hAnsi="Arial"/>
          <w:sz w:val="16"/>
          <w:szCs w:val="16"/>
          <w:color w:val="auto"/>
        </w:rPr>
        <w:t>Our international sales and operations are subject to risks associated with changes in local government laws, regulations and policies, including those related to tariffs and trade barriers, investments, taxation, exchange controls, employment regulations, and repatriation of earnings. Our international sales and operations are also sensitive to changes in foreign national priorities, including government budgets, as well as to political and economic instability. International transactions may involve increased financial and legal risks due to differing legal systems and customs in foreign countries. For example, as a condition of sale or award of a contract, some international customers require us to agree to offset arrangements, which may include in-country purchases, manufacturing and financial support arrangements. The contract may provide for penalties in the event we fail to perform in accordance with the offset requirements. In addition, as part of our globalization strategy, we have invested in certain countries, including Argentina, Brazil, China, India, Russia and South Africa, that carry high levels of currency, political and economic risk.</w:t>
      </w:r>
    </w:p>
    <w:p>
      <w:pPr>
        <w:spacing w:after="0" w:line="118" w:lineRule="exact"/>
        <w:rPr>
          <w:sz w:val="20"/>
          <w:szCs w:val="20"/>
          <w:color w:val="auto"/>
        </w:rPr>
      </w:pPr>
    </w:p>
    <w:p>
      <w:pPr>
        <w:ind w:right="20" w:firstLine="456"/>
        <w:spacing w:after="0" w:line="268" w:lineRule="auto"/>
        <w:rPr>
          <w:sz w:val="20"/>
          <w:szCs w:val="20"/>
          <w:color w:val="auto"/>
        </w:rPr>
      </w:pPr>
      <w:r>
        <w:rPr>
          <w:rFonts w:ascii="Arial" w:cs="Arial" w:eastAsia="Arial" w:hAnsi="Arial"/>
          <w:sz w:val="18"/>
          <w:szCs w:val="18"/>
          <w:color w:val="auto"/>
        </w:rPr>
        <w:t>While these factors or the impact of these factors are difficult to predict, any one or more of them could adversely affect our business, financial condition or operating results.</w:t>
      </w:r>
    </w:p>
    <w:p>
      <w:pPr>
        <w:spacing w:after="0" w:line="132" w:lineRule="exact"/>
        <w:rPr>
          <w:sz w:val="20"/>
          <w:szCs w:val="20"/>
          <w:color w:val="auto"/>
        </w:rPr>
      </w:pPr>
    </w:p>
    <w:p>
      <w:pPr>
        <w:spacing w:after="0" w:line="259" w:lineRule="auto"/>
        <w:rPr>
          <w:sz w:val="20"/>
          <w:szCs w:val="20"/>
          <w:color w:val="auto"/>
        </w:rPr>
      </w:pPr>
      <w:r>
        <w:rPr>
          <w:rFonts w:ascii="Arial" w:cs="Arial" w:eastAsia="Arial" w:hAnsi="Arial"/>
          <w:sz w:val="18"/>
          <w:szCs w:val="18"/>
          <w:b w:val="1"/>
          <w:bCs w:val="1"/>
          <w:i w:val="1"/>
          <w:iCs w:val="1"/>
          <w:color w:val="auto"/>
        </w:rPr>
        <w:t>We Use a Variety of Raw Materials, Supplier Provided Parts, Components, Sub-Systems and Third Party Contract Manufacturing Services in Our Businesses, and Significant Shortages, Supplier Capacity Constraints, Supplier Production Disruptions or Price Increases Could Increase Our Operating Costs and Adversely Impact the Competitive Positions of Our Products</w:t>
      </w:r>
    </w:p>
    <w:p>
      <w:pPr>
        <w:spacing w:after="0" w:line="59" w:lineRule="exact"/>
        <w:rPr>
          <w:sz w:val="20"/>
          <w:szCs w:val="20"/>
          <w:color w:val="auto"/>
        </w:rPr>
      </w:pPr>
    </w:p>
    <w:p>
      <w:pPr>
        <w:ind w:right="100" w:firstLine="456"/>
        <w:spacing w:after="0" w:line="289" w:lineRule="auto"/>
        <w:rPr>
          <w:sz w:val="20"/>
          <w:szCs w:val="20"/>
          <w:color w:val="auto"/>
        </w:rPr>
      </w:pPr>
      <w:r>
        <w:rPr>
          <w:rFonts w:ascii="Arial" w:cs="Arial" w:eastAsia="Arial" w:hAnsi="Arial"/>
          <w:sz w:val="16"/>
          <w:szCs w:val="16"/>
          <w:color w:val="auto"/>
        </w:rPr>
        <w:t>Our reliance on suppliers, third party contract manufacturing and commodity markets to secure raw materials, parts, components and sub-systems used in our products exposes us to volatility in the prices and availability of these materials. In some instances, we depend upon a single source of supply, manufacturing or assembly or participate in commodity markets that may be subject to allocations by suppliers. A disruption in deliveries from our suppliers or third party contract manufacturers, supplier capacity constraints, supplier and third party contract manufacturer production disruptions, price increases, or decreased availability of raw materials or commodities, could have an adverse effect on our ability to meet our commitments to customers or increase our operating costs. We believe that our supply management and production practices are based on an appropriate balancing of the foreseeable risks and the costs of alternative practices. Nonetheless, price increases, supplier capacity constraints, supplier production disruptions or the unavailability of some raw materials may have an adverse effect on our results of operations or financial condition.</w:t>
      </w:r>
    </w:p>
    <w:p>
      <w:pPr>
        <w:spacing w:after="0" w:line="118" w:lineRule="exact"/>
        <w:rPr>
          <w:sz w:val="20"/>
          <w:szCs w:val="20"/>
          <w:color w:val="auto"/>
        </w:rPr>
      </w:pPr>
    </w:p>
    <w:p>
      <w:pPr>
        <w:ind w:right="140"/>
        <w:spacing w:after="0" w:line="268" w:lineRule="auto"/>
        <w:rPr>
          <w:sz w:val="20"/>
          <w:szCs w:val="20"/>
          <w:color w:val="auto"/>
        </w:rPr>
      </w:pPr>
      <w:r>
        <w:rPr>
          <w:rFonts w:ascii="Arial" w:cs="Arial" w:eastAsia="Arial" w:hAnsi="Arial"/>
          <w:sz w:val="18"/>
          <w:szCs w:val="18"/>
          <w:b w:val="1"/>
          <w:bCs w:val="1"/>
          <w:i w:val="1"/>
          <w:iCs w:val="1"/>
          <w:color w:val="auto"/>
        </w:rPr>
        <w:t>We Engage in Acquisitions, and May Encounter Difficulties Integrating Acquired Businesses with Our Current Operations; Therefore, We May Not Realize the Anticipated Benefits of the Acquisitions</w:t>
      </w:r>
    </w:p>
    <w:p>
      <w:pPr>
        <w:spacing w:after="0" w:line="132" w:lineRule="exact"/>
        <w:rPr>
          <w:sz w:val="20"/>
          <w:szCs w:val="20"/>
          <w:color w:val="auto"/>
        </w:rPr>
      </w:pPr>
    </w:p>
    <w:p>
      <w:pPr>
        <w:ind w:right="180" w:firstLine="456"/>
        <w:spacing w:after="0" w:line="254" w:lineRule="auto"/>
        <w:rPr>
          <w:sz w:val="20"/>
          <w:szCs w:val="20"/>
          <w:color w:val="auto"/>
        </w:rPr>
      </w:pPr>
      <w:r>
        <w:rPr>
          <w:rFonts w:ascii="Arial" w:cs="Arial" w:eastAsia="Arial" w:hAnsi="Arial"/>
          <w:sz w:val="18"/>
          <w:szCs w:val="18"/>
          <w:color w:val="auto"/>
        </w:rPr>
        <w:t>We seek to grow through strategic acquisitions. In the past several years, we have made various acquisitions and entered into joint venture arrangements intended to complement and expand our businesses, and may continue to do so in the future. The success of these transactions will depend on our ability to integrate assets and personnel acquired in these transactions, apply our internal controls processes to these acquired businesses, and cooperate with our strategic partners. We may encounter difficulties in integrating acquisitions with our operations, and in managing strategic investments. Furthermore, we may not realize the degree or timing of benefits we anticipate when we first enter into a transaction. Any of the foregoing could adversely affect our business and results of operations.</w:t>
      </w:r>
    </w:p>
    <w:p>
      <w:pPr>
        <w:spacing w:after="0" w:line="144" w:lineRule="exact"/>
        <w:rPr>
          <w:sz w:val="20"/>
          <w:szCs w:val="20"/>
          <w:color w:val="auto"/>
        </w:rPr>
      </w:pPr>
    </w:p>
    <w:p>
      <w:pPr>
        <w:ind w:right="60"/>
        <w:spacing w:after="0" w:line="268" w:lineRule="auto"/>
        <w:rPr>
          <w:sz w:val="20"/>
          <w:szCs w:val="20"/>
          <w:color w:val="auto"/>
        </w:rPr>
      </w:pPr>
      <w:r>
        <w:rPr>
          <w:rFonts w:ascii="Arial" w:cs="Arial" w:eastAsia="Arial" w:hAnsi="Arial"/>
          <w:sz w:val="18"/>
          <w:szCs w:val="18"/>
          <w:b w:val="1"/>
          <w:bCs w:val="1"/>
          <w:i w:val="1"/>
          <w:iCs w:val="1"/>
          <w:color w:val="auto"/>
        </w:rPr>
        <w:t>We Design, Manufacture and Service Products that Incorporate Advanced Technologies; The Introduction of New Products and Technologies Involves Risks and We May Not Realize the Degree or Timing of Benefits Initially Anticipated</w:t>
      </w:r>
    </w:p>
    <w:p>
      <w:pPr>
        <w:spacing w:after="0" w:line="132" w:lineRule="exact"/>
        <w:rPr>
          <w:sz w:val="20"/>
          <w:szCs w:val="20"/>
          <w:color w:val="auto"/>
        </w:rPr>
      </w:pPr>
    </w:p>
    <w:p>
      <w:pPr>
        <w:ind w:right="60" w:firstLine="456"/>
        <w:spacing w:after="0" w:line="288" w:lineRule="auto"/>
        <w:rPr>
          <w:sz w:val="20"/>
          <w:szCs w:val="20"/>
          <w:color w:val="auto"/>
        </w:rPr>
      </w:pPr>
      <w:r>
        <w:rPr>
          <w:rFonts w:ascii="Arial" w:cs="Arial" w:eastAsia="Arial" w:hAnsi="Arial"/>
          <w:sz w:val="16"/>
          <w:szCs w:val="16"/>
          <w:color w:val="auto"/>
        </w:rPr>
        <w:t>We seek to achieve growth through the design, development, production, sale and support of innovative products that incorporate advanced technologies. We regularly invest substantial amounts in research and development efforts that pursue advancements in a wide range of technologies, products and services. Our ability to realize the anticipated benefits of these advancements depends on a variety of factors, including meeting development, production, certification and regulatory approval schedules; execution of internal and external performance plans; availability of internal and supplier produced parts and materials; performance of suppliers and subcontractors; achieving cost and production efficiencies; validation of innovative technologies, and the level of customer interest in new technologies and products. These factors involve significant risks and uncertainties. We may encounter difficulties in developing and producing these new products and services, and may not realize the degree or timing of benefits initially anticipated. In particular, we cannot predict with certainty whether, when and in what quantities Pratt &amp; Whitney or its affiliates will produce aircraft engines currently in development or pending required certifications. Any of the foregoing could adversely affect our business and results of operations.</w:t>
      </w:r>
    </w:p>
    <w:p>
      <w:pPr>
        <w:spacing w:after="0" w:line="10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36</w:t>
      </w:r>
    </w:p>
    <w:p>
      <w:pPr>
        <w:sectPr>
          <w:pgSz w:w="11900" w:h="16838" w:orient="portrait"/>
          <w:cols w:equalWidth="0" w:num="1">
            <w:col w:w="11420"/>
          </w:cols>
          <w:pgMar w:left="240" w:top="459" w:right="239" w:bottom="1440" w:gutter="0" w:footer="0" w:header="0"/>
        </w:sectPr>
      </w:pPr>
    </w:p>
    <w:bookmarkStart w:id="36" w:name="page37"/>
    <w:bookmarkEnd w:id="3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We Are Subject to Litigation and Legal Compliance Risks That Could Adversely Affect Our Operating Results</w:t>
      </w:r>
    </w:p>
    <w:p>
      <w:pPr>
        <w:spacing w:after="0" w:line="90" w:lineRule="exact"/>
        <w:rPr>
          <w:sz w:val="20"/>
          <w:szCs w:val="20"/>
          <w:color w:val="auto"/>
        </w:rPr>
      </w:pPr>
    </w:p>
    <w:p>
      <w:pPr>
        <w:jc w:val="both"/>
        <w:ind w:right="60" w:firstLine="456"/>
        <w:spacing w:after="0" w:line="302" w:lineRule="auto"/>
        <w:rPr>
          <w:sz w:val="20"/>
          <w:szCs w:val="20"/>
          <w:color w:val="auto"/>
        </w:rPr>
      </w:pPr>
      <w:r>
        <w:rPr>
          <w:rFonts w:ascii="Arial" w:cs="Arial" w:eastAsia="Arial" w:hAnsi="Arial"/>
          <w:sz w:val="15"/>
          <w:szCs w:val="15"/>
          <w:color w:val="auto"/>
        </w:rPr>
        <w:t>We are subject to a variety of litigation and legal compliance risks. These risks include, among other things, litigation concerning product liability matters, personal injuries, intellectual property rights, government contracts, taxes, environmental matters and compliance with U.S. and foreign export laws, competition laws and sales and trading practices. We or one of our business units could be charged with wrongdoing as a result of such litigation. If convicted or found liable, we could be subject to fines, penalties, repayments, other damages (in certain cases, treble damages), or suspension or debarment from government contracts.</w:t>
      </w:r>
    </w:p>
    <w:p>
      <w:pPr>
        <w:spacing w:after="0" w:line="3" w:lineRule="exact"/>
        <w:rPr>
          <w:sz w:val="20"/>
          <w:szCs w:val="20"/>
          <w:color w:val="auto"/>
        </w:rPr>
      </w:pPr>
    </w:p>
    <w:p>
      <w:pPr>
        <w:spacing w:after="0" w:line="305" w:lineRule="auto"/>
        <w:rPr>
          <w:sz w:val="20"/>
          <w:szCs w:val="20"/>
          <w:color w:val="auto"/>
        </w:rPr>
      </w:pPr>
      <w:r>
        <w:rPr>
          <w:rFonts w:ascii="Arial" w:cs="Arial" w:eastAsia="Arial" w:hAnsi="Arial"/>
          <w:sz w:val="15"/>
          <w:szCs w:val="15"/>
          <w:color w:val="auto"/>
        </w:rPr>
        <w:t>Independently, failure of us or one of our business units to comply with applicable export and trade practice laws could result in civil or criminal penalties and suspension or termination of export privileges. While we believe we have adopted appropriate risk management and compliance programs to address and reduce these risks, the global and diverse nature of our operations means that these risks will continue to exist and additional legal proceedings and contingencies will arise from time to time. Our results may be affected by the outcome of legal proceedings and other contingencies that we cannot predict with certainty. For non-income tax risks, we estimate material loss contingencies and establish reserves as required by generally accepted accounting principles based on our assessment of contingencies where liability is deemed probable and reasonably estimable in light of the facts and circumstances known to us at a particular point in time. Subsequent developments in legal proceedings may affect our assessment and estimates of the loss contingency recorded as a liability or as a reserve against assets in our financial statements and could result in an adverse effect on our results of operations in the period in which a liability would be recognized or on our cash flows for the period in which damages would be paid. For a description of current legal proceedings, see Part I, Item 3 “Legal Proceedings,” in our 2007 Form 10-K. For income tax risks, we recognize tax benefits based on our assessment that a tax benefit has a greater than 50% likelihood of being sustained upon ultimate settlement with the applicable taxing authority that has full knowledge of all relevant facts. For those income tax positions where we assess that there is not a greater than 50% likelihood that such tax benefit will be sustained, we do not recognize a tax benefit in our financial statements. Subsequent events may cause us to change our assessment of the likelihood of sustaining a previously-recognized benefit which could result in an adverse effect on our results of operations in the period in which such event occurs or on our cash flows in the period in which the ultimate settlement with the applicable taxing authority occurs.</w:t>
      </w:r>
    </w:p>
    <w:p>
      <w:pPr>
        <w:spacing w:after="0" w:line="9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37</w:t>
      </w:r>
    </w:p>
    <w:p>
      <w:pPr>
        <w:sectPr>
          <w:pgSz w:w="11900" w:h="16838" w:orient="portrait"/>
          <w:cols w:equalWidth="0" w:num="1">
            <w:col w:w="11400"/>
          </w:cols>
          <w:pgMar w:left="240" w:top="459" w:right="259" w:bottom="1440" w:gutter="0" w:footer="0" w:header="0"/>
        </w:sectPr>
      </w:pPr>
    </w:p>
    <w:bookmarkStart w:id="37" w:name="page38"/>
    <w:bookmarkEnd w:id="3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tabs>
          <w:tab w:leader="none" w:pos="1020" w:val="left"/>
        </w:tabs>
        <w:rPr>
          <w:sz w:val="20"/>
          <w:szCs w:val="20"/>
          <w:color w:val="auto"/>
        </w:rPr>
      </w:pPr>
      <w:r>
        <w:rPr>
          <w:rFonts w:ascii="Arial" w:cs="Arial" w:eastAsia="Arial" w:hAnsi="Arial"/>
          <w:sz w:val="18"/>
          <w:szCs w:val="18"/>
          <w:b w:val="1"/>
          <w:bCs w:val="1"/>
          <w:color w:val="auto"/>
        </w:rPr>
        <w:t>Item 2.</w:t>
      </w:r>
      <w:r>
        <w:rPr>
          <w:sz w:val="20"/>
          <w:szCs w:val="20"/>
          <w:color w:val="auto"/>
        </w:rPr>
        <w:tab/>
      </w:r>
      <w:r>
        <w:rPr>
          <w:rFonts w:ascii="Arial" w:cs="Arial" w:eastAsia="Arial" w:hAnsi="Arial"/>
          <w:sz w:val="15"/>
          <w:szCs w:val="15"/>
          <w:b w:val="1"/>
          <w:bCs w:val="1"/>
          <w:color w:val="auto"/>
        </w:rPr>
        <w:t>Unregistered Sales of Equity Securities and Use of Proceeds</w:t>
      </w:r>
    </w:p>
    <w:p>
      <w:pPr>
        <w:spacing w:after="0" w:line="17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Issuer Purchases of Equity Securities</w:t>
      </w:r>
    </w:p>
    <w:p>
      <w:pPr>
        <w:spacing w:after="0" w:line="177" w:lineRule="exact"/>
        <w:rPr>
          <w:sz w:val="20"/>
          <w:szCs w:val="20"/>
          <w:color w:val="auto"/>
        </w:rPr>
      </w:pPr>
    </w:p>
    <w:p>
      <w:pPr>
        <w:ind w:right="60" w:firstLine="456"/>
        <w:spacing w:after="0" w:line="268" w:lineRule="auto"/>
        <w:rPr>
          <w:sz w:val="20"/>
          <w:szCs w:val="20"/>
          <w:color w:val="auto"/>
        </w:rPr>
      </w:pPr>
      <w:r>
        <w:rPr>
          <w:rFonts w:ascii="Arial" w:cs="Arial" w:eastAsia="Arial" w:hAnsi="Arial"/>
          <w:sz w:val="18"/>
          <w:szCs w:val="18"/>
          <w:color w:val="auto"/>
        </w:rPr>
        <w:t>The following table provides information about our purchases during the quarter ended June 30, 2008 of equity securities that are registered by us pursuant to Section 12 of the Exchange Act.</w:t>
      </w:r>
    </w:p>
    <w:p>
      <w:pPr>
        <w:spacing w:after="0" w:line="156"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4340" w:type="dxa"/>
            <w:vAlign w:val="bottom"/>
          </w:tcPr>
          <w:p>
            <w:pPr>
              <w:spacing w:after="0"/>
              <w:rPr>
                <w:sz w:val="14"/>
                <w:szCs w:val="14"/>
                <w:color w:val="auto"/>
              </w:rPr>
            </w:pPr>
          </w:p>
        </w:tc>
        <w:tc>
          <w:tcPr>
            <w:tcW w:w="1240" w:type="dxa"/>
            <w:vAlign w:val="bottom"/>
            <w:gridSpan w:val="2"/>
          </w:tcPr>
          <w:p>
            <w:pPr>
              <w:jc w:val="center"/>
              <w:ind w:right="620"/>
              <w:spacing w:after="0"/>
              <w:rPr>
                <w:sz w:val="20"/>
                <w:szCs w:val="20"/>
                <w:color w:val="auto"/>
              </w:rPr>
            </w:pPr>
            <w:r>
              <w:rPr>
                <w:rFonts w:ascii="Arial" w:cs="Arial" w:eastAsia="Arial" w:hAnsi="Arial"/>
                <w:sz w:val="14"/>
                <w:szCs w:val="14"/>
                <w:b w:val="1"/>
                <w:bCs w:val="1"/>
                <w:color w:val="auto"/>
                <w:w w:val="89"/>
              </w:rPr>
              <w:t>Total</w:t>
            </w:r>
          </w:p>
        </w:tc>
        <w:tc>
          <w:tcPr>
            <w:tcW w:w="16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2020" w:type="dxa"/>
            <w:vAlign w:val="bottom"/>
            <w:gridSpan w:val="2"/>
          </w:tcPr>
          <w:p>
            <w:pPr>
              <w:jc w:val="center"/>
              <w:ind w:right="620"/>
              <w:spacing w:after="0"/>
              <w:rPr>
                <w:sz w:val="20"/>
                <w:szCs w:val="20"/>
                <w:color w:val="auto"/>
              </w:rPr>
            </w:pPr>
            <w:r>
              <w:rPr>
                <w:rFonts w:ascii="Arial" w:cs="Arial" w:eastAsia="Arial" w:hAnsi="Arial"/>
                <w:sz w:val="14"/>
                <w:szCs w:val="14"/>
                <w:b w:val="1"/>
                <w:bCs w:val="1"/>
                <w:color w:val="auto"/>
                <w:w w:val="86"/>
              </w:rPr>
              <w:t>Total Number of Shares</w:t>
            </w:r>
          </w:p>
        </w:tc>
        <w:tc>
          <w:tcPr>
            <w:tcW w:w="13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4340" w:type="dxa"/>
            <w:vAlign w:val="bottom"/>
          </w:tcPr>
          <w:p>
            <w:pPr>
              <w:spacing w:after="0"/>
              <w:rPr>
                <w:sz w:val="12"/>
                <w:szCs w:val="12"/>
                <w:color w:val="auto"/>
              </w:rPr>
            </w:pPr>
          </w:p>
        </w:tc>
        <w:tc>
          <w:tcPr>
            <w:tcW w:w="1240" w:type="dxa"/>
            <w:vAlign w:val="bottom"/>
            <w:gridSpan w:val="2"/>
          </w:tcPr>
          <w:p>
            <w:pPr>
              <w:jc w:val="center"/>
              <w:ind w:right="620"/>
              <w:spacing w:after="0" w:line="149" w:lineRule="exact"/>
              <w:rPr>
                <w:sz w:val="20"/>
                <w:szCs w:val="20"/>
                <w:color w:val="auto"/>
              </w:rPr>
            </w:pPr>
            <w:r>
              <w:rPr>
                <w:rFonts w:ascii="Arial" w:cs="Arial" w:eastAsia="Arial" w:hAnsi="Arial"/>
                <w:sz w:val="14"/>
                <w:szCs w:val="14"/>
                <w:b w:val="1"/>
                <w:bCs w:val="1"/>
                <w:color w:val="auto"/>
                <w:w w:val="88"/>
              </w:rPr>
              <w:t>Number of</w:t>
            </w:r>
          </w:p>
        </w:tc>
        <w:tc>
          <w:tcPr>
            <w:tcW w:w="16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2020" w:type="dxa"/>
            <w:vAlign w:val="bottom"/>
            <w:gridSpan w:val="2"/>
          </w:tcPr>
          <w:p>
            <w:pPr>
              <w:jc w:val="center"/>
              <w:ind w:right="620"/>
              <w:spacing w:after="0" w:line="149" w:lineRule="exact"/>
              <w:rPr>
                <w:sz w:val="20"/>
                <w:szCs w:val="20"/>
                <w:color w:val="auto"/>
              </w:rPr>
            </w:pPr>
            <w:r>
              <w:rPr>
                <w:rFonts w:ascii="Arial" w:cs="Arial" w:eastAsia="Arial" w:hAnsi="Arial"/>
                <w:sz w:val="14"/>
                <w:szCs w:val="14"/>
                <w:b w:val="1"/>
                <w:bCs w:val="1"/>
                <w:color w:val="auto"/>
                <w:w w:val="84"/>
              </w:rPr>
              <w:t>Purchased as Part of a</w:t>
            </w:r>
          </w:p>
        </w:tc>
        <w:tc>
          <w:tcPr>
            <w:tcW w:w="1420" w:type="dxa"/>
            <w:vAlign w:val="bottom"/>
            <w:gridSpan w:val="2"/>
          </w:tcPr>
          <w:p>
            <w:pPr>
              <w:jc w:val="center"/>
              <w:ind w:right="80"/>
              <w:spacing w:after="0" w:line="149" w:lineRule="exact"/>
              <w:rPr>
                <w:sz w:val="20"/>
                <w:szCs w:val="20"/>
                <w:color w:val="auto"/>
              </w:rPr>
            </w:pPr>
            <w:r>
              <w:rPr>
                <w:rFonts w:ascii="Arial" w:cs="Arial" w:eastAsia="Arial" w:hAnsi="Arial"/>
                <w:sz w:val="14"/>
                <w:szCs w:val="14"/>
                <w:b w:val="1"/>
                <w:bCs w:val="1"/>
                <w:color w:val="auto"/>
                <w:w w:val="90"/>
              </w:rPr>
              <w:t>Maximum Number of</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4340" w:type="dxa"/>
            <w:vAlign w:val="bottom"/>
          </w:tcPr>
          <w:p>
            <w:pPr>
              <w:spacing w:after="0"/>
              <w:rPr>
                <w:sz w:val="12"/>
                <w:szCs w:val="12"/>
                <w:color w:val="auto"/>
              </w:rPr>
            </w:pPr>
          </w:p>
        </w:tc>
        <w:tc>
          <w:tcPr>
            <w:tcW w:w="1240" w:type="dxa"/>
            <w:vAlign w:val="bottom"/>
            <w:gridSpan w:val="2"/>
          </w:tcPr>
          <w:p>
            <w:pPr>
              <w:jc w:val="center"/>
              <w:ind w:right="620"/>
              <w:spacing w:after="0" w:line="149" w:lineRule="exact"/>
              <w:rPr>
                <w:sz w:val="20"/>
                <w:szCs w:val="20"/>
                <w:color w:val="auto"/>
              </w:rPr>
            </w:pPr>
            <w:r>
              <w:rPr>
                <w:rFonts w:ascii="Arial" w:cs="Arial" w:eastAsia="Arial" w:hAnsi="Arial"/>
                <w:sz w:val="14"/>
                <w:szCs w:val="14"/>
                <w:b w:val="1"/>
                <w:bCs w:val="1"/>
                <w:color w:val="auto"/>
                <w:w w:val="81"/>
              </w:rPr>
              <w:t>Shares</w:t>
            </w:r>
          </w:p>
        </w:tc>
        <w:tc>
          <w:tcPr>
            <w:tcW w:w="620" w:type="dxa"/>
            <w:vAlign w:val="bottom"/>
            <w:gridSpan w:val="2"/>
          </w:tcPr>
          <w:p>
            <w:pPr>
              <w:jc w:val="right"/>
              <w:spacing w:after="0" w:line="149" w:lineRule="exact"/>
              <w:rPr>
                <w:sz w:val="20"/>
                <w:szCs w:val="20"/>
                <w:color w:val="auto"/>
              </w:rPr>
            </w:pPr>
            <w:r>
              <w:rPr>
                <w:rFonts w:ascii="Arial" w:cs="Arial" w:eastAsia="Arial" w:hAnsi="Arial"/>
                <w:sz w:val="14"/>
                <w:szCs w:val="14"/>
                <w:b w:val="1"/>
                <w:bCs w:val="1"/>
                <w:color w:val="auto"/>
                <w:w w:val="94"/>
              </w:rPr>
              <w:t>Average</w:t>
            </w:r>
          </w:p>
        </w:tc>
        <w:tc>
          <w:tcPr>
            <w:tcW w:w="620" w:type="dxa"/>
            <w:vAlign w:val="bottom"/>
          </w:tcPr>
          <w:p>
            <w:pPr>
              <w:spacing w:after="0"/>
              <w:rPr>
                <w:sz w:val="12"/>
                <w:szCs w:val="12"/>
                <w:color w:val="auto"/>
              </w:rPr>
            </w:pPr>
          </w:p>
        </w:tc>
        <w:tc>
          <w:tcPr>
            <w:tcW w:w="2020" w:type="dxa"/>
            <w:vAlign w:val="bottom"/>
            <w:gridSpan w:val="2"/>
          </w:tcPr>
          <w:p>
            <w:pPr>
              <w:jc w:val="center"/>
              <w:ind w:right="620"/>
              <w:spacing w:after="0" w:line="149" w:lineRule="exact"/>
              <w:rPr>
                <w:sz w:val="20"/>
                <w:szCs w:val="20"/>
                <w:color w:val="auto"/>
              </w:rPr>
            </w:pPr>
            <w:r>
              <w:rPr>
                <w:rFonts w:ascii="Arial" w:cs="Arial" w:eastAsia="Arial" w:hAnsi="Arial"/>
                <w:sz w:val="14"/>
                <w:szCs w:val="14"/>
                <w:b w:val="1"/>
                <w:bCs w:val="1"/>
                <w:color w:val="auto"/>
                <w:w w:val="86"/>
              </w:rPr>
              <w:t>Publicly Announced</w:t>
            </w:r>
          </w:p>
        </w:tc>
        <w:tc>
          <w:tcPr>
            <w:tcW w:w="1420" w:type="dxa"/>
            <w:vAlign w:val="bottom"/>
            <w:gridSpan w:val="2"/>
          </w:tcPr>
          <w:p>
            <w:pPr>
              <w:jc w:val="center"/>
              <w:ind w:right="100"/>
              <w:spacing w:after="0" w:line="149" w:lineRule="exact"/>
              <w:rPr>
                <w:sz w:val="20"/>
                <w:szCs w:val="20"/>
                <w:color w:val="auto"/>
              </w:rPr>
            </w:pPr>
            <w:r>
              <w:rPr>
                <w:rFonts w:ascii="Arial" w:cs="Arial" w:eastAsia="Arial" w:hAnsi="Arial"/>
                <w:sz w:val="14"/>
                <w:szCs w:val="14"/>
                <w:b w:val="1"/>
                <w:bCs w:val="1"/>
                <w:color w:val="auto"/>
                <w:w w:val="86"/>
              </w:rPr>
              <w:t>Shares that may yet be</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4340" w:type="dxa"/>
            <w:vAlign w:val="bottom"/>
          </w:tcPr>
          <w:p>
            <w:pPr>
              <w:spacing w:after="0"/>
              <w:rPr>
                <w:sz w:val="12"/>
                <w:szCs w:val="12"/>
                <w:color w:val="auto"/>
              </w:rPr>
            </w:pPr>
          </w:p>
        </w:tc>
        <w:tc>
          <w:tcPr>
            <w:tcW w:w="1240" w:type="dxa"/>
            <w:vAlign w:val="bottom"/>
            <w:gridSpan w:val="2"/>
          </w:tcPr>
          <w:p>
            <w:pPr>
              <w:jc w:val="center"/>
              <w:ind w:right="620"/>
              <w:spacing w:after="0" w:line="149" w:lineRule="exact"/>
              <w:rPr>
                <w:sz w:val="20"/>
                <w:szCs w:val="20"/>
                <w:color w:val="auto"/>
              </w:rPr>
            </w:pPr>
            <w:r>
              <w:rPr>
                <w:rFonts w:ascii="Arial" w:cs="Arial" w:eastAsia="Arial" w:hAnsi="Arial"/>
                <w:sz w:val="14"/>
                <w:szCs w:val="14"/>
                <w:b w:val="1"/>
                <w:bCs w:val="1"/>
                <w:color w:val="auto"/>
                <w:w w:val="86"/>
              </w:rPr>
              <w:t>Purchased</w:t>
            </w:r>
          </w:p>
        </w:tc>
        <w:tc>
          <w:tcPr>
            <w:tcW w:w="620" w:type="dxa"/>
            <w:vAlign w:val="bottom"/>
            <w:gridSpan w:val="2"/>
          </w:tcPr>
          <w:p>
            <w:pPr>
              <w:jc w:val="right"/>
              <w:spacing w:after="0" w:line="149" w:lineRule="exact"/>
              <w:rPr>
                <w:sz w:val="20"/>
                <w:szCs w:val="20"/>
                <w:color w:val="auto"/>
              </w:rPr>
            </w:pPr>
            <w:r>
              <w:rPr>
                <w:rFonts w:ascii="Arial" w:cs="Arial" w:eastAsia="Arial" w:hAnsi="Arial"/>
                <w:sz w:val="14"/>
                <w:szCs w:val="14"/>
                <w:b w:val="1"/>
                <w:bCs w:val="1"/>
                <w:color w:val="auto"/>
                <w:w w:val="85"/>
              </w:rPr>
              <w:t>Price Paid</w:t>
            </w:r>
          </w:p>
        </w:tc>
        <w:tc>
          <w:tcPr>
            <w:tcW w:w="620" w:type="dxa"/>
            <w:vAlign w:val="bottom"/>
          </w:tcPr>
          <w:p>
            <w:pPr>
              <w:spacing w:after="0"/>
              <w:rPr>
                <w:sz w:val="12"/>
                <w:szCs w:val="12"/>
                <w:color w:val="auto"/>
              </w:rPr>
            </w:pPr>
          </w:p>
        </w:tc>
        <w:tc>
          <w:tcPr>
            <w:tcW w:w="2020" w:type="dxa"/>
            <w:vAlign w:val="bottom"/>
            <w:gridSpan w:val="2"/>
          </w:tcPr>
          <w:p>
            <w:pPr>
              <w:jc w:val="center"/>
              <w:ind w:right="620"/>
              <w:spacing w:after="0" w:line="149" w:lineRule="exact"/>
              <w:rPr>
                <w:sz w:val="20"/>
                <w:szCs w:val="20"/>
                <w:color w:val="auto"/>
              </w:rPr>
            </w:pPr>
            <w:r>
              <w:rPr>
                <w:rFonts w:ascii="Arial" w:cs="Arial" w:eastAsia="Arial" w:hAnsi="Arial"/>
                <w:sz w:val="14"/>
                <w:szCs w:val="14"/>
                <w:b w:val="1"/>
                <w:bCs w:val="1"/>
                <w:color w:val="auto"/>
                <w:w w:val="90"/>
              </w:rPr>
              <w:t>Program</w:t>
            </w:r>
          </w:p>
        </w:tc>
        <w:tc>
          <w:tcPr>
            <w:tcW w:w="1420" w:type="dxa"/>
            <w:vAlign w:val="bottom"/>
            <w:gridSpan w:val="2"/>
          </w:tcPr>
          <w:p>
            <w:pPr>
              <w:jc w:val="center"/>
              <w:ind w:right="80"/>
              <w:spacing w:after="0" w:line="149" w:lineRule="exact"/>
              <w:rPr>
                <w:sz w:val="20"/>
                <w:szCs w:val="20"/>
                <w:color w:val="auto"/>
              </w:rPr>
            </w:pPr>
            <w:r>
              <w:rPr>
                <w:rFonts w:ascii="Arial" w:cs="Arial" w:eastAsia="Arial" w:hAnsi="Arial"/>
                <w:sz w:val="14"/>
                <w:szCs w:val="14"/>
                <w:b w:val="1"/>
                <w:bCs w:val="1"/>
                <w:color w:val="auto"/>
                <w:w w:val="86"/>
              </w:rPr>
              <w:t>Purchased Under the</w:t>
            </w:r>
          </w:p>
        </w:tc>
        <w:tc>
          <w:tcPr>
            <w:tcW w:w="0" w:type="dxa"/>
            <w:vAlign w:val="bottom"/>
          </w:tcPr>
          <w:p>
            <w:pPr>
              <w:spacing w:after="0"/>
              <w:rPr>
                <w:sz w:val="1"/>
                <w:szCs w:val="1"/>
                <w:color w:val="auto"/>
              </w:rPr>
            </w:pPr>
          </w:p>
        </w:tc>
      </w:tr>
      <w:tr>
        <w:trPr>
          <w:trHeight w:val="161"/>
        </w:trPr>
        <w:tc>
          <w:tcPr>
            <w:tcW w:w="300" w:type="dxa"/>
            <w:vAlign w:val="bottom"/>
            <w:gridSpan w:val="2"/>
          </w:tcPr>
          <w:p>
            <w:pPr>
              <w:spacing w:after="0"/>
              <w:rPr>
                <w:sz w:val="20"/>
                <w:szCs w:val="20"/>
                <w:color w:val="auto"/>
              </w:rPr>
            </w:pPr>
            <w:r>
              <w:rPr>
                <w:rFonts w:ascii="Arial" w:cs="Arial" w:eastAsia="Arial" w:hAnsi="Arial"/>
                <w:sz w:val="14"/>
                <w:szCs w:val="14"/>
                <w:b w:val="1"/>
                <w:bCs w:val="1"/>
                <w:color w:val="auto"/>
                <w:w w:val="89"/>
              </w:rPr>
              <w:t>2008</w:t>
            </w:r>
          </w:p>
        </w:tc>
        <w:tc>
          <w:tcPr>
            <w:tcW w:w="860" w:type="dxa"/>
            <w:vAlign w:val="bottom"/>
          </w:tcPr>
          <w:p>
            <w:pPr>
              <w:spacing w:after="0"/>
              <w:rPr>
                <w:sz w:val="14"/>
                <w:szCs w:val="14"/>
                <w:color w:val="auto"/>
              </w:rPr>
            </w:pPr>
          </w:p>
        </w:tc>
        <w:tc>
          <w:tcPr>
            <w:tcW w:w="4340" w:type="dxa"/>
            <w:vAlign w:val="bottom"/>
          </w:tcPr>
          <w:p>
            <w:pPr>
              <w:spacing w:after="0"/>
              <w:rPr>
                <w:sz w:val="14"/>
                <w:szCs w:val="14"/>
                <w:color w:val="auto"/>
              </w:rPr>
            </w:pPr>
          </w:p>
        </w:tc>
        <w:tc>
          <w:tcPr>
            <w:tcW w:w="1240" w:type="dxa"/>
            <w:vAlign w:val="bottom"/>
            <w:gridSpan w:val="2"/>
          </w:tcPr>
          <w:p>
            <w:pPr>
              <w:jc w:val="center"/>
              <w:ind w:right="620"/>
              <w:spacing w:after="0"/>
              <w:rPr>
                <w:sz w:val="20"/>
                <w:szCs w:val="20"/>
                <w:color w:val="auto"/>
              </w:rPr>
            </w:pPr>
            <w:r>
              <w:rPr>
                <w:rFonts w:ascii="Arial" w:cs="Arial" w:eastAsia="Arial" w:hAnsi="Arial"/>
                <w:sz w:val="14"/>
                <w:szCs w:val="14"/>
                <w:b w:val="1"/>
                <w:bCs w:val="1"/>
                <w:color w:val="auto"/>
                <w:w w:val="85"/>
              </w:rPr>
              <w:t>(000’s)</w:t>
            </w:r>
          </w:p>
        </w:tc>
        <w:tc>
          <w:tcPr>
            <w:tcW w:w="620" w:type="dxa"/>
            <w:vAlign w:val="bottom"/>
            <w:gridSpan w:val="2"/>
          </w:tcPr>
          <w:p>
            <w:pPr>
              <w:jc w:val="right"/>
              <w:spacing w:after="0"/>
              <w:rPr>
                <w:sz w:val="20"/>
                <w:szCs w:val="20"/>
                <w:color w:val="auto"/>
              </w:rPr>
            </w:pPr>
            <w:r>
              <w:rPr>
                <w:rFonts w:ascii="Arial" w:cs="Arial" w:eastAsia="Arial" w:hAnsi="Arial"/>
                <w:sz w:val="14"/>
                <w:szCs w:val="14"/>
                <w:b w:val="1"/>
                <w:bCs w:val="1"/>
                <w:color w:val="auto"/>
                <w:w w:val="89"/>
              </w:rPr>
              <w:t>per Share</w:t>
            </w:r>
          </w:p>
        </w:tc>
        <w:tc>
          <w:tcPr>
            <w:tcW w:w="620" w:type="dxa"/>
            <w:vAlign w:val="bottom"/>
          </w:tcPr>
          <w:p>
            <w:pPr>
              <w:spacing w:after="0"/>
              <w:rPr>
                <w:sz w:val="14"/>
                <w:szCs w:val="14"/>
                <w:color w:val="auto"/>
              </w:rPr>
            </w:pPr>
          </w:p>
        </w:tc>
        <w:tc>
          <w:tcPr>
            <w:tcW w:w="2020" w:type="dxa"/>
            <w:vAlign w:val="bottom"/>
            <w:gridSpan w:val="2"/>
          </w:tcPr>
          <w:p>
            <w:pPr>
              <w:jc w:val="center"/>
              <w:ind w:right="620"/>
              <w:spacing w:after="0"/>
              <w:rPr>
                <w:sz w:val="20"/>
                <w:szCs w:val="20"/>
                <w:color w:val="auto"/>
              </w:rPr>
            </w:pPr>
            <w:r>
              <w:rPr>
                <w:rFonts w:ascii="Arial" w:cs="Arial" w:eastAsia="Arial" w:hAnsi="Arial"/>
                <w:sz w:val="14"/>
                <w:szCs w:val="14"/>
                <w:b w:val="1"/>
                <w:bCs w:val="1"/>
                <w:color w:val="auto"/>
                <w:w w:val="90"/>
              </w:rPr>
              <w:t>(000’s)</w:t>
            </w:r>
          </w:p>
        </w:tc>
        <w:tc>
          <w:tcPr>
            <w:tcW w:w="1420" w:type="dxa"/>
            <w:vAlign w:val="bottom"/>
            <w:gridSpan w:val="2"/>
          </w:tcPr>
          <w:p>
            <w:pPr>
              <w:jc w:val="center"/>
              <w:ind w:right="80"/>
              <w:spacing w:after="0"/>
              <w:rPr>
                <w:sz w:val="20"/>
                <w:szCs w:val="20"/>
                <w:color w:val="auto"/>
              </w:rPr>
            </w:pPr>
            <w:r>
              <w:rPr>
                <w:rFonts w:ascii="Arial" w:cs="Arial" w:eastAsia="Arial" w:hAnsi="Arial"/>
                <w:sz w:val="14"/>
                <w:szCs w:val="14"/>
                <w:b w:val="1"/>
                <w:bCs w:val="1"/>
                <w:color w:val="auto"/>
                <w:w w:val="88"/>
              </w:rPr>
              <w:t>Program (000’s)</w:t>
            </w:r>
          </w:p>
        </w:tc>
        <w:tc>
          <w:tcPr>
            <w:tcW w:w="0" w:type="dxa"/>
            <w:vAlign w:val="bottom"/>
          </w:tcPr>
          <w:p>
            <w:pPr>
              <w:spacing w:after="0"/>
              <w:rPr>
                <w:sz w:val="1"/>
                <w:szCs w:val="1"/>
                <w:color w:val="auto"/>
              </w:rPr>
            </w:pPr>
          </w:p>
        </w:tc>
      </w:tr>
      <w:tr>
        <w:trPr>
          <w:trHeight w:val="20"/>
        </w:trPr>
        <w:tc>
          <w:tcPr>
            <w:tcW w:w="20" w:type="dxa"/>
            <w:vAlign w:val="bottom"/>
            <w:vMerge w:val="restart"/>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4340" w:type="dxa"/>
            <w:vAlign w:val="bottom"/>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1380" w:type="dxa"/>
            <w:vAlign w:val="bottom"/>
            <w:shd w:val="clear" w:color="auto" w:fill="000000"/>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132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vMerge w:val="continue"/>
          </w:tcPr>
          <w:p>
            <w:pPr>
              <w:spacing w:after="0"/>
              <w:rPr>
                <w:sz w:val="18"/>
                <w:szCs w:val="18"/>
                <w:color w:val="auto"/>
              </w:rPr>
            </w:pPr>
          </w:p>
        </w:tc>
        <w:tc>
          <w:tcPr>
            <w:tcW w:w="548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April 1 – April 30</w:t>
            </w: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2,017</w:t>
            </w:r>
          </w:p>
        </w:tc>
        <w:tc>
          <w:tcPr>
            <w:tcW w:w="620" w:type="dxa"/>
            <w:vAlign w:val="bottom"/>
            <w:shd w:val="clear" w:color="auto" w:fill="CCEEFF"/>
          </w:tcPr>
          <w:p>
            <w:pPr>
              <w:spacing w:after="0"/>
              <w:rPr>
                <w:sz w:val="18"/>
                <w:szCs w:val="18"/>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4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7"/>
              </w:rPr>
              <w:t>71.56</w:t>
            </w:r>
          </w:p>
        </w:tc>
        <w:tc>
          <w:tcPr>
            <w:tcW w:w="2640" w:type="dxa"/>
            <w:vAlign w:val="bottom"/>
            <w:gridSpan w:val="3"/>
            <w:shd w:val="clear" w:color="auto" w:fill="CCEEFF"/>
          </w:tcPr>
          <w:p>
            <w:pPr>
              <w:jc w:val="right"/>
              <w:ind w:right="640"/>
              <w:spacing w:after="0"/>
              <w:rPr>
                <w:sz w:val="20"/>
                <w:szCs w:val="20"/>
                <w:color w:val="auto"/>
              </w:rPr>
            </w:pPr>
            <w:r>
              <w:rPr>
                <w:rFonts w:ascii="Arial" w:cs="Arial" w:eastAsia="Arial" w:hAnsi="Arial"/>
                <w:sz w:val="18"/>
                <w:szCs w:val="18"/>
                <w:color w:val="auto"/>
              </w:rPr>
              <w:t>2,009</w:t>
            </w:r>
          </w:p>
        </w:tc>
        <w:tc>
          <w:tcPr>
            <w:tcW w:w="1320" w:type="dxa"/>
            <w:vAlign w:val="bottom"/>
            <w:shd w:val="clear" w:color="auto" w:fill="CCEEFF"/>
          </w:tcPr>
          <w:p>
            <w:pPr>
              <w:ind w:left="840"/>
              <w:spacing w:after="0"/>
              <w:rPr>
                <w:sz w:val="20"/>
                <w:szCs w:val="20"/>
                <w:color w:val="auto"/>
              </w:rPr>
            </w:pPr>
            <w:r>
              <w:rPr>
                <w:rFonts w:ascii="Arial" w:cs="Arial" w:eastAsia="Arial" w:hAnsi="Arial"/>
                <w:sz w:val="18"/>
                <w:szCs w:val="18"/>
                <w:color w:val="auto"/>
                <w:w w:val="83"/>
              </w:rPr>
              <w:t>16,458</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480" w:type="dxa"/>
            <w:vAlign w:val="bottom"/>
            <w:gridSpan w:val="3"/>
          </w:tcPr>
          <w:p>
            <w:pPr>
              <w:spacing w:after="0"/>
              <w:rPr>
                <w:sz w:val="20"/>
                <w:szCs w:val="20"/>
                <w:color w:val="auto"/>
              </w:rPr>
            </w:pPr>
            <w:r>
              <w:rPr>
                <w:rFonts w:ascii="Arial" w:cs="Arial" w:eastAsia="Arial" w:hAnsi="Arial"/>
                <w:sz w:val="18"/>
                <w:szCs w:val="18"/>
                <w:color w:val="auto"/>
              </w:rPr>
              <w:t>May 1 – May 31</w:t>
            </w:r>
          </w:p>
        </w:tc>
        <w:tc>
          <w:tcPr>
            <w:tcW w:w="620" w:type="dxa"/>
            <w:vAlign w:val="bottom"/>
          </w:tcPr>
          <w:p>
            <w:pPr>
              <w:jc w:val="right"/>
              <w:spacing w:after="0"/>
              <w:rPr>
                <w:sz w:val="20"/>
                <w:szCs w:val="20"/>
                <w:color w:val="auto"/>
              </w:rPr>
            </w:pPr>
            <w:r>
              <w:rPr>
                <w:rFonts w:ascii="Arial" w:cs="Arial" w:eastAsia="Arial" w:hAnsi="Arial"/>
                <w:sz w:val="18"/>
                <w:szCs w:val="18"/>
                <w:color w:val="auto"/>
              </w:rPr>
              <w:t>2,752</w:t>
            </w:r>
          </w:p>
        </w:tc>
        <w:tc>
          <w:tcPr>
            <w:tcW w:w="6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460" w:type="dxa"/>
            <w:vAlign w:val="bottom"/>
          </w:tcPr>
          <w:p>
            <w:pPr>
              <w:jc w:val="right"/>
              <w:spacing w:after="0"/>
              <w:rPr>
                <w:sz w:val="20"/>
                <w:szCs w:val="20"/>
                <w:color w:val="auto"/>
              </w:rPr>
            </w:pPr>
            <w:r>
              <w:rPr>
                <w:rFonts w:ascii="Arial" w:cs="Arial" w:eastAsia="Arial" w:hAnsi="Arial"/>
                <w:sz w:val="18"/>
                <w:szCs w:val="18"/>
                <w:color w:val="auto"/>
                <w:w w:val="97"/>
              </w:rPr>
              <w:t>72.53</w:t>
            </w:r>
          </w:p>
        </w:tc>
        <w:tc>
          <w:tcPr>
            <w:tcW w:w="2640" w:type="dxa"/>
            <w:vAlign w:val="bottom"/>
            <w:gridSpan w:val="3"/>
          </w:tcPr>
          <w:p>
            <w:pPr>
              <w:jc w:val="right"/>
              <w:ind w:right="640"/>
              <w:spacing w:after="0"/>
              <w:rPr>
                <w:sz w:val="20"/>
                <w:szCs w:val="20"/>
                <w:color w:val="auto"/>
              </w:rPr>
            </w:pPr>
            <w:r>
              <w:rPr>
                <w:rFonts w:ascii="Arial" w:cs="Arial" w:eastAsia="Arial" w:hAnsi="Arial"/>
                <w:sz w:val="18"/>
                <w:szCs w:val="18"/>
                <w:color w:val="auto"/>
              </w:rPr>
              <w:t>2,752</w:t>
            </w:r>
          </w:p>
        </w:tc>
        <w:tc>
          <w:tcPr>
            <w:tcW w:w="1320" w:type="dxa"/>
            <w:vAlign w:val="bottom"/>
          </w:tcPr>
          <w:p>
            <w:pPr>
              <w:ind w:left="840"/>
              <w:spacing w:after="0"/>
              <w:rPr>
                <w:sz w:val="20"/>
                <w:szCs w:val="20"/>
                <w:color w:val="auto"/>
              </w:rPr>
            </w:pPr>
            <w:r>
              <w:rPr>
                <w:rFonts w:ascii="Arial" w:cs="Arial" w:eastAsia="Arial" w:hAnsi="Arial"/>
                <w:sz w:val="18"/>
                <w:szCs w:val="18"/>
                <w:color w:val="auto"/>
                <w:w w:val="83"/>
              </w:rPr>
              <w:t>13,706</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48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June 1 – June 30</w:t>
            </w: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5,991</w:t>
            </w:r>
          </w:p>
        </w:tc>
        <w:tc>
          <w:tcPr>
            <w:tcW w:w="6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4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7"/>
              </w:rPr>
              <w:t>67.38</w:t>
            </w:r>
          </w:p>
        </w:tc>
        <w:tc>
          <w:tcPr>
            <w:tcW w:w="620" w:type="dxa"/>
            <w:vAlign w:val="bottom"/>
            <w:shd w:val="clear" w:color="auto" w:fill="CCEEFF"/>
          </w:tcPr>
          <w:p>
            <w:pPr>
              <w:spacing w:after="0"/>
              <w:rPr>
                <w:sz w:val="18"/>
                <w:szCs w:val="18"/>
                <w:color w:val="auto"/>
              </w:rPr>
            </w:pPr>
          </w:p>
        </w:tc>
        <w:tc>
          <w:tcPr>
            <w:tcW w:w="2020" w:type="dxa"/>
            <w:vAlign w:val="bottom"/>
            <w:gridSpan w:val="2"/>
            <w:shd w:val="clear" w:color="auto" w:fill="CCEEFF"/>
          </w:tcPr>
          <w:p>
            <w:pPr>
              <w:jc w:val="right"/>
              <w:ind w:right="640"/>
              <w:spacing w:after="0"/>
              <w:rPr>
                <w:sz w:val="20"/>
                <w:szCs w:val="20"/>
                <w:color w:val="auto"/>
              </w:rPr>
            </w:pPr>
            <w:r>
              <w:rPr>
                <w:rFonts w:ascii="Arial" w:cs="Arial" w:eastAsia="Arial" w:hAnsi="Arial"/>
                <w:sz w:val="18"/>
                <w:szCs w:val="18"/>
                <w:color w:val="auto"/>
              </w:rPr>
              <w:t>5,990</w:t>
            </w:r>
          </w:p>
        </w:tc>
        <w:tc>
          <w:tcPr>
            <w:tcW w:w="1420" w:type="dxa"/>
            <w:vAlign w:val="bottom"/>
            <w:gridSpan w:val="2"/>
            <w:shd w:val="clear" w:color="auto" w:fill="CCEEFF"/>
          </w:tcPr>
          <w:p>
            <w:pPr>
              <w:ind w:left="840"/>
              <w:spacing w:after="0"/>
              <w:rPr>
                <w:sz w:val="20"/>
                <w:szCs w:val="20"/>
                <w:color w:val="auto"/>
              </w:rPr>
            </w:pPr>
            <w:r>
              <w:rPr>
                <w:rFonts w:ascii="Arial" w:cs="Arial" w:eastAsia="Arial" w:hAnsi="Arial"/>
                <w:sz w:val="18"/>
                <w:szCs w:val="18"/>
                <w:color w:val="auto"/>
                <w:w w:val="90"/>
              </w:rPr>
              <w:t>56,489*</w:t>
            </w:r>
          </w:p>
        </w:tc>
        <w:tc>
          <w:tcPr>
            <w:tcW w:w="0" w:type="dxa"/>
            <w:vAlign w:val="bottom"/>
          </w:tcPr>
          <w:p>
            <w:pPr>
              <w:spacing w:after="0"/>
              <w:rPr>
                <w:sz w:val="1"/>
                <w:szCs w:val="1"/>
                <w:color w:val="auto"/>
              </w:rPr>
            </w:pPr>
          </w:p>
        </w:tc>
      </w:tr>
      <w:tr>
        <w:trPr>
          <w:trHeight w:val="20"/>
        </w:trPr>
        <w:tc>
          <w:tcPr>
            <w:tcW w:w="5500" w:type="dxa"/>
            <w:vAlign w:val="bottom"/>
            <w:gridSpan w:val="4"/>
            <w:vMerge w:val="restart"/>
          </w:tcPr>
          <w:p>
            <w:pPr>
              <w:spacing w:after="0"/>
              <w:rPr>
                <w:sz w:val="20"/>
                <w:szCs w:val="20"/>
                <w:color w:val="auto"/>
              </w:rPr>
            </w:pPr>
            <w:r>
              <w:rPr>
                <w:rFonts w:ascii="Arial" w:cs="Arial" w:eastAsia="Arial" w:hAnsi="Arial"/>
                <w:sz w:val="18"/>
                <w:szCs w:val="18"/>
                <w:color w:val="auto"/>
              </w:rPr>
              <w:t>Total</w:t>
            </w:r>
          </w:p>
        </w:tc>
        <w:tc>
          <w:tcPr>
            <w:tcW w:w="620" w:type="dxa"/>
            <w:vAlign w:val="bottom"/>
            <w:shd w:val="clear" w:color="auto" w:fill="000000"/>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1380" w:type="dxa"/>
            <w:vAlign w:val="bottom"/>
            <w:shd w:val="clear" w:color="auto" w:fill="000000"/>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13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2"/>
        </w:trPr>
        <w:tc>
          <w:tcPr>
            <w:tcW w:w="5500" w:type="dxa"/>
            <w:vAlign w:val="bottom"/>
            <w:gridSpan w:val="4"/>
            <w:vMerge w:val="continue"/>
          </w:tcPr>
          <w:p>
            <w:pPr>
              <w:spacing w:after="0"/>
              <w:rPr>
                <w:sz w:val="19"/>
                <w:szCs w:val="19"/>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10,760</w:t>
            </w:r>
          </w:p>
        </w:tc>
        <w:tc>
          <w:tcPr>
            <w:tcW w:w="620" w:type="dxa"/>
            <w:vAlign w:val="bottom"/>
          </w:tcPr>
          <w:p>
            <w:pPr>
              <w:spacing w:after="0"/>
              <w:rPr>
                <w:sz w:val="19"/>
                <w:szCs w:val="19"/>
                <w:color w:val="auto"/>
              </w:rPr>
            </w:pPr>
          </w:p>
        </w:tc>
        <w:tc>
          <w:tcPr>
            <w:tcW w:w="16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460" w:type="dxa"/>
            <w:vAlign w:val="bottom"/>
          </w:tcPr>
          <w:p>
            <w:pPr>
              <w:jc w:val="right"/>
              <w:spacing w:after="0"/>
              <w:rPr>
                <w:sz w:val="20"/>
                <w:szCs w:val="20"/>
                <w:color w:val="auto"/>
              </w:rPr>
            </w:pPr>
            <w:r>
              <w:rPr>
                <w:rFonts w:ascii="Arial" w:cs="Arial" w:eastAsia="Arial" w:hAnsi="Arial"/>
                <w:sz w:val="18"/>
                <w:szCs w:val="18"/>
                <w:color w:val="auto"/>
                <w:w w:val="97"/>
              </w:rPr>
              <w:t>69.48</w:t>
            </w:r>
          </w:p>
        </w:tc>
        <w:tc>
          <w:tcPr>
            <w:tcW w:w="620" w:type="dxa"/>
            <w:vAlign w:val="bottom"/>
          </w:tcPr>
          <w:p>
            <w:pPr>
              <w:spacing w:after="0"/>
              <w:rPr>
                <w:sz w:val="19"/>
                <w:szCs w:val="19"/>
                <w:color w:val="auto"/>
              </w:rPr>
            </w:pPr>
          </w:p>
        </w:tc>
        <w:tc>
          <w:tcPr>
            <w:tcW w:w="2020" w:type="dxa"/>
            <w:vAlign w:val="bottom"/>
            <w:gridSpan w:val="2"/>
          </w:tcPr>
          <w:p>
            <w:pPr>
              <w:jc w:val="right"/>
              <w:ind w:right="640"/>
              <w:spacing w:after="0"/>
              <w:rPr>
                <w:sz w:val="20"/>
                <w:szCs w:val="20"/>
                <w:color w:val="auto"/>
              </w:rPr>
            </w:pPr>
            <w:r>
              <w:rPr>
                <w:rFonts w:ascii="Arial" w:cs="Arial" w:eastAsia="Arial" w:hAnsi="Arial"/>
                <w:sz w:val="18"/>
                <w:szCs w:val="18"/>
                <w:color w:val="auto"/>
              </w:rPr>
              <w:t>10,751</w:t>
            </w:r>
          </w:p>
        </w:tc>
        <w:tc>
          <w:tcPr>
            <w:tcW w:w="13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4340" w:type="dxa"/>
            <w:vAlign w:val="bottom"/>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138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13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03"/>
        </w:trPr>
        <w:tc>
          <w:tcPr>
            <w:tcW w:w="20" w:type="dxa"/>
            <w:vAlign w:val="bottom"/>
          </w:tcPr>
          <w:p>
            <w:pPr>
              <w:spacing w:after="0"/>
              <w:rPr>
                <w:sz w:val="8"/>
                <w:szCs w:val="8"/>
                <w:color w:val="auto"/>
              </w:rPr>
            </w:pPr>
          </w:p>
        </w:tc>
        <w:tc>
          <w:tcPr>
            <w:tcW w:w="280" w:type="dxa"/>
            <w:vAlign w:val="bottom"/>
            <w:tcBorders>
              <w:bottom w:val="single" w:sz="8" w:color="auto"/>
            </w:tcBorders>
          </w:tcPr>
          <w:p>
            <w:pPr>
              <w:spacing w:after="0"/>
              <w:rPr>
                <w:sz w:val="8"/>
                <w:szCs w:val="8"/>
                <w:color w:val="auto"/>
              </w:rPr>
            </w:pPr>
          </w:p>
        </w:tc>
        <w:tc>
          <w:tcPr>
            <w:tcW w:w="860" w:type="dxa"/>
            <w:vAlign w:val="bottom"/>
            <w:tcBorders>
              <w:bottom w:val="single" w:sz="8" w:color="auto"/>
            </w:tcBorders>
          </w:tcPr>
          <w:p>
            <w:pPr>
              <w:spacing w:after="0"/>
              <w:rPr>
                <w:sz w:val="8"/>
                <w:szCs w:val="8"/>
                <w:color w:val="auto"/>
              </w:rPr>
            </w:pPr>
          </w:p>
        </w:tc>
        <w:tc>
          <w:tcPr>
            <w:tcW w:w="4340" w:type="dxa"/>
            <w:vAlign w:val="bottom"/>
          </w:tcPr>
          <w:p>
            <w:pPr>
              <w:spacing w:after="0"/>
              <w:rPr>
                <w:sz w:val="8"/>
                <w:szCs w:val="8"/>
                <w:color w:val="auto"/>
              </w:rPr>
            </w:pPr>
          </w:p>
        </w:tc>
        <w:tc>
          <w:tcPr>
            <w:tcW w:w="620" w:type="dxa"/>
            <w:vAlign w:val="bottom"/>
          </w:tcPr>
          <w:p>
            <w:pPr>
              <w:spacing w:after="0"/>
              <w:rPr>
                <w:sz w:val="8"/>
                <w:szCs w:val="8"/>
                <w:color w:val="auto"/>
              </w:rPr>
            </w:pPr>
          </w:p>
        </w:tc>
        <w:tc>
          <w:tcPr>
            <w:tcW w:w="620" w:type="dxa"/>
            <w:vAlign w:val="bottom"/>
          </w:tcPr>
          <w:p>
            <w:pPr>
              <w:spacing w:after="0"/>
              <w:rPr>
                <w:sz w:val="8"/>
                <w:szCs w:val="8"/>
                <w:color w:val="auto"/>
              </w:rPr>
            </w:pPr>
          </w:p>
        </w:tc>
        <w:tc>
          <w:tcPr>
            <w:tcW w:w="160" w:type="dxa"/>
            <w:vAlign w:val="bottom"/>
          </w:tcPr>
          <w:p>
            <w:pPr>
              <w:spacing w:after="0"/>
              <w:rPr>
                <w:sz w:val="8"/>
                <w:szCs w:val="8"/>
                <w:color w:val="auto"/>
              </w:rPr>
            </w:pPr>
          </w:p>
        </w:tc>
        <w:tc>
          <w:tcPr>
            <w:tcW w:w="460" w:type="dxa"/>
            <w:vAlign w:val="bottom"/>
          </w:tcPr>
          <w:p>
            <w:pPr>
              <w:spacing w:after="0"/>
              <w:rPr>
                <w:sz w:val="8"/>
                <w:szCs w:val="8"/>
                <w:color w:val="auto"/>
              </w:rPr>
            </w:pPr>
          </w:p>
        </w:tc>
        <w:tc>
          <w:tcPr>
            <w:tcW w:w="620" w:type="dxa"/>
            <w:vAlign w:val="bottom"/>
          </w:tcPr>
          <w:p>
            <w:pPr>
              <w:spacing w:after="0"/>
              <w:rPr>
                <w:sz w:val="8"/>
                <w:szCs w:val="8"/>
                <w:color w:val="auto"/>
              </w:rPr>
            </w:pPr>
          </w:p>
        </w:tc>
        <w:tc>
          <w:tcPr>
            <w:tcW w:w="1380" w:type="dxa"/>
            <w:vAlign w:val="bottom"/>
          </w:tcPr>
          <w:p>
            <w:pPr>
              <w:spacing w:after="0"/>
              <w:rPr>
                <w:sz w:val="8"/>
                <w:szCs w:val="8"/>
                <w:color w:val="auto"/>
              </w:rPr>
            </w:pPr>
          </w:p>
        </w:tc>
        <w:tc>
          <w:tcPr>
            <w:tcW w:w="640" w:type="dxa"/>
            <w:vAlign w:val="bottom"/>
          </w:tcPr>
          <w:p>
            <w:pPr>
              <w:spacing w:after="0"/>
              <w:rPr>
                <w:sz w:val="8"/>
                <w:szCs w:val="8"/>
                <w:color w:val="auto"/>
              </w:rPr>
            </w:pPr>
          </w:p>
        </w:tc>
        <w:tc>
          <w:tcPr>
            <w:tcW w:w="13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bl>
    <w:p>
      <w:pPr>
        <w:spacing w:after="0" w:line="19" w:lineRule="exact"/>
        <w:rPr>
          <w:sz w:val="20"/>
          <w:szCs w:val="20"/>
          <w:color w:val="auto"/>
        </w:rPr>
      </w:pPr>
    </w:p>
    <w:p>
      <w:pPr>
        <w:ind w:left="220" w:right="320" w:hanging="212"/>
        <w:spacing w:after="0" w:line="268" w:lineRule="auto"/>
        <w:tabs>
          <w:tab w:leader="none" w:pos="220" w:val="left"/>
        </w:tabs>
        <w:numPr>
          <w:ilvl w:val="0"/>
          <w:numId w:val="4"/>
        </w:numPr>
        <w:rPr>
          <w:rFonts w:ascii="Arial" w:cs="Arial" w:eastAsia="Arial" w:hAnsi="Arial"/>
          <w:sz w:val="18"/>
          <w:szCs w:val="18"/>
          <w:color w:val="auto"/>
        </w:rPr>
      </w:pPr>
      <w:r>
        <w:rPr>
          <w:rFonts w:ascii="Arial" w:cs="Arial" w:eastAsia="Arial" w:hAnsi="Arial"/>
          <w:sz w:val="18"/>
          <w:szCs w:val="18"/>
          <w:color w:val="auto"/>
        </w:rPr>
        <w:t>11,227 shares that could still have been purchased under the limits of the old program became unavailable as of June 11, 2008 with the authorization of the new program. The 56,489 shares currently available are all under the new program.</w:t>
      </w:r>
    </w:p>
    <w:p>
      <w:pPr>
        <w:spacing w:after="0" w:line="132" w:lineRule="exact"/>
        <w:rPr>
          <w:sz w:val="20"/>
          <w:szCs w:val="20"/>
          <w:color w:val="auto"/>
        </w:rPr>
      </w:pPr>
    </w:p>
    <w:p>
      <w:pPr>
        <w:ind w:right="360" w:firstLine="456"/>
        <w:spacing w:after="0" w:line="291" w:lineRule="auto"/>
        <w:rPr>
          <w:sz w:val="20"/>
          <w:szCs w:val="20"/>
          <w:color w:val="auto"/>
        </w:rPr>
      </w:pPr>
      <w:r>
        <w:rPr>
          <w:rFonts w:ascii="Arial" w:cs="Arial" w:eastAsia="Arial" w:hAnsi="Arial"/>
          <w:sz w:val="16"/>
          <w:szCs w:val="16"/>
          <w:color w:val="auto"/>
        </w:rPr>
        <w:t>On June 11, 2008, we announced that our Board of Directors authorized the repurchase of up to 60 million shares of our common stock. This new authorization replaces a previous program, approved in December 2006, which was nearing completion. Under this program, shares may be purchased on the open market, in privately negotiated transactions, and under plans complying with Rules 10b5-1 and 10b-18 under the Securities Exchange Act of 1934, as amended. These repurchases are included within the scope of our overall repurchase program discussed above. We may also reacquire shares outside of the program in connection with the surrender of shares to cover taxes on vesting of restricted stock. Approximately 9,000 shares were reacquired in transactions outside the program during the quarter.</w:t>
      </w:r>
    </w:p>
    <w:p>
      <w:pPr>
        <w:spacing w:after="0" w:line="236" w:lineRule="exact"/>
        <w:rPr>
          <w:sz w:val="20"/>
          <w:szCs w:val="20"/>
          <w:color w:val="auto"/>
        </w:rPr>
      </w:pPr>
    </w:p>
    <w:p>
      <w:pPr>
        <w:spacing w:after="0"/>
        <w:tabs>
          <w:tab w:leader="none" w:pos="1020" w:val="left"/>
        </w:tabs>
        <w:rPr>
          <w:sz w:val="20"/>
          <w:szCs w:val="20"/>
          <w:color w:val="auto"/>
        </w:rPr>
      </w:pPr>
      <w:r>
        <w:rPr>
          <w:rFonts w:ascii="Arial" w:cs="Arial" w:eastAsia="Arial" w:hAnsi="Arial"/>
          <w:sz w:val="18"/>
          <w:szCs w:val="18"/>
          <w:b w:val="1"/>
          <w:bCs w:val="1"/>
          <w:color w:val="auto"/>
        </w:rPr>
        <w:t>Item 4.</w:t>
      </w:r>
      <w:r>
        <w:rPr>
          <w:sz w:val="20"/>
          <w:szCs w:val="20"/>
          <w:color w:val="auto"/>
        </w:rPr>
        <w:tab/>
      </w:r>
      <w:r>
        <w:rPr>
          <w:rFonts w:ascii="Arial" w:cs="Arial" w:eastAsia="Arial" w:hAnsi="Arial"/>
          <w:sz w:val="15"/>
          <w:szCs w:val="15"/>
          <w:b w:val="1"/>
          <w:bCs w:val="1"/>
          <w:color w:val="auto"/>
        </w:rPr>
        <w:t>Submission of Matters to a Vote of Security Holders.</w:t>
      </w:r>
    </w:p>
    <w:p>
      <w:pPr>
        <w:spacing w:after="0" w:line="96" w:lineRule="exact"/>
        <w:rPr>
          <w:sz w:val="20"/>
          <w:szCs w:val="20"/>
          <w:color w:val="auto"/>
        </w:rPr>
      </w:pPr>
    </w:p>
    <w:p>
      <w:pPr>
        <w:ind w:right="60" w:firstLine="456"/>
        <w:spacing w:after="0" w:line="268" w:lineRule="auto"/>
        <w:rPr>
          <w:sz w:val="20"/>
          <w:szCs w:val="20"/>
          <w:color w:val="auto"/>
        </w:rPr>
      </w:pPr>
      <w:r>
        <w:rPr>
          <w:rFonts w:ascii="Arial" w:cs="Arial" w:eastAsia="Arial" w:hAnsi="Arial"/>
          <w:sz w:val="18"/>
          <w:szCs w:val="18"/>
          <w:color w:val="auto"/>
        </w:rPr>
        <w:t>The information related to our Annual Meeting of Shareowners on April 9, 2008 required by Item 4 is incorporated herein by reference to Part II, Item 4 of our Quarterly Report on Form 10-Q for the quarter ended March 31, 2008.</w:t>
      </w:r>
    </w:p>
    <w:p>
      <w:pPr>
        <w:spacing w:after="0" w:line="11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38</w:t>
      </w:r>
    </w:p>
    <w:p>
      <w:pPr>
        <w:sectPr>
          <w:pgSz w:w="11900" w:h="16838" w:orient="portrait"/>
          <w:cols w:equalWidth="0" w:num="1">
            <w:col w:w="11420"/>
          </w:cols>
          <w:pgMar w:left="240" w:top="459" w:right="239" w:bottom="1440" w:gutter="0" w:footer="0" w:header="0"/>
        </w:sectPr>
      </w:pPr>
    </w:p>
    <w:bookmarkStart w:id="38" w:name="page39"/>
    <w:bookmarkEnd w:id="3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tbl>
      <w:tblPr>
        <w:tblLayout w:type="fixed"/>
        <w:tblInd w:w="0" w:type="dxa"/>
        <w:tblCellMar>
          <w:top w:w="0" w:type="dxa"/>
          <w:left w:w="0" w:type="dxa"/>
          <w:bottom w:w="0" w:type="dxa"/>
          <w:right w:w="0" w:type="dxa"/>
        </w:tblCellMar>
      </w:tblPr>
      <w:tr>
        <w:trPr>
          <w:trHeight w:val="228"/>
        </w:trPr>
        <w:tc>
          <w:tcPr>
            <w:tcW w:w="760" w:type="dxa"/>
            <w:vAlign w:val="bottom"/>
          </w:tcPr>
          <w:p>
            <w:pPr>
              <w:spacing w:after="0"/>
              <w:rPr>
                <w:sz w:val="20"/>
                <w:szCs w:val="20"/>
                <w:color w:val="auto"/>
              </w:rPr>
            </w:pPr>
            <w:r>
              <w:rPr>
                <w:rFonts w:ascii="Arial" w:cs="Arial" w:eastAsia="Arial" w:hAnsi="Arial"/>
                <w:sz w:val="18"/>
                <w:szCs w:val="18"/>
                <w:b w:val="1"/>
                <w:bCs w:val="1"/>
                <w:color w:val="auto"/>
              </w:rPr>
              <w:t>Item 6.</w:t>
            </w:r>
          </w:p>
        </w:tc>
        <w:tc>
          <w:tcPr>
            <w:tcW w:w="10460" w:type="dxa"/>
            <w:vAlign w:val="bottom"/>
          </w:tcPr>
          <w:p>
            <w:pPr>
              <w:ind w:left="280"/>
              <w:spacing w:after="0"/>
              <w:rPr>
                <w:sz w:val="20"/>
                <w:szCs w:val="20"/>
                <w:color w:val="auto"/>
              </w:rPr>
            </w:pPr>
            <w:r>
              <w:rPr>
                <w:rFonts w:ascii="Arial" w:cs="Arial" w:eastAsia="Arial" w:hAnsi="Arial"/>
                <w:sz w:val="18"/>
                <w:szCs w:val="18"/>
                <w:b w:val="1"/>
                <w:bCs w:val="1"/>
                <w:color w:val="auto"/>
              </w:rPr>
              <w:t>Exhibits</w:t>
            </w:r>
          </w:p>
        </w:tc>
      </w:tr>
      <w:tr>
        <w:trPr>
          <w:trHeight w:val="412"/>
        </w:trPr>
        <w:tc>
          <w:tcPr>
            <w:tcW w:w="760" w:type="dxa"/>
            <w:vAlign w:val="bottom"/>
          </w:tcPr>
          <w:p>
            <w:pPr>
              <w:spacing w:after="0"/>
              <w:rPr>
                <w:sz w:val="20"/>
                <w:szCs w:val="20"/>
                <w:color w:val="auto"/>
              </w:rPr>
            </w:pPr>
            <w:r>
              <w:rPr>
                <w:rFonts w:ascii="Arial" w:cs="Arial" w:eastAsia="Arial" w:hAnsi="Arial"/>
                <w:sz w:val="18"/>
                <w:szCs w:val="18"/>
                <w:color w:val="auto"/>
              </w:rPr>
              <w:t>3(ii)</w:t>
            </w:r>
          </w:p>
        </w:tc>
        <w:tc>
          <w:tcPr>
            <w:tcW w:w="10460" w:type="dxa"/>
            <w:vAlign w:val="bottom"/>
          </w:tcPr>
          <w:p>
            <w:pPr>
              <w:ind w:left="240"/>
              <w:spacing w:after="0"/>
              <w:rPr>
                <w:sz w:val="20"/>
                <w:szCs w:val="20"/>
                <w:color w:val="auto"/>
              </w:rPr>
            </w:pPr>
            <w:r>
              <w:rPr>
                <w:rFonts w:ascii="Arial" w:cs="Arial" w:eastAsia="Arial" w:hAnsi="Arial"/>
                <w:sz w:val="18"/>
                <w:szCs w:val="18"/>
                <w:color w:val="auto"/>
                <w:w w:val="89"/>
              </w:rPr>
              <w:t>Bylaws of United Technologies Corporation, as amended and restated effective April 9, 2008, incorporated by reference to Exhibit 3(ii) to UTC’s</w:t>
            </w:r>
          </w:p>
        </w:tc>
      </w:tr>
      <w:tr>
        <w:trPr>
          <w:trHeight w:val="222"/>
        </w:trPr>
        <w:tc>
          <w:tcPr>
            <w:tcW w:w="760" w:type="dxa"/>
            <w:vAlign w:val="bottom"/>
          </w:tcPr>
          <w:p>
            <w:pPr>
              <w:spacing w:after="0"/>
              <w:rPr>
                <w:sz w:val="19"/>
                <w:szCs w:val="19"/>
                <w:color w:val="auto"/>
              </w:rPr>
            </w:pPr>
          </w:p>
        </w:tc>
        <w:tc>
          <w:tcPr>
            <w:tcW w:w="10460" w:type="dxa"/>
            <w:vAlign w:val="bottom"/>
          </w:tcPr>
          <w:p>
            <w:pPr>
              <w:ind w:left="240"/>
              <w:spacing w:after="0"/>
              <w:rPr>
                <w:sz w:val="20"/>
                <w:szCs w:val="20"/>
                <w:color w:val="auto"/>
              </w:rPr>
            </w:pPr>
            <w:r>
              <w:rPr>
                <w:rFonts w:ascii="Arial" w:cs="Arial" w:eastAsia="Arial" w:hAnsi="Arial"/>
                <w:sz w:val="18"/>
                <w:szCs w:val="18"/>
                <w:color w:val="auto"/>
              </w:rPr>
              <w:t>Current Report on Form 8-K (Commission file number 1-812) filed April 11, 2008.</w:t>
            </w:r>
          </w:p>
        </w:tc>
      </w:tr>
      <w:tr>
        <w:trPr>
          <w:trHeight w:val="318"/>
        </w:trPr>
        <w:tc>
          <w:tcPr>
            <w:tcW w:w="760" w:type="dxa"/>
            <w:vAlign w:val="bottom"/>
          </w:tcPr>
          <w:p>
            <w:pPr>
              <w:spacing w:after="0"/>
              <w:rPr>
                <w:sz w:val="20"/>
                <w:szCs w:val="20"/>
                <w:color w:val="auto"/>
              </w:rPr>
            </w:pPr>
            <w:r>
              <w:rPr>
                <w:rFonts w:ascii="Arial" w:cs="Arial" w:eastAsia="Arial" w:hAnsi="Arial"/>
                <w:sz w:val="18"/>
                <w:szCs w:val="18"/>
                <w:color w:val="auto"/>
              </w:rPr>
              <w:t>10.1</w:t>
            </w:r>
          </w:p>
        </w:tc>
        <w:tc>
          <w:tcPr>
            <w:tcW w:w="10460" w:type="dxa"/>
            <w:vAlign w:val="bottom"/>
          </w:tcPr>
          <w:p>
            <w:pPr>
              <w:ind w:left="240"/>
              <w:spacing w:after="0"/>
              <w:rPr>
                <w:sz w:val="20"/>
                <w:szCs w:val="20"/>
                <w:color w:val="auto"/>
              </w:rPr>
            </w:pPr>
            <w:r>
              <w:rPr>
                <w:rFonts w:ascii="Arial" w:cs="Arial" w:eastAsia="Arial" w:hAnsi="Arial"/>
                <w:sz w:val="18"/>
                <w:szCs w:val="18"/>
                <w:color w:val="auto"/>
                <w:w w:val="88"/>
              </w:rPr>
              <w:t>United Technologies Corporation 2005 Long-Term Incentive Plan, as amended and restated effective April 9, 2008, incorporated by reference to</w:t>
            </w:r>
          </w:p>
        </w:tc>
      </w:tr>
      <w:tr>
        <w:trPr>
          <w:trHeight w:val="222"/>
        </w:trPr>
        <w:tc>
          <w:tcPr>
            <w:tcW w:w="760" w:type="dxa"/>
            <w:vAlign w:val="bottom"/>
          </w:tcPr>
          <w:p>
            <w:pPr>
              <w:spacing w:after="0"/>
              <w:rPr>
                <w:sz w:val="19"/>
                <w:szCs w:val="19"/>
                <w:color w:val="auto"/>
              </w:rPr>
            </w:pPr>
          </w:p>
        </w:tc>
        <w:tc>
          <w:tcPr>
            <w:tcW w:w="10460" w:type="dxa"/>
            <w:vAlign w:val="bottom"/>
          </w:tcPr>
          <w:p>
            <w:pPr>
              <w:ind w:left="240"/>
              <w:spacing w:after="0"/>
              <w:rPr>
                <w:sz w:val="20"/>
                <w:szCs w:val="20"/>
                <w:color w:val="auto"/>
              </w:rPr>
            </w:pPr>
            <w:r>
              <w:rPr>
                <w:rFonts w:ascii="Arial" w:cs="Arial" w:eastAsia="Arial" w:hAnsi="Arial"/>
                <w:sz w:val="18"/>
                <w:szCs w:val="18"/>
                <w:color w:val="auto"/>
              </w:rPr>
              <w:t>Exhibit 10.1 to UTC’s Current Report on Form 8-K (Commission file number 1-812) filed April 11, 2008.</w:t>
            </w:r>
          </w:p>
        </w:tc>
      </w:tr>
      <w:tr>
        <w:trPr>
          <w:trHeight w:val="324"/>
        </w:trPr>
        <w:tc>
          <w:tcPr>
            <w:tcW w:w="760" w:type="dxa"/>
            <w:vAlign w:val="bottom"/>
          </w:tcPr>
          <w:p>
            <w:pPr>
              <w:spacing w:after="0"/>
              <w:rPr>
                <w:sz w:val="20"/>
                <w:szCs w:val="20"/>
                <w:color w:val="auto"/>
              </w:rPr>
            </w:pPr>
            <w:r>
              <w:rPr>
                <w:rFonts w:ascii="Arial" w:cs="Arial" w:eastAsia="Arial" w:hAnsi="Arial"/>
                <w:sz w:val="18"/>
                <w:szCs w:val="18"/>
                <w:color w:val="auto"/>
              </w:rPr>
              <w:t>10.4</w:t>
            </w:r>
          </w:p>
        </w:tc>
        <w:tc>
          <w:tcPr>
            <w:tcW w:w="10460" w:type="dxa"/>
            <w:vAlign w:val="bottom"/>
          </w:tcPr>
          <w:p>
            <w:pPr>
              <w:ind w:left="240"/>
              <w:spacing w:after="0"/>
              <w:rPr>
                <w:sz w:val="20"/>
                <w:szCs w:val="20"/>
                <w:color w:val="auto"/>
              </w:rPr>
            </w:pPr>
            <w:r>
              <w:rPr>
                <w:rFonts w:ascii="Arial" w:cs="Arial" w:eastAsia="Arial" w:hAnsi="Arial"/>
                <w:sz w:val="18"/>
                <w:szCs w:val="18"/>
                <w:color w:val="auto"/>
              </w:rPr>
              <w:t>United Technologies Corporation Senior Executive Severance Plan, as amended, effective June 11, 2008.*</w:t>
            </w:r>
          </w:p>
        </w:tc>
      </w:tr>
      <w:tr>
        <w:trPr>
          <w:trHeight w:val="324"/>
        </w:trPr>
        <w:tc>
          <w:tcPr>
            <w:tcW w:w="760" w:type="dxa"/>
            <w:vAlign w:val="bottom"/>
          </w:tcPr>
          <w:p>
            <w:pPr>
              <w:spacing w:after="0"/>
              <w:rPr>
                <w:sz w:val="20"/>
                <w:szCs w:val="20"/>
                <w:color w:val="auto"/>
              </w:rPr>
            </w:pPr>
            <w:r>
              <w:rPr>
                <w:rFonts w:ascii="Arial" w:cs="Arial" w:eastAsia="Arial" w:hAnsi="Arial"/>
                <w:sz w:val="18"/>
                <w:szCs w:val="18"/>
                <w:color w:val="auto"/>
              </w:rPr>
              <w:t>12</w:t>
            </w:r>
          </w:p>
        </w:tc>
        <w:tc>
          <w:tcPr>
            <w:tcW w:w="10460" w:type="dxa"/>
            <w:vAlign w:val="bottom"/>
          </w:tcPr>
          <w:p>
            <w:pPr>
              <w:ind w:left="240"/>
              <w:spacing w:after="0"/>
              <w:rPr>
                <w:sz w:val="20"/>
                <w:szCs w:val="20"/>
                <w:color w:val="auto"/>
              </w:rPr>
            </w:pPr>
            <w:r>
              <w:rPr>
                <w:rFonts w:ascii="Arial" w:cs="Arial" w:eastAsia="Arial" w:hAnsi="Arial"/>
                <w:sz w:val="18"/>
                <w:szCs w:val="18"/>
                <w:color w:val="auto"/>
              </w:rPr>
              <w:t>Statement re: computation of ratio of earnings to fixed charges.*</w:t>
            </w:r>
          </w:p>
        </w:tc>
      </w:tr>
      <w:tr>
        <w:trPr>
          <w:trHeight w:val="324"/>
        </w:trPr>
        <w:tc>
          <w:tcPr>
            <w:tcW w:w="760" w:type="dxa"/>
            <w:vAlign w:val="bottom"/>
          </w:tcPr>
          <w:p>
            <w:pPr>
              <w:spacing w:after="0"/>
              <w:rPr>
                <w:sz w:val="20"/>
                <w:szCs w:val="20"/>
                <w:color w:val="auto"/>
              </w:rPr>
            </w:pPr>
            <w:r>
              <w:rPr>
                <w:rFonts w:ascii="Arial" w:cs="Arial" w:eastAsia="Arial" w:hAnsi="Arial"/>
                <w:sz w:val="18"/>
                <w:szCs w:val="18"/>
                <w:color w:val="auto"/>
              </w:rPr>
              <w:t>15</w:t>
            </w:r>
          </w:p>
        </w:tc>
        <w:tc>
          <w:tcPr>
            <w:tcW w:w="10460" w:type="dxa"/>
            <w:vAlign w:val="bottom"/>
          </w:tcPr>
          <w:p>
            <w:pPr>
              <w:ind w:left="240"/>
              <w:spacing w:after="0"/>
              <w:rPr>
                <w:sz w:val="20"/>
                <w:szCs w:val="20"/>
                <w:color w:val="auto"/>
              </w:rPr>
            </w:pPr>
            <w:r>
              <w:rPr>
                <w:rFonts w:ascii="Arial" w:cs="Arial" w:eastAsia="Arial" w:hAnsi="Arial"/>
                <w:sz w:val="18"/>
                <w:szCs w:val="18"/>
                <w:color w:val="auto"/>
              </w:rPr>
              <w:t>Letter re: unaudited interim financial information.*</w:t>
            </w:r>
          </w:p>
        </w:tc>
      </w:tr>
    </w:tbl>
    <w:p>
      <w:pPr>
        <w:spacing w:after="0" w:line="102" w:lineRule="exact"/>
        <w:rPr>
          <w:sz w:val="20"/>
          <w:szCs w:val="20"/>
          <w:color w:val="auto"/>
        </w:rPr>
      </w:pPr>
    </w:p>
    <w:p>
      <w:pPr>
        <w:ind w:left="1000" w:hanging="992"/>
        <w:spacing w:after="0"/>
        <w:tabs>
          <w:tab w:leader="none" w:pos="1000" w:val="left"/>
        </w:tabs>
        <w:numPr>
          <w:ilvl w:val="0"/>
          <w:numId w:val="5"/>
        </w:numPr>
        <w:rPr>
          <w:rFonts w:ascii="Arial" w:cs="Arial" w:eastAsia="Arial" w:hAnsi="Arial"/>
          <w:sz w:val="18"/>
          <w:szCs w:val="18"/>
          <w:color w:val="auto"/>
        </w:rPr>
      </w:pPr>
      <w:r>
        <w:rPr>
          <w:rFonts w:ascii="Arial" w:cs="Arial" w:eastAsia="Arial" w:hAnsi="Arial"/>
          <w:sz w:val="18"/>
          <w:szCs w:val="18"/>
          <w:color w:val="auto"/>
        </w:rPr>
        <w:t>Rule 13a-14(a)/15d-14(a) Certifications.*</w:t>
      </w:r>
    </w:p>
    <w:p>
      <w:pPr>
        <w:spacing w:after="0" w:line="117" w:lineRule="exact"/>
        <w:rPr>
          <w:rFonts w:ascii="Arial" w:cs="Arial" w:eastAsia="Arial" w:hAnsi="Arial"/>
          <w:sz w:val="18"/>
          <w:szCs w:val="18"/>
          <w:color w:val="auto"/>
        </w:rPr>
      </w:pPr>
    </w:p>
    <w:p>
      <w:pPr>
        <w:ind w:left="1000" w:hanging="992"/>
        <w:spacing w:after="0"/>
        <w:tabs>
          <w:tab w:leader="none" w:pos="1000" w:val="left"/>
        </w:tabs>
        <w:numPr>
          <w:ilvl w:val="0"/>
          <w:numId w:val="5"/>
        </w:numPr>
        <w:rPr>
          <w:rFonts w:ascii="Arial" w:cs="Arial" w:eastAsia="Arial" w:hAnsi="Arial"/>
          <w:sz w:val="18"/>
          <w:szCs w:val="18"/>
          <w:color w:val="auto"/>
        </w:rPr>
      </w:pPr>
      <w:r>
        <w:rPr>
          <w:rFonts w:ascii="Arial" w:cs="Arial" w:eastAsia="Arial" w:hAnsi="Arial"/>
          <w:sz w:val="18"/>
          <w:szCs w:val="18"/>
          <w:color w:val="auto"/>
        </w:rPr>
        <w:t>Section 1350 Certifications.*</w:t>
      </w:r>
    </w:p>
    <w:p>
      <w:pPr>
        <w:spacing w:after="0" w:line="117"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840" w:type="dxa"/>
            <w:vAlign w:val="bottom"/>
          </w:tcPr>
          <w:p>
            <w:pPr>
              <w:spacing w:after="0"/>
              <w:rPr>
                <w:sz w:val="20"/>
                <w:szCs w:val="20"/>
                <w:color w:val="auto"/>
              </w:rPr>
            </w:pPr>
            <w:r>
              <w:rPr>
                <w:rFonts w:ascii="Arial" w:cs="Arial" w:eastAsia="Arial" w:hAnsi="Arial"/>
                <w:sz w:val="18"/>
                <w:szCs w:val="18"/>
                <w:color w:val="auto"/>
              </w:rPr>
              <w:t>100.INS</w:t>
            </w:r>
          </w:p>
        </w:tc>
        <w:tc>
          <w:tcPr>
            <w:tcW w:w="3920" w:type="dxa"/>
            <w:vAlign w:val="bottom"/>
          </w:tcPr>
          <w:p>
            <w:pPr>
              <w:ind w:left="160"/>
              <w:spacing w:after="0"/>
              <w:rPr>
                <w:sz w:val="20"/>
                <w:szCs w:val="20"/>
                <w:color w:val="auto"/>
              </w:rPr>
            </w:pPr>
            <w:r>
              <w:rPr>
                <w:rFonts w:ascii="Arial" w:cs="Arial" w:eastAsia="Arial" w:hAnsi="Arial"/>
                <w:sz w:val="18"/>
                <w:szCs w:val="18"/>
                <w:color w:val="auto"/>
              </w:rPr>
              <w:t>XBRL Instance Document.*</w:t>
            </w:r>
          </w:p>
        </w:tc>
      </w:tr>
      <w:tr>
        <w:trPr>
          <w:trHeight w:val="222"/>
        </w:trPr>
        <w:tc>
          <w:tcPr>
            <w:tcW w:w="840" w:type="dxa"/>
            <w:vAlign w:val="bottom"/>
          </w:tcPr>
          <w:p>
            <w:pPr>
              <w:spacing w:after="0"/>
              <w:rPr>
                <w:sz w:val="19"/>
                <w:szCs w:val="19"/>
                <w:color w:val="auto"/>
              </w:rPr>
            </w:pPr>
          </w:p>
        </w:tc>
        <w:tc>
          <w:tcPr>
            <w:tcW w:w="3920" w:type="dxa"/>
            <w:vAlign w:val="bottom"/>
          </w:tcPr>
          <w:p>
            <w:pPr>
              <w:ind w:left="160"/>
              <w:spacing w:after="0"/>
              <w:rPr>
                <w:sz w:val="20"/>
                <w:szCs w:val="20"/>
                <w:color w:val="auto"/>
              </w:rPr>
            </w:pPr>
            <w:r>
              <w:rPr>
                <w:rFonts w:ascii="Arial" w:cs="Arial" w:eastAsia="Arial" w:hAnsi="Arial"/>
                <w:sz w:val="18"/>
                <w:szCs w:val="18"/>
                <w:color w:val="auto"/>
              </w:rPr>
              <w:t>(File name: utx-20080630.xml)</w:t>
            </w:r>
          </w:p>
        </w:tc>
      </w:tr>
      <w:tr>
        <w:trPr>
          <w:trHeight w:val="331"/>
        </w:trPr>
        <w:tc>
          <w:tcPr>
            <w:tcW w:w="840" w:type="dxa"/>
            <w:vAlign w:val="bottom"/>
          </w:tcPr>
          <w:p>
            <w:pPr>
              <w:spacing w:after="0"/>
              <w:rPr>
                <w:sz w:val="20"/>
                <w:szCs w:val="20"/>
                <w:color w:val="auto"/>
              </w:rPr>
            </w:pPr>
            <w:r>
              <w:rPr>
                <w:rFonts w:ascii="Arial" w:cs="Arial" w:eastAsia="Arial" w:hAnsi="Arial"/>
                <w:sz w:val="18"/>
                <w:szCs w:val="18"/>
                <w:color w:val="auto"/>
              </w:rPr>
              <w:t>100.SCH</w:t>
            </w:r>
          </w:p>
        </w:tc>
        <w:tc>
          <w:tcPr>
            <w:tcW w:w="3920" w:type="dxa"/>
            <w:vAlign w:val="bottom"/>
          </w:tcPr>
          <w:p>
            <w:pPr>
              <w:ind w:left="160"/>
              <w:spacing w:after="0"/>
              <w:rPr>
                <w:sz w:val="20"/>
                <w:szCs w:val="20"/>
                <w:color w:val="auto"/>
              </w:rPr>
            </w:pPr>
            <w:r>
              <w:rPr>
                <w:rFonts w:ascii="Arial" w:cs="Arial" w:eastAsia="Arial" w:hAnsi="Arial"/>
                <w:sz w:val="18"/>
                <w:szCs w:val="18"/>
                <w:color w:val="auto"/>
                <w:w w:val="95"/>
              </w:rPr>
              <w:t>XBRL Taxonomy Extension Schema Document.*</w:t>
            </w:r>
          </w:p>
        </w:tc>
      </w:tr>
      <w:tr>
        <w:trPr>
          <w:trHeight w:val="222"/>
        </w:trPr>
        <w:tc>
          <w:tcPr>
            <w:tcW w:w="840" w:type="dxa"/>
            <w:vAlign w:val="bottom"/>
          </w:tcPr>
          <w:p>
            <w:pPr>
              <w:spacing w:after="0"/>
              <w:rPr>
                <w:sz w:val="19"/>
                <w:szCs w:val="19"/>
                <w:color w:val="auto"/>
              </w:rPr>
            </w:pPr>
          </w:p>
        </w:tc>
        <w:tc>
          <w:tcPr>
            <w:tcW w:w="3920" w:type="dxa"/>
            <w:vAlign w:val="bottom"/>
          </w:tcPr>
          <w:p>
            <w:pPr>
              <w:ind w:left="160"/>
              <w:spacing w:after="0"/>
              <w:rPr>
                <w:sz w:val="20"/>
                <w:szCs w:val="20"/>
                <w:color w:val="auto"/>
              </w:rPr>
            </w:pPr>
            <w:r>
              <w:rPr>
                <w:rFonts w:ascii="Arial" w:cs="Arial" w:eastAsia="Arial" w:hAnsi="Arial"/>
                <w:sz w:val="18"/>
                <w:szCs w:val="18"/>
                <w:color w:val="auto"/>
              </w:rPr>
              <w:t>(File name: utx-20080630.xsd)</w:t>
            </w:r>
          </w:p>
        </w:tc>
      </w:tr>
      <w:tr>
        <w:trPr>
          <w:trHeight w:val="331"/>
        </w:trPr>
        <w:tc>
          <w:tcPr>
            <w:tcW w:w="840" w:type="dxa"/>
            <w:vAlign w:val="bottom"/>
          </w:tcPr>
          <w:p>
            <w:pPr>
              <w:spacing w:after="0"/>
              <w:rPr>
                <w:sz w:val="20"/>
                <w:szCs w:val="20"/>
                <w:color w:val="auto"/>
              </w:rPr>
            </w:pPr>
            <w:r>
              <w:rPr>
                <w:rFonts w:ascii="Arial" w:cs="Arial" w:eastAsia="Arial" w:hAnsi="Arial"/>
                <w:sz w:val="18"/>
                <w:szCs w:val="18"/>
                <w:color w:val="auto"/>
              </w:rPr>
              <w:t>100.PRE</w:t>
            </w:r>
          </w:p>
        </w:tc>
        <w:tc>
          <w:tcPr>
            <w:tcW w:w="3920" w:type="dxa"/>
            <w:vAlign w:val="bottom"/>
          </w:tcPr>
          <w:p>
            <w:pPr>
              <w:ind w:left="160"/>
              <w:spacing w:after="0"/>
              <w:rPr>
                <w:sz w:val="20"/>
                <w:szCs w:val="20"/>
                <w:color w:val="auto"/>
              </w:rPr>
            </w:pPr>
            <w:r>
              <w:rPr>
                <w:rFonts w:ascii="Arial" w:cs="Arial" w:eastAsia="Arial" w:hAnsi="Arial"/>
                <w:sz w:val="18"/>
                <w:szCs w:val="18"/>
                <w:color w:val="auto"/>
                <w:w w:val="89"/>
              </w:rPr>
              <w:t>XBRL Taxonomy Presentation Linkbase Document.*</w:t>
            </w:r>
          </w:p>
        </w:tc>
      </w:tr>
      <w:tr>
        <w:trPr>
          <w:trHeight w:val="222"/>
        </w:trPr>
        <w:tc>
          <w:tcPr>
            <w:tcW w:w="840" w:type="dxa"/>
            <w:vAlign w:val="bottom"/>
          </w:tcPr>
          <w:p>
            <w:pPr>
              <w:spacing w:after="0"/>
              <w:rPr>
                <w:sz w:val="19"/>
                <w:szCs w:val="19"/>
                <w:color w:val="auto"/>
              </w:rPr>
            </w:pPr>
          </w:p>
        </w:tc>
        <w:tc>
          <w:tcPr>
            <w:tcW w:w="3920" w:type="dxa"/>
            <w:vAlign w:val="bottom"/>
          </w:tcPr>
          <w:p>
            <w:pPr>
              <w:ind w:left="160"/>
              <w:spacing w:after="0"/>
              <w:rPr>
                <w:sz w:val="20"/>
                <w:szCs w:val="20"/>
                <w:color w:val="auto"/>
              </w:rPr>
            </w:pPr>
            <w:r>
              <w:rPr>
                <w:rFonts w:ascii="Arial" w:cs="Arial" w:eastAsia="Arial" w:hAnsi="Arial"/>
                <w:sz w:val="18"/>
                <w:szCs w:val="18"/>
                <w:color w:val="auto"/>
              </w:rPr>
              <w:t>(File name: utx-20080630_pre.xml)</w:t>
            </w:r>
          </w:p>
        </w:tc>
      </w:tr>
      <w:tr>
        <w:trPr>
          <w:trHeight w:val="331"/>
        </w:trPr>
        <w:tc>
          <w:tcPr>
            <w:tcW w:w="840" w:type="dxa"/>
            <w:vAlign w:val="bottom"/>
          </w:tcPr>
          <w:p>
            <w:pPr>
              <w:spacing w:after="0"/>
              <w:rPr>
                <w:sz w:val="20"/>
                <w:szCs w:val="20"/>
                <w:color w:val="auto"/>
              </w:rPr>
            </w:pPr>
            <w:r>
              <w:rPr>
                <w:rFonts w:ascii="Arial" w:cs="Arial" w:eastAsia="Arial" w:hAnsi="Arial"/>
                <w:sz w:val="18"/>
                <w:szCs w:val="18"/>
                <w:color w:val="auto"/>
              </w:rPr>
              <w:t>100.LAB</w:t>
            </w:r>
          </w:p>
        </w:tc>
        <w:tc>
          <w:tcPr>
            <w:tcW w:w="3920" w:type="dxa"/>
            <w:vAlign w:val="bottom"/>
          </w:tcPr>
          <w:p>
            <w:pPr>
              <w:ind w:left="160"/>
              <w:spacing w:after="0"/>
              <w:rPr>
                <w:sz w:val="20"/>
                <w:szCs w:val="20"/>
                <w:color w:val="auto"/>
              </w:rPr>
            </w:pPr>
            <w:r>
              <w:rPr>
                <w:rFonts w:ascii="Arial" w:cs="Arial" w:eastAsia="Arial" w:hAnsi="Arial"/>
                <w:sz w:val="18"/>
                <w:szCs w:val="18"/>
                <w:color w:val="auto"/>
              </w:rPr>
              <w:t>XBRL Taxonomy Label Linkbase Document.*</w:t>
            </w:r>
          </w:p>
        </w:tc>
      </w:tr>
      <w:tr>
        <w:trPr>
          <w:trHeight w:val="222"/>
        </w:trPr>
        <w:tc>
          <w:tcPr>
            <w:tcW w:w="840" w:type="dxa"/>
            <w:vAlign w:val="bottom"/>
          </w:tcPr>
          <w:p>
            <w:pPr>
              <w:spacing w:after="0"/>
              <w:rPr>
                <w:sz w:val="19"/>
                <w:szCs w:val="19"/>
                <w:color w:val="auto"/>
              </w:rPr>
            </w:pPr>
          </w:p>
        </w:tc>
        <w:tc>
          <w:tcPr>
            <w:tcW w:w="3920" w:type="dxa"/>
            <w:vAlign w:val="bottom"/>
          </w:tcPr>
          <w:p>
            <w:pPr>
              <w:ind w:left="160"/>
              <w:spacing w:after="0"/>
              <w:rPr>
                <w:sz w:val="20"/>
                <w:szCs w:val="20"/>
                <w:color w:val="auto"/>
              </w:rPr>
            </w:pPr>
            <w:r>
              <w:rPr>
                <w:rFonts w:ascii="Arial" w:cs="Arial" w:eastAsia="Arial" w:hAnsi="Arial"/>
                <w:sz w:val="18"/>
                <w:szCs w:val="18"/>
                <w:color w:val="auto"/>
              </w:rPr>
              <w:t>(File name: utx-20080630_lab.xml)</w:t>
            </w:r>
          </w:p>
        </w:tc>
      </w:tr>
      <w:tr>
        <w:trPr>
          <w:trHeight w:val="331"/>
        </w:trPr>
        <w:tc>
          <w:tcPr>
            <w:tcW w:w="840" w:type="dxa"/>
            <w:vAlign w:val="bottom"/>
          </w:tcPr>
          <w:p>
            <w:pPr>
              <w:spacing w:after="0"/>
              <w:rPr>
                <w:sz w:val="20"/>
                <w:szCs w:val="20"/>
                <w:color w:val="auto"/>
              </w:rPr>
            </w:pPr>
            <w:r>
              <w:rPr>
                <w:rFonts w:ascii="Arial" w:cs="Arial" w:eastAsia="Arial" w:hAnsi="Arial"/>
                <w:sz w:val="18"/>
                <w:szCs w:val="18"/>
                <w:color w:val="auto"/>
              </w:rPr>
              <w:t>100.CAL</w:t>
            </w:r>
          </w:p>
        </w:tc>
        <w:tc>
          <w:tcPr>
            <w:tcW w:w="3920" w:type="dxa"/>
            <w:vAlign w:val="bottom"/>
          </w:tcPr>
          <w:p>
            <w:pPr>
              <w:ind w:left="160"/>
              <w:spacing w:after="0"/>
              <w:rPr>
                <w:sz w:val="20"/>
                <w:szCs w:val="20"/>
                <w:color w:val="auto"/>
              </w:rPr>
            </w:pPr>
            <w:r>
              <w:rPr>
                <w:rFonts w:ascii="Arial" w:cs="Arial" w:eastAsia="Arial" w:hAnsi="Arial"/>
                <w:sz w:val="18"/>
                <w:szCs w:val="18"/>
                <w:color w:val="auto"/>
                <w:w w:val="92"/>
              </w:rPr>
              <w:t>XBRL Taxonomy Calculation Linkbase Document.*</w:t>
            </w:r>
          </w:p>
        </w:tc>
      </w:tr>
      <w:tr>
        <w:trPr>
          <w:trHeight w:val="222"/>
        </w:trPr>
        <w:tc>
          <w:tcPr>
            <w:tcW w:w="840" w:type="dxa"/>
            <w:vAlign w:val="bottom"/>
          </w:tcPr>
          <w:p>
            <w:pPr>
              <w:spacing w:after="0"/>
              <w:rPr>
                <w:sz w:val="19"/>
                <w:szCs w:val="19"/>
                <w:color w:val="auto"/>
              </w:rPr>
            </w:pPr>
          </w:p>
        </w:tc>
        <w:tc>
          <w:tcPr>
            <w:tcW w:w="3920" w:type="dxa"/>
            <w:vAlign w:val="bottom"/>
          </w:tcPr>
          <w:p>
            <w:pPr>
              <w:ind w:left="160"/>
              <w:spacing w:after="0"/>
              <w:rPr>
                <w:sz w:val="20"/>
                <w:szCs w:val="20"/>
                <w:color w:val="auto"/>
              </w:rPr>
            </w:pPr>
            <w:r>
              <w:rPr>
                <w:rFonts w:ascii="Arial" w:cs="Arial" w:eastAsia="Arial" w:hAnsi="Arial"/>
                <w:sz w:val="18"/>
                <w:szCs w:val="18"/>
                <w:color w:val="auto"/>
              </w:rPr>
              <w:t>(File name: utx-20080630_cal.xml)</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78740</wp:posOffset>
            </wp:positionV>
            <wp:extent cx="728980" cy="8890"/>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28980" cy="8890"/>
                    </a:xfrm>
                    <a:prstGeom prst="rect">
                      <a:avLst/>
                    </a:prstGeom>
                    <a:noFill/>
                  </pic:spPr>
                </pic:pic>
              </a:graphicData>
            </a:graphic>
          </wp:anchor>
        </w:drawing>
      </w:r>
    </w:p>
    <w:p>
      <w:pPr>
        <w:spacing w:after="0" w:line="136" w:lineRule="exact"/>
        <w:rPr>
          <w:sz w:val="20"/>
          <w:szCs w:val="20"/>
          <w:color w:val="auto"/>
        </w:rPr>
      </w:pPr>
    </w:p>
    <w:p>
      <w:pPr>
        <w:spacing w:after="0"/>
        <w:tabs>
          <w:tab w:leader="none" w:pos="200" w:val="left"/>
        </w:tabs>
        <w:rPr>
          <w:sz w:val="20"/>
          <w:szCs w:val="20"/>
          <w:color w:val="auto"/>
        </w:rPr>
      </w:pPr>
      <w:r>
        <w:rPr>
          <w:rFonts w:ascii="Arial" w:cs="Arial" w:eastAsia="Arial" w:hAnsi="Arial"/>
          <w:sz w:val="18"/>
          <w:szCs w:val="18"/>
          <w:color w:val="auto"/>
        </w:rPr>
        <w:t>*</w:t>
      </w:r>
      <w:r>
        <w:rPr>
          <w:sz w:val="20"/>
          <w:szCs w:val="20"/>
          <w:color w:val="auto"/>
        </w:rPr>
        <w:tab/>
      </w:r>
      <w:r>
        <w:rPr>
          <w:rFonts w:ascii="Arial" w:cs="Arial" w:eastAsia="Arial" w:hAnsi="Arial"/>
          <w:sz w:val="16"/>
          <w:szCs w:val="16"/>
          <w:color w:val="auto"/>
        </w:rPr>
        <w:t>Submitted electronically herewith.</w:t>
      </w:r>
    </w:p>
    <w:p>
      <w:pPr>
        <w:spacing w:after="0" w:line="171" w:lineRule="exact"/>
        <w:rPr>
          <w:sz w:val="20"/>
          <w:szCs w:val="20"/>
          <w:color w:val="auto"/>
        </w:rPr>
      </w:pPr>
    </w:p>
    <w:p>
      <w:pPr>
        <w:spacing w:after="0" w:line="290" w:lineRule="auto"/>
        <w:rPr>
          <w:sz w:val="20"/>
          <w:szCs w:val="20"/>
          <w:color w:val="auto"/>
        </w:rPr>
      </w:pPr>
      <w:r>
        <w:rPr>
          <w:rFonts w:ascii="Arial" w:cs="Arial" w:eastAsia="Arial" w:hAnsi="Arial"/>
          <w:sz w:val="16"/>
          <w:szCs w:val="16"/>
          <w:color w:val="auto"/>
        </w:rPr>
        <w:t>Attached as Exhibit 100 to this report are the following formatted in XBRL (Extensible Business Reporting Language): (i) Condensed Consolidated Statement of Operations for the quarters ended June 30, 2008 and 2007, (ii) Condensed Consolidated Statement of Operations for the six months ended June 30, 2008 and 2007, (iii) Condensed Consolidated Balance Sheet at June 30, 2008 and December 31, 2007, (iv) Condensed Consolidated Statement of Cash Flows for the six months ended June 30, 2008 and 2007. Users of this data are advised pursuant to Rule 401 of Regulation S-T that the information contained in the XBRL documents is unaudited and these are not the official publicly filed financial statements of United Technologies Corporation. The purpose of submitting these XBRL formatted documents is to test the related format and technology and, as a result, investors should continue to rely on the official filed version of the furnished documents and not rely on this information in making investment decisions.</w:t>
      </w:r>
    </w:p>
    <w:p>
      <w:pPr>
        <w:spacing w:after="0" w:line="118" w:lineRule="exact"/>
        <w:rPr>
          <w:sz w:val="20"/>
          <w:szCs w:val="20"/>
          <w:color w:val="auto"/>
        </w:rPr>
      </w:pPr>
    </w:p>
    <w:p>
      <w:pPr>
        <w:ind w:right="160"/>
        <w:spacing w:after="0" w:line="256" w:lineRule="auto"/>
        <w:rPr>
          <w:sz w:val="20"/>
          <w:szCs w:val="20"/>
          <w:color w:val="auto"/>
        </w:rPr>
      </w:pPr>
      <w:r>
        <w:rPr>
          <w:rFonts w:ascii="Arial" w:cs="Arial" w:eastAsia="Arial" w:hAnsi="Arial"/>
          <w:sz w:val="18"/>
          <w:szCs w:val="18"/>
          <w:color w:val="auto"/>
        </w:rPr>
        <w:t>In accordance with Rule 402 of Regulation S-T, the XBRL related information in Exhibit 100 to this Quarterly Report on Form 10-Q shall not be deemed to be “filed” for purposes of Section 18 of the Exchange Act, or otherwise subject to the liability of that section, and shall not be incorporated by reference into any registration statement or other document filed under the Securities Act or the Exchange Act, except as shall be expressly set forth by specific reference in such filing.</w:t>
      </w:r>
    </w:p>
    <w:p>
      <w:pPr>
        <w:spacing w:after="0" w:line="130"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39</w:t>
      </w:r>
    </w:p>
    <w:p>
      <w:pPr>
        <w:sectPr>
          <w:pgSz w:w="11900" w:h="16838" w:orient="portrait"/>
          <w:cols w:equalWidth="0" w:num="1">
            <w:col w:w="11340"/>
          </w:cols>
          <w:pgMar w:left="240" w:top="459" w:right="319" w:bottom="1440" w:gutter="0" w:footer="0" w:header="0"/>
        </w:sectPr>
      </w:pPr>
    </w:p>
    <w:bookmarkStart w:id="39" w:name="page40"/>
    <w:bookmarkEnd w:id="3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ind w:right="-439"/>
        <w:spacing w:after="0"/>
        <w:rPr>
          <w:sz w:val="20"/>
          <w:szCs w:val="20"/>
          <w:color w:val="auto"/>
        </w:rPr>
      </w:pPr>
      <w:r>
        <w:rPr>
          <w:rFonts w:ascii="Arial" w:cs="Arial" w:eastAsia="Arial" w:hAnsi="Arial"/>
          <w:sz w:val="18"/>
          <w:szCs w:val="18"/>
          <w:b w:val="1"/>
          <w:bCs w:val="1"/>
          <w:color w:val="auto"/>
        </w:rPr>
        <w:t>SIGNATURES</w:t>
      </w:r>
    </w:p>
    <w:p>
      <w:pPr>
        <w:spacing w:after="0" w:line="177" w:lineRule="exact"/>
        <w:rPr>
          <w:sz w:val="20"/>
          <w:szCs w:val="20"/>
          <w:color w:val="auto"/>
        </w:rPr>
      </w:pPr>
    </w:p>
    <w:p>
      <w:pPr>
        <w:spacing w:after="0" w:line="268"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thereunto duly authorized.</w:t>
      </w:r>
    </w:p>
    <w:p>
      <w:pPr>
        <w:sectPr>
          <w:pgSz w:w="11900" w:h="16838" w:orient="portrait"/>
          <w:cols w:equalWidth="0" w:num="1">
            <w:col w:w="11000"/>
          </w:cols>
          <w:pgMar w:left="240" w:top="459" w:right="65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5" w:lineRule="exact"/>
        <w:rPr>
          <w:sz w:val="20"/>
          <w:szCs w:val="20"/>
          <w:color w:val="auto"/>
        </w:rPr>
      </w:pPr>
    </w:p>
    <w:p>
      <w:pPr>
        <w:spacing w:after="0"/>
        <w:rPr>
          <w:sz w:val="20"/>
          <w:szCs w:val="20"/>
          <w:color w:val="auto"/>
        </w:rPr>
      </w:pPr>
      <w:r>
        <w:rPr>
          <w:rFonts w:ascii="Arial" w:cs="Arial" w:eastAsia="Arial" w:hAnsi="Arial"/>
          <w:sz w:val="16"/>
          <w:szCs w:val="16"/>
          <w:color w:val="auto"/>
        </w:rPr>
        <w:t>Dated: July 22, 2008</w:t>
      </w:r>
    </w:p>
    <w:p>
      <w:pPr>
        <w:spacing w:after="0" w:line="200" w:lineRule="exact"/>
        <w:rPr>
          <w:sz w:val="20"/>
          <w:szCs w:val="20"/>
          <w:color w:val="auto"/>
        </w:rPr>
      </w:pPr>
    </w:p>
    <w:p>
      <w:pPr>
        <w:spacing w:after="0" w:line="200" w:lineRule="exact"/>
        <w:rPr>
          <w:sz w:val="20"/>
          <w:szCs w:val="20"/>
          <w:color w:val="auto"/>
        </w:rPr>
      </w:pPr>
    </w:p>
    <w:p>
      <w:pPr>
        <w:spacing w:after="0" w:line="307" w:lineRule="exact"/>
        <w:rPr>
          <w:sz w:val="20"/>
          <w:szCs w:val="20"/>
          <w:color w:val="auto"/>
        </w:rPr>
      </w:pPr>
    </w:p>
    <w:p>
      <w:pPr>
        <w:spacing w:after="0"/>
        <w:rPr>
          <w:sz w:val="20"/>
          <w:szCs w:val="20"/>
          <w:color w:val="auto"/>
        </w:rPr>
      </w:pPr>
      <w:r>
        <w:rPr>
          <w:rFonts w:ascii="Arial" w:cs="Arial" w:eastAsia="Arial" w:hAnsi="Arial"/>
          <w:sz w:val="16"/>
          <w:szCs w:val="16"/>
          <w:color w:val="auto"/>
        </w:rPr>
        <w:t>Dated: July 22, 2008</w:t>
      </w:r>
    </w:p>
    <w:p>
      <w:pPr>
        <w:spacing w:after="0" w:line="200" w:lineRule="exact"/>
        <w:rPr>
          <w:sz w:val="20"/>
          <w:szCs w:val="20"/>
          <w:color w:val="auto"/>
        </w:rPr>
      </w:pPr>
    </w:p>
    <w:p>
      <w:pPr>
        <w:spacing w:after="0" w:line="200" w:lineRule="exact"/>
        <w:rPr>
          <w:sz w:val="20"/>
          <w:szCs w:val="20"/>
          <w:color w:val="auto"/>
        </w:rPr>
      </w:pPr>
    </w:p>
    <w:p>
      <w:pPr>
        <w:spacing w:after="0" w:line="307" w:lineRule="exact"/>
        <w:rPr>
          <w:sz w:val="20"/>
          <w:szCs w:val="20"/>
          <w:color w:val="auto"/>
        </w:rPr>
      </w:pPr>
    </w:p>
    <w:p>
      <w:pPr>
        <w:spacing w:after="0"/>
        <w:rPr>
          <w:sz w:val="20"/>
          <w:szCs w:val="20"/>
          <w:color w:val="auto"/>
        </w:rPr>
      </w:pPr>
      <w:r>
        <w:rPr>
          <w:rFonts w:ascii="Arial" w:cs="Arial" w:eastAsia="Arial" w:hAnsi="Arial"/>
          <w:sz w:val="16"/>
          <w:szCs w:val="16"/>
          <w:color w:val="auto"/>
        </w:rPr>
        <w:t>Dated: July 22, 2008</w:t>
      </w:r>
    </w:p>
    <w:p>
      <w:pPr>
        <w:spacing w:after="0" w:line="200" w:lineRule="exact"/>
        <w:rPr>
          <w:sz w:val="20"/>
          <w:szCs w:val="20"/>
          <w:color w:val="auto"/>
        </w:rPr>
      </w:pPr>
    </w:p>
    <w:p>
      <w:pPr>
        <w:spacing w:after="0" w:line="200" w:lineRule="exact"/>
        <w:rPr>
          <w:sz w:val="20"/>
          <w:szCs w:val="20"/>
          <w:color w:val="auto"/>
        </w:rPr>
      </w:pPr>
    </w:p>
    <w:p>
      <w:pPr>
        <w:spacing w:after="0" w:line="307" w:lineRule="exact"/>
        <w:rPr>
          <w:sz w:val="20"/>
          <w:szCs w:val="20"/>
          <w:color w:val="auto"/>
        </w:rPr>
      </w:pPr>
    </w:p>
    <w:p>
      <w:pPr>
        <w:spacing w:after="0"/>
        <w:rPr>
          <w:sz w:val="20"/>
          <w:szCs w:val="20"/>
          <w:color w:val="auto"/>
        </w:rPr>
      </w:pPr>
      <w:r>
        <w:rPr>
          <w:rFonts w:ascii="Arial" w:cs="Arial" w:eastAsia="Arial" w:hAnsi="Arial"/>
          <w:sz w:val="16"/>
          <w:szCs w:val="16"/>
          <w:color w:val="auto"/>
        </w:rPr>
        <w:t>Dated: July 22, 2008</w:t>
      </w:r>
    </w:p>
    <w:p>
      <w:pPr>
        <w:spacing w:after="0" w:line="20" w:lineRule="exact"/>
        <w:rPr>
          <w:sz w:val="20"/>
          <w:szCs w:val="20"/>
          <w:color w:val="auto"/>
        </w:rPr>
      </w:pPr>
      <w:r>
        <w:rPr>
          <w:sz w:val="20"/>
          <w:szCs w:val="20"/>
          <w:color w:val="auto"/>
        </w:rPr>
        <w:br w:type="column"/>
      </w:r>
    </w:p>
    <w:p>
      <w:pPr>
        <w:spacing w:after="0" w:line="152" w:lineRule="exact"/>
        <w:rPr>
          <w:sz w:val="20"/>
          <w:szCs w:val="20"/>
          <w:color w:val="auto"/>
        </w:rPr>
      </w:pPr>
    </w:p>
    <w:p>
      <w:pPr>
        <w:spacing w:after="0"/>
        <w:rPr>
          <w:sz w:val="20"/>
          <w:szCs w:val="20"/>
          <w:color w:val="auto"/>
        </w:rPr>
      </w:pPr>
      <w:r>
        <w:rPr>
          <w:rFonts w:ascii="Arial" w:cs="Arial" w:eastAsia="Arial" w:hAnsi="Arial"/>
          <w:sz w:val="16"/>
          <w:szCs w:val="16"/>
          <w:color w:val="auto"/>
        </w:rPr>
        <w:t>UNITED TECHNOLOGIES CORPORATION</w:t>
      </w:r>
    </w:p>
    <w:p>
      <w:pPr>
        <w:spacing w:after="0" w:line="248" w:lineRule="exact"/>
        <w:rPr>
          <w:sz w:val="20"/>
          <w:szCs w:val="20"/>
          <w:color w:val="auto"/>
        </w:rPr>
      </w:pPr>
    </w:p>
    <w:p>
      <w:pPr>
        <w:spacing w:after="0"/>
        <w:rPr>
          <w:sz w:val="20"/>
          <w:szCs w:val="20"/>
          <w:color w:val="auto"/>
        </w:rPr>
      </w:pPr>
      <w:r>
        <w:rPr>
          <w:rFonts w:ascii="Arial" w:cs="Arial" w:eastAsia="Arial" w:hAnsi="Arial"/>
          <w:sz w:val="18"/>
          <w:szCs w:val="18"/>
          <w:color w:val="auto"/>
        </w:rPr>
        <w:t>by:  /s/ James E. Geisler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209550</wp:posOffset>
            </wp:positionH>
            <wp:positionV relativeFrom="paragraph">
              <wp:posOffset>10795</wp:posOffset>
            </wp:positionV>
            <wp:extent cx="3473450" cy="8890"/>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3473450" cy="8890"/>
                    </a:xfrm>
                    <a:prstGeom prst="rect">
                      <a:avLst/>
                    </a:prstGeom>
                    <a:noFill/>
                  </pic:spPr>
                </pic:pic>
              </a:graphicData>
            </a:graphic>
          </wp:anchor>
        </w:drawing>
      </w:r>
    </w:p>
    <w:p>
      <w:pPr>
        <w:spacing w:after="0" w:line="22" w:lineRule="exact"/>
        <w:rPr>
          <w:sz w:val="20"/>
          <w:szCs w:val="20"/>
          <w:color w:val="auto"/>
        </w:rPr>
      </w:pPr>
    </w:p>
    <w:p>
      <w:pPr>
        <w:ind w:left="340"/>
        <w:spacing w:after="0"/>
        <w:rPr>
          <w:sz w:val="20"/>
          <w:szCs w:val="20"/>
          <w:color w:val="auto"/>
        </w:rPr>
      </w:pPr>
      <w:r>
        <w:rPr>
          <w:rFonts w:ascii="Arial" w:cs="Arial" w:eastAsia="Arial" w:hAnsi="Arial"/>
          <w:sz w:val="18"/>
          <w:szCs w:val="18"/>
          <w:color w:val="auto"/>
        </w:rPr>
        <w:t>James E. Geisler</w:t>
      </w:r>
    </w:p>
    <w:p>
      <w:pPr>
        <w:spacing w:after="0" w:line="9" w:lineRule="exact"/>
        <w:rPr>
          <w:sz w:val="20"/>
          <w:szCs w:val="20"/>
          <w:color w:val="auto"/>
        </w:rPr>
      </w:pPr>
    </w:p>
    <w:p>
      <w:pPr>
        <w:ind w:left="340"/>
        <w:spacing w:after="0"/>
        <w:rPr>
          <w:sz w:val="20"/>
          <w:szCs w:val="20"/>
          <w:color w:val="auto"/>
        </w:rPr>
      </w:pPr>
      <w:r>
        <w:rPr>
          <w:rFonts w:ascii="Arial" w:cs="Arial" w:eastAsia="Arial" w:hAnsi="Arial"/>
          <w:sz w:val="18"/>
          <w:szCs w:val="18"/>
          <w:color w:val="auto"/>
        </w:rPr>
        <w:t>Vice President, Finance</w:t>
      </w:r>
    </w:p>
    <w:p>
      <w:pPr>
        <w:spacing w:after="0" w:line="219" w:lineRule="exact"/>
        <w:rPr>
          <w:sz w:val="20"/>
          <w:szCs w:val="20"/>
          <w:color w:val="auto"/>
        </w:rPr>
      </w:pPr>
    </w:p>
    <w:p>
      <w:pPr>
        <w:spacing w:after="0"/>
        <w:rPr>
          <w:sz w:val="20"/>
          <w:szCs w:val="20"/>
          <w:color w:val="auto"/>
        </w:rPr>
      </w:pPr>
      <w:r>
        <w:rPr>
          <w:rFonts w:ascii="Arial" w:cs="Arial" w:eastAsia="Arial" w:hAnsi="Arial"/>
          <w:sz w:val="18"/>
          <w:szCs w:val="18"/>
          <w:color w:val="auto"/>
        </w:rPr>
        <w:t>by:  /s/ Gregory J. Hayes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209550</wp:posOffset>
            </wp:positionH>
            <wp:positionV relativeFrom="paragraph">
              <wp:posOffset>10795</wp:posOffset>
            </wp:positionV>
            <wp:extent cx="3473450" cy="8890"/>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3473450" cy="8890"/>
                    </a:xfrm>
                    <a:prstGeom prst="rect">
                      <a:avLst/>
                    </a:prstGeom>
                    <a:noFill/>
                  </pic:spPr>
                </pic:pic>
              </a:graphicData>
            </a:graphic>
          </wp:anchor>
        </w:drawing>
      </w:r>
    </w:p>
    <w:p>
      <w:pPr>
        <w:spacing w:after="0" w:line="22" w:lineRule="exact"/>
        <w:rPr>
          <w:sz w:val="20"/>
          <w:szCs w:val="20"/>
          <w:color w:val="auto"/>
        </w:rPr>
      </w:pPr>
    </w:p>
    <w:p>
      <w:pPr>
        <w:ind w:left="340"/>
        <w:spacing w:after="0"/>
        <w:rPr>
          <w:sz w:val="20"/>
          <w:szCs w:val="20"/>
          <w:color w:val="auto"/>
        </w:rPr>
      </w:pPr>
      <w:r>
        <w:rPr>
          <w:rFonts w:ascii="Arial" w:cs="Arial" w:eastAsia="Arial" w:hAnsi="Arial"/>
          <w:sz w:val="18"/>
          <w:szCs w:val="18"/>
          <w:color w:val="auto"/>
        </w:rPr>
        <w:t>Gregory J. Hayes</w:t>
      </w:r>
    </w:p>
    <w:p>
      <w:pPr>
        <w:spacing w:after="0" w:line="9" w:lineRule="exact"/>
        <w:rPr>
          <w:sz w:val="20"/>
          <w:szCs w:val="20"/>
          <w:color w:val="auto"/>
        </w:rPr>
      </w:pPr>
    </w:p>
    <w:p>
      <w:pPr>
        <w:ind w:left="340"/>
        <w:spacing w:after="0"/>
        <w:rPr>
          <w:sz w:val="20"/>
          <w:szCs w:val="20"/>
          <w:color w:val="auto"/>
        </w:rPr>
      </w:pPr>
      <w:r>
        <w:rPr>
          <w:rFonts w:ascii="Arial" w:cs="Arial" w:eastAsia="Arial" w:hAnsi="Arial"/>
          <w:sz w:val="16"/>
          <w:szCs w:val="16"/>
          <w:color w:val="auto"/>
        </w:rPr>
        <w:t>Vice President, Accounting and Finance</w:t>
      </w:r>
    </w:p>
    <w:p>
      <w:pPr>
        <w:spacing w:after="0" w:line="242" w:lineRule="exact"/>
        <w:rPr>
          <w:sz w:val="20"/>
          <w:szCs w:val="20"/>
          <w:color w:val="auto"/>
        </w:rPr>
      </w:pPr>
    </w:p>
    <w:p>
      <w:pPr>
        <w:spacing w:after="0"/>
        <w:rPr>
          <w:sz w:val="20"/>
          <w:szCs w:val="20"/>
          <w:color w:val="auto"/>
        </w:rPr>
      </w:pPr>
      <w:r>
        <w:rPr>
          <w:rFonts w:ascii="Arial" w:cs="Arial" w:eastAsia="Arial" w:hAnsi="Arial"/>
          <w:sz w:val="18"/>
          <w:szCs w:val="18"/>
          <w:color w:val="auto"/>
        </w:rPr>
        <w:t>by:  /s/ Charles D. Gill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209550</wp:posOffset>
            </wp:positionH>
            <wp:positionV relativeFrom="paragraph">
              <wp:posOffset>10795</wp:posOffset>
            </wp:positionV>
            <wp:extent cx="3473450" cy="8890"/>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3473450" cy="8890"/>
                    </a:xfrm>
                    <a:prstGeom prst="rect">
                      <a:avLst/>
                    </a:prstGeom>
                    <a:noFill/>
                  </pic:spPr>
                </pic:pic>
              </a:graphicData>
            </a:graphic>
          </wp:anchor>
        </w:drawing>
      </w:r>
    </w:p>
    <w:p>
      <w:pPr>
        <w:spacing w:after="0" w:line="22" w:lineRule="exact"/>
        <w:rPr>
          <w:sz w:val="20"/>
          <w:szCs w:val="20"/>
          <w:color w:val="auto"/>
        </w:rPr>
      </w:pPr>
    </w:p>
    <w:p>
      <w:pPr>
        <w:ind w:left="340"/>
        <w:spacing w:after="0"/>
        <w:rPr>
          <w:sz w:val="20"/>
          <w:szCs w:val="20"/>
          <w:color w:val="auto"/>
        </w:rPr>
      </w:pPr>
      <w:r>
        <w:rPr>
          <w:rFonts w:ascii="Arial" w:cs="Arial" w:eastAsia="Arial" w:hAnsi="Arial"/>
          <w:sz w:val="18"/>
          <w:szCs w:val="18"/>
          <w:color w:val="auto"/>
        </w:rPr>
        <w:t>Charles D. Gill</w:t>
      </w:r>
    </w:p>
    <w:p>
      <w:pPr>
        <w:spacing w:after="0" w:line="9" w:lineRule="exact"/>
        <w:rPr>
          <w:sz w:val="20"/>
          <w:szCs w:val="20"/>
          <w:color w:val="auto"/>
        </w:rPr>
      </w:pPr>
    </w:p>
    <w:p>
      <w:pPr>
        <w:jc w:val="right"/>
        <w:ind w:right="2020"/>
        <w:spacing w:after="0"/>
        <w:rPr>
          <w:sz w:val="20"/>
          <w:szCs w:val="20"/>
          <w:color w:val="auto"/>
        </w:rPr>
      </w:pPr>
      <w:r>
        <w:rPr>
          <w:rFonts w:ascii="Arial" w:cs="Arial" w:eastAsia="Arial" w:hAnsi="Arial"/>
          <w:sz w:val="16"/>
          <w:szCs w:val="16"/>
          <w:color w:val="auto"/>
        </w:rPr>
        <w:t>Senior Vice President and General Counsel</w:t>
      </w:r>
    </w:p>
    <w:p>
      <w:pPr>
        <w:spacing w:after="0" w:line="242" w:lineRule="exact"/>
        <w:rPr>
          <w:sz w:val="20"/>
          <w:szCs w:val="20"/>
          <w:color w:val="auto"/>
        </w:rPr>
      </w:pPr>
    </w:p>
    <w:p>
      <w:pPr>
        <w:spacing w:after="0"/>
        <w:rPr>
          <w:sz w:val="20"/>
          <w:szCs w:val="20"/>
          <w:color w:val="auto"/>
        </w:rPr>
      </w:pPr>
      <w:r>
        <w:rPr>
          <w:rFonts w:ascii="Arial" w:cs="Arial" w:eastAsia="Arial" w:hAnsi="Arial"/>
          <w:sz w:val="18"/>
          <w:szCs w:val="18"/>
          <w:color w:val="auto"/>
        </w:rPr>
        <w:t>by:  /s/ Margaret M. Smyth</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209550</wp:posOffset>
            </wp:positionH>
            <wp:positionV relativeFrom="paragraph">
              <wp:posOffset>10795</wp:posOffset>
            </wp:positionV>
            <wp:extent cx="3473450" cy="8890"/>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3473450" cy="8890"/>
                    </a:xfrm>
                    <a:prstGeom prst="rect">
                      <a:avLst/>
                    </a:prstGeom>
                    <a:noFill/>
                  </pic:spPr>
                </pic:pic>
              </a:graphicData>
            </a:graphic>
          </wp:anchor>
        </w:drawing>
      </w:r>
    </w:p>
    <w:p>
      <w:pPr>
        <w:spacing w:after="0" w:line="22" w:lineRule="exact"/>
        <w:rPr>
          <w:sz w:val="20"/>
          <w:szCs w:val="20"/>
          <w:color w:val="auto"/>
        </w:rPr>
      </w:pPr>
    </w:p>
    <w:p>
      <w:pPr>
        <w:ind w:left="340"/>
        <w:spacing w:after="0"/>
        <w:rPr>
          <w:sz w:val="20"/>
          <w:szCs w:val="20"/>
          <w:color w:val="auto"/>
        </w:rPr>
      </w:pPr>
      <w:r>
        <w:rPr>
          <w:rFonts w:ascii="Arial" w:cs="Arial" w:eastAsia="Arial" w:hAnsi="Arial"/>
          <w:sz w:val="18"/>
          <w:szCs w:val="18"/>
          <w:color w:val="auto"/>
        </w:rPr>
        <w:t>Margaret M. Smyth</w:t>
      </w:r>
    </w:p>
    <w:p>
      <w:pPr>
        <w:spacing w:after="0" w:line="9" w:lineRule="exact"/>
        <w:rPr>
          <w:sz w:val="20"/>
          <w:szCs w:val="20"/>
          <w:color w:val="auto"/>
        </w:rPr>
      </w:pPr>
    </w:p>
    <w:p>
      <w:pPr>
        <w:ind w:left="340"/>
        <w:spacing w:after="0"/>
        <w:rPr>
          <w:sz w:val="20"/>
          <w:szCs w:val="20"/>
          <w:color w:val="auto"/>
        </w:rPr>
      </w:pPr>
      <w:r>
        <w:rPr>
          <w:rFonts w:ascii="Arial" w:cs="Arial" w:eastAsia="Arial" w:hAnsi="Arial"/>
          <w:sz w:val="18"/>
          <w:szCs w:val="18"/>
          <w:color w:val="auto"/>
        </w:rPr>
        <w:t>Vice President, Controller</w:t>
      </w:r>
    </w:p>
    <w:p>
      <w:pPr>
        <w:spacing w:after="0" w:line="151" w:lineRule="exact"/>
        <w:rPr>
          <w:sz w:val="20"/>
          <w:szCs w:val="20"/>
          <w:color w:val="auto"/>
        </w:rPr>
      </w:pPr>
    </w:p>
    <w:p>
      <w:pPr>
        <w:spacing w:after="0"/>
        <w:rPr>
          <w:sz w:val="20"/>
          <w:szCs w:val="20"/>
          <w:color w:val="auto"/>
        </w:rPr>
      </w:pPr>
      <w:r>
        <w:rPr>
          <w:rFonts w:ascii="Arial" w:cs="Arial" w:eastAsia="Arial" w:hAnsi="Arial"/>
          <w:sz w:val="18"/>
          <w:szCs w:val="18"/>
          <w:color w:val="auto"/>
        </w:rPr>
        <w:t>40</w:t>
      </w:r>
    </w:p>
    <w:p>
      <w:pPr>
        <w:sectPr>
          <w:pgSz w:w="11900" w:h="16838" w:orient="portrait"/>
          <w:cols w:equalWidth="0" w:num="2">
            <w:col w:w="4900" w:space="720"/>
            <w:col w:w="5380"/>
          </w:cols>
          <w:pgMar w:left="240" w:top="459" w:right="659" w:bottom="1440" w:gutter="0" w:footer="0" w:header="0"/>
          <w:type w:val="continuous"/>
        </w:sectPr>
      </w:pPr>
    </w:p>
    <w:bookmarkStart w:id="40" w:name="page41"/>
    <w:bookmarkEnd w:id="4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293"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660" w:type="dxa"/>
            <w:vAlign w:val="bottom"/>
          </w:tcPr>
          <w:p>
            <w:pPr>
              <w:spacing w:after="0"/>
              <w:rPr>
                <w:sz w:val="17"/>
                <w:szCs w:val="17"/>
                <w:color w:val="auto"/>
              </w:rPr>
            </w:pPr>
          </w:p>
        </w:tc>
        <w:tc>
          <w:tcPr>
            <w:tcW w:w="10560" w:type="dxa"/>
            <w:vAlign w:val="bottom"/>
            <w:gridSpan w:val="3"/>
          </w:tcPr>
          <w:p>
            <w:pPr>
              <w:ind w:left="4380"/>
              <w:spacing w:after="0"/>
              <w:rPr>
                <w:sz w:val="20"/>
                <w:szCs w:val="20"/>
                <w:color w:val="auto"/>
              </w:rPr>
            </w:pPr>
            <w:r>
              <w:rPr>
                <w:rFonts w:ascii="Arial" w:cs="Arial" w:eastAsia="Arial" w:hAnsi="Arial"/>
                <w:sz w:val="18"/>
                <w:szCs w:val="18"/>
                <w:b w:val="1"/>
                <w:bCs w:val="1"/>
                <w:color w:val="auto"/>
              </w:rPr>
              <w:t>EXHIBIT INDEX</w:t>
            </w:r>
          </w:p>
        </w:tc>
      </w:tr>
      <w:tr>
        <w:trPr>
          <w:trHeight w:val="20"/>
        </w:trPr>
        <w:tc>
          <w:tcPr>
            <w:tcW w:w="660" w:type="dxa"/>
            <w:vAlign w:val="bottom"/>
          </w:tcPr>
          <w:p>
            <w:pPr>
              <w:spacing w:after="0" w:line="20" w:lineRule="exact"/>
              <w:rPr>
                <w:sz w:val="1"/>
                <w:szCs w:val="1"/>
                <w:color w:val="auto"/>
              </w:rPr>
            </w:pPr>
          </w:p>
        </w:tc>
        <w:tc>
          <w:tcPr>
            <w:tcW w:w="4380" w:type="dxa"/>
            <w:vAlign w:val="bottom"/>
          </w:tcPr>
          <w:p>
            <w:pPr>
              <w:spacing w:after="0" w:line="20" w:lineRule="exact"/>
              <w:rPr>
                <w:sz w:val="1"/>
                <w:szCs w:val="1"/>
                <w:color w:val="auto"/>
              </w:rPr>
            </w:pPr>
          </w:p>
        </w:tc>
        <w:tc>
          <w:tcPr>
            <w:tcW w:w="1360" w:type="dxa"/>
            <w:vAlign w:val="bottom"/>
            <w:shd w:val="clear" w:color="auto" w:fill="000000"/>
          </w:tcPr>
          <w:p>
            <w:pPr>
              <w:spacing w:after="0" w:line="20" w:lineRule="exact"/>
              <w:rPr>
                <w:sz w:val="1"/>
                <w:szCs w:val="1"/>
                <w:color w:val="auto"/>
              </w:rPr>
            </w:pPr>
          </w:p>
        </w:tc>
        <w:tc>
          <w:tcPr>
            <w:tcW w:w="4820" w:type="dxa"/>
            <w:vAlign w:val="bottom"/>
          </w:tcPr>
          <w:p>
            <w:pPr>
              <w:spacing w:after="0" w:line="20" w:lineRule="exact"/>
              <w:rPr>
                <w:sz w:val="1"/>
                <w:szCs w:val="1"/>
                <w:color w:val="auto"/>
              </w:rPr>
            </w:pPr>
          </w:p>
        </w:tc>
      </w:tr>
      <w:tr>
        <w:trPr>
          <w:trHeight w:val="431"/>
        </w:trPr>
        <w:tc>
          <w:tcPr>
            <w:tcW w:w="660" w:type="dxa"/>
            <w:vAlign w:val="bottom"/>
          </w:tcPr>
          <w:p>
            <w:pPr>
              <w:spacing w:after="0"/>
              <w:rPr>
                <w:sz w:val="20"/>
                <w:szCs w:val="20"/>
                <w:color w:val="auto"/>
              </w:rPr>
            </w:pPr>
            <w:r>
              <w:rPr>
                <w:rFonts w:ascii="Arial" w:cs="Arial" w:eastAsia="Arial" w:hAnsi="Arial"/>
                <w:sz w:val="18"/>
                <w:szCs w:val="18"/>
                <w:color w:val="auto"/>
              </w:rPr>
              <w:t>3(ii)</w:t>
            </w:r>
          </w:p>
        </w:tc>
        <w:tc>
          <w:tcPr>
            <w:tcW w:w="10560" w:type="dxa"/>
            <w:vAlign w:val="bottom"/>
            <w:gridSpan w:val="3"/>
          </w:tcPr>
          <w:p>
            <w:pPr>
              <w:ind w:left="340"/>
              <w:spacing w:after="0"/>
              <w:rPr>
                <w:sz w:val="20"/>
                <w:szCs w:val="20"/>
                <w:color w:val="auto"/>
              </w:rPr>
            </w:pPr>
            <w:r>
              <w:rPr>
                <w:rFonts w:ascii="Arial" w:cs="Arial" w:eastAsia="Arial" w:hAnsi="Arial"/>
                <w:sz w:val="18"/>
                <w:szCs w:val="18"/>
                <w:color w:val="auto"/>
                <w:w w:val="89"/>
              </w:rPr>
              <w:t>Bylaws of United Technologies Corporation, as amended and restated effective April 9, 2008, incorporated by reference to Exhibit 3(ii) to UTC’s</w:t>
            </w:r>
          </w:p>
        </w:tc>
      </w:tr>
      <w:tr>
        <w:trPr>
          <w:trHeight w:val="222"/>
        </w:trPr>
        <w:tc>
          <w:tcPr>
            <w:tcW w:w="660" w:type="dxa"/>
            <w:vAlign w:val="bottom"/>
          </w:tcPr>
          <w:p>
            <w:pPr>
              <w:spacing w:after="0"/>
              <w:rPr>
                <w:sz w:val="19"/>
                <w:szCs w:val="19"/>
                <w:color w:val="auto"/>
              </w:rPr>
            </w:pPr>
          </w:p>
        </w:tc>
        <w:tc>
          <w:tcPr>
            <w:tcW w:w="10560" w:type="dxa"/>
            <w:vAlign w:val="bottom"/>
            <w:gridSpan w:val="3"/>
          </w:tcPr>
          <w:p>
            <w:pPr>
              <w:ind w:left="340"/>
              <w:spacing w:after="0"/>
              <w:rPr>
                <w:sz w:val="20"/>
                <w:szCs w:val="20"/>
                <w:color w:val="auto"/>
              </w:rPr>
            </w:pPr>
            <w:r>
              <w:rPr>
                <w:rFonts w:ascii="Arial" w:cs="Arial" w:eastAsia="Arial" w:hAnsi="Arial"/>
                <w:sz w:val="18"/>
                <w:szCs w:val="18"/>
                <w:color w:val="auto"/>
              </w:rPr>
              <w:t>Current Report on Form 8-K (Commission file number 1-812) filed April 11, 2008.</w:t>
            </w:r>
          </w:p>
        </w:tc>
      </w:tr>
      <w:tr>
        <w:trPr>
          <w:trHeight w:val="318"/>
        </w:trPr>
        <w:tc>
          <w:tcPr>
            <w:tcW w:w="660" w:type="dxa"/>
            <w:vAlign w:val="bottom"/>
          </w:tcPr>
          <w:p>
            <w:pPr>
              <w:spacing w:after="0"/>
              <w:rPr>
                <w:sz w:val="20"/>
                <w:szCs w:val="20"/>
                <w:color w:val="auto"/>
              </w:rPr>
            </w:pPr>
            <w:r>
              <w:rPr>
                <w:rFonts w:ascii="Arial" w:cs="Arial" w:eastAsia="Arial" w:hAnsi="Arial"/>
                <w:sz w:val="18"/>
                <w:szCs w:val="18"/>
                <w:color w:val="auto"/>
              </w:rPr>
              <w:t>10.1</w:t>
            </w:r>
          </w:p>
        </w:tc>
        <w:tc>
          <w:tcPr>
            <w:tcW w:w="10560" w:type="dxa"/>
            <w:vAlign w:val="bottom"/>
            <w:gridSpan w:val="3"/>
          </w:tcPr>
          <w:p>
            <w:pPr>
              <w:ind w:left="340"/>
              <w:spacing w:after="0"/>
              <w:rPr>
                <w:sz w:val="20"/>
                <w:szCs w:val="20"/>
                <w:color w:val="auto"/>
              </w:rPr>
            </w:pPr>
            <w:r>
              <w:rPr>
                <w:rFonts w:ascii="Arial" w:cs="Arial" w:eastAsia="Arial" w:hAnsi="Arial"/>
                <w:sz w:val="18"/>
                <w:szCs w:val="18"/>
                <w:color w:val="auto"/>
                <w:w w:val="88"/>
              </w:rPr>
              <w:t>United Technologies Corporation 2005 Long-Term Incentive Plan, as amended and restated effective April 9, 2008, incorporated by reference to</w:t>
            </w:r>
          </w:p>
        </w:tc>
      </w:tr>
      <w:tr>
        <w:trPr>
          <w:trHeight w:val="222"/>
        </w:trPr>
        <w:tc>
          <w:tcPr>
            <w:tcW w:w="660" w:type="dxa"/>
            <w:vAlign w:val="bottom"/>
          </w:tcPr>
          <w:p>
            <w:pPr>
              <w:spacing w:after="0"/>
              <w:rPr>
                <w:sz w:val="19"/>
                <w:szCs w:val="19"/>
                <w:color w:val="auto"/>
              </w:rPr>
            </w:pPr>
          </w:p>
        </w:tc>
        <w:tc>
          <w:tcPr>
            <w:tcW w:w="10560" w:type="dxa"/>
            <w:vAlign w:val="bottom"/>
            <w:gridSpan w:val="3"/>
          </w:tcPr>
          <w:p>
            <w:pPr>
              <w:ind w:left="340"/>
              <w:spacing w:after="0"/>
              <w:rPr>
                <w:sz w:val="20"/>
                <w:szCs w:val="20"/>
                <w:color w:val="auto"/>
              </w:rPr>
            </w:pPr>
            <w:r>
              <w:rPr>
                <w:rFonts w:ascii="Arial" w:cs="Arial" w:eastAsia="Arial" w:hAnsi="Arial"/>
                <w:sz w:val="18"/>
                <w:szCs w:val="18"/>
                <w:color w:val="auto"/>
              </w:rPr>
              <w:t>Exhibit 10.1 to UTC’s Current Report on Form 8-K (Commission file number 1-812) filed April 11, 2008.</w:t>
            </w:r>
          </w:p>
        </w:tc>
      </w:tr>
      <w:tr>
        <w:trPr>
          <w:trHeight w:val="324"/>
        </w:trPr>
        <w:tc>
          <w:tcPr>
            <w:tcW w:w="660" w:type="dxa"/>
            <w:vAlign w:val="bottom"/>
          </w:tcPr>
          <w:p>
            <w:pPr>
              <w:spacing w:after="0"/>
              <w:rPr>
                <w:sz w:val="20"/>
                <w:szCs w:val="20"/>
                <w:color w:val="auto"/>
              </w:rPr>
            </w:pPr>
            <w:r>
              <w:rPr>
                <w:rFonts w:ascii="Arial" w:cs="Arial" w:eastAsia="Arial" w:hAnsi="Arial"/>
                <w:sz w:val="18"/>
                <w:szCs w:val="18"/>
                <w:color w:val="auto"/>
              </w:rPr>
              <w:t>10.4</w:t>
            </w:r>
          </w:p>
        </w:tc>
        <w:tc>
          <w:tcPr>
            <w:tcW w:w="10560" w:type="dxa"/>
            <w:vAlign w:val="bottom"/>
            <w:gridSpan w:val="3"/>
          </w:tcPr>
          <w:p>
            <w:pPr>
              <w:ind w:left="340"/>
              <w:spacing w:after="0"/>
              <w:rPr>
                <w:sz w:val="20"/>
                <w:szCs w:val="20"/>
                <w:color w:val="auto"/>
              </w:rPr>
            </w:pPr>
            <w:r>
              <w:rPr>
                <w:rFonts w:ascii="Arial" w:cs="Arial" w:eastAsia="Arial" w:hAnsi="Arial"/>
                <w:sz w:val="18"/>
                <w:szCs w:val="18"/>
                <w:color w:val="auto"/>
              </w:rPr>
              <w:t>United Technologies Corporation Senior Executive Severance Plan, as amended, effective June 11, 2008.*</w:t>
            </w:r>
          </w:p>
        </w:tc>
      </w:tr>
      <w:tr>
        <w:trPr>
          <w:trHeight w:val="324"/>
        </w:trPr>
        <w:tc>
          <w:tcPr>
            <w:tcW w:w="660" w:type="dxa"/>
            <w:vAlign w:val="bottom"/>
          </w:tcPr>
          <w:p>
            <w:pPr>
              <w:spacing w:after="0"/>
              <w:rPr>
                <w:sz w:val="20"/>
                <w:szCs w:val="20"/>
                <w:color w:val="auto"/>
              </w:rPr>
            </w:pPr>
            <w:r>
              <w:rPr>
                <w:rFonts w:ascii="Arial" w:cs="Arial" w:eastAsia="Arial" w:hAnsi="Arial"/>
                <w:sz w:val="18"/>
                <w:szCs w:val="18"/>
                <w:color w:val="auto"/>
              </w:rPr>
              <w:t>12</w:t>
            </w:r>
          </w:p>
        </w:tc>
        <w:tc>
          <w:tcPr>
            <w:tcW w:w="10560" w:type="dxa"/>
            <w:vAlign w:val="bottom"/>
            <w:gridSpan w:val="3"/>
          </w:tcPr>
          <w:p>
            <w:pPr>
              <w:ind w:left="340"/>
              <w:spacing w:after="0"/>
              <w:rPr>
                <w:sz w:val="20"/>
                <w:szCs w:val="20"/>
                <w:color w:val="auto"/>
              </w:rPr>
            </w:pPr>
            <w:r>
              <w:rPr>
                <w:rFonts w:ascii="Arial" w:cs="Arial" w:eastAsia="Arial" w:hAnsi="Arial"/>
                <w:sz w:val="18"/>
                <w:szCs w:val="18"/>
                <w:color w:val="auto"/>
              </w:rPr>
              <w:t>Statement re: computation of ratio of earnings to fixed charges.*</w:t>
            </w:r>
          </w:p>
        </w:tc>
      </w:tr>
      <w:tr>
        <w:trPr>
          <w:trHeight w:val="324"/>
        </w:trPr>
        <w:tc>
          <w:tcPr>
            <w:tcW w:w="660" w:type="dxa"/>
            <w:vAlign w:val="bottom"/>
          </w:tcPr>
          <w:p>
            <w:pPr>
              <w:spacing w:after="0"/>
              <w:rPr>
                <w:sz w:val="20"/>
                <w:szCs w:val="20"/>
                <w:color w:val="auto"/>
              </w:rPr>
            </w:pPr>
            <w:r>
              <w:rPr>
                <w:rFonts w:ascii="Arial" w:cs="Arial" w:eastAsia="Arial" w:hAnsi="Arial"/>
                <w:sz w:val="18"/>
                <w:szCs w:val="18"/>
                <w:color w:val="auto"/>
              </w:rPr>
              <w:t>15</w:t>
            </w:r>
          </w:p>
        </w:tc>
        <w:tc>
          <w:tcPr>
            <w:tcW w:w="10560" w:type="dxa"/>
            <w:vAlign w:val="bottom"/>
            <w:gridSpan w:val="3"/>
          </w:tcPr>
          <w:p>
            <w:pPr>
              <w:ind w:left="340"/>
              <w:spacing w:after="0"/>
              <w:rPr>
                <w:sz w:val="20"/>
                <w:szCs w:val="20"/>
                <w:color w:val="auto"/>
              </w:rPr>
            </w:pPr>
            <w:r>
              <w:rPr>
                <w:rFonts w:ascii="Arial" w:cs="Arial" w:eastAsia="Arial" w:hAnsi="Arial"/>
                <w:sz w:val="18"/>
                <w:szCs w:val="18"/>
                <w:color w:val="auto"/>
              </w:rPr>
              <w:t>Letter re: unaudited interim financial information.*</w:t>
            </w:r>
          </w:p>
        </w:tc>
      </w:tr>
    </w:tbl>
    <w:p>
      <w:pPr>
        <w:spacing w:after="0" w:line="102" w:lineRule="exact"/>
        <w:rPr>
          <w:sz w:val="20"/>
          <w:szCs w:val="20"/>
          <w:color w:val="auto"/>
        </w:rPr>
      </w:pPr>
    </w:p>
    <w:p>
      <w:pPr>
        <w:ind w:left="1000" w:hanging="992"/>
        <w:spacing w:after="0"/>
        <w:tabs>
          <w:tab w:leader="none" w:pos="1000" w:val="left"/>
        </w:tabs>
        <w:numPr>
          <w:ilvl w:val="0"/>
          <w:numId w:val="6"/>
        </w:numPr>
        <w:rPr>
          <w:rFonts w:ascii="Arial" w:cs="Arial" w:eastAsia="Arial" w:hAnsi="Arial"/>
          <w:sz w:val="18"/>
          <w:szCs w:val="18"/>
          <w:color w:val="auto"/>
        </w:rPr>
      </w:pPr>
      <w:r>
        <w:rPr>
          <w:rFonts w:ascii="Arial" w:cs="Arial" w:eastAsia="Arial" w:hAnsi="Arial"/>
          <w:sz w:val="18"/>
          <w:szCs w:val="18"/>
          <w:color w:val="auto"/>
        </w:rPr>
        <w:t>Rule 13a-14(a)/15d-14(a) Certifications.*</w:t>
      </w:r>
    </w:p>
    <w:p>
      <w:pPr>
        <w:spacing w:after="0" w:line="117" w:lineRule="exact"/>
        <w:rPr>
          <w:rFonts w:ascii="Arial" w:cs="Arial" w:eastAsia="Arial" w:hAnsi="Arial"/>
          <w:sz w:val="18"/>
          <w:szCs w:val="18"/>
          <w:color w:val="auto"/>
        </w:rPr>
      </w:pPr>
    </w:p>
    <w:p>
      <w:pPr>
        <w:ind w:left="1000" w:hanging="992"/>
        <w:spacing w:after="0"/>
        <w:tabs>
          <w:tab w:leader="none" w:pos="1000" w:val="left"/>
        </w:tabs>
        <w:numPr>
          <w:ilvl w:val="0"/>
          <w:numId w:val="6"/>
        </w:numPr>
        <w:rPr>
          <w:rFonts w:ascii="Arial" w:cs="Arial" w:eastAsia="Arial" w:hAnsi="Arial"/>
          <w:sz w:val="18"/>
          <w:szCs w:val="18"/>
          <w:color w:val="auto"/>
        </w:rPr>
      </w:pPr>
      <w:r>
        <w:rPr>
          <w:rFonts w:ascii="Arial" w:cs="Arial" w:eastAsia="Arial" w:hAnsi="Arial"/>
          <w:sz w:val="18"/>
          <w:szCs w:val="18"/>
          <w:color w:val="auto"/>
        </w:rPr>
        <w:t>Section 1350 Certifications.*</w:t>
      </w:r>
    </w:p>
    <w:p>
      <w:pPr>
        <w:spacing w:after="0" w:line="117"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840" w:type="dxa"/>
            <w:vAlign w:val="bottom"/>
          </w:tcPr>
          <w:p>
            <w:pPr>
              <w:spacing w:after="0"/>
              <w:rPr>
                <w:sz w:val="20"/>
                <w:szCs w:val="20"/>
                <w:color w:val="auto"/>
              </w:rPr>
            </w:pPr>
            <w:r>
              <w:rPr>
                <w:rFonts w:ascii="Arial" w:cs="Arial" w:eastAsia="Arial" w:hAnsi="Arial"/>
                <w:sz w:val="18"/>
                <w:szCs w:val="18"/>
                <w:color w:val="auto"/>
              </w:rPr>
              <w:t>100.INS</w:t>
            </w:r>
          </w:p>
        </w:tc>
        <w:tc>
          <w:tcPr>
            <w:tcW w:w="3920" w:type="dxa"/>
            <w:vAlign w:val="bottom"/>
          </w:tcPr>
          <w:p>
            <w:pPr>
              <w:ind w:left="160"/>
              <w:spacing w:after="0"/>
              <w:rPr>
                <w:sz w:val="20"/>
                <w:szCs w:val="20"/>
                <w:color w:val="auto"/>
              </w:rPr>
            </w:pPr>
            <w:r>
              <w:rPr>
                <w:rFonts w:ascii="Arial" w:cs="Arial" w:eastAsia="Arial" w:hAnsi="Arial"/>
                <w:sz w:val="18"/>
                <w:szCs w:val="18"/>
                <w:color w:val="auto"/>
              </w:rPr>
              <w:t>XBRL Instance Document.*</w:t>
            </w:r>
          </w:p>
        </w:tc>
      </w:tr>
      <w:tr>
        <w:trPr>
          <w:trHeight w:val="222"/>
        </w:trPr>
        <w:tc>
          <w:tcPr>
            <w:tcW w:w="840" w:type="dxa"/>
            <w:vAlign w:val="bottom"/>
          </w:tcPr>
          <w:p>
            <w:pPr>
              <w:spacing w:after="0"/>
              <w:rPr>
                <w:sz w:val="19"/>
                <w:szCs w:val="19"/>
                <w:color w:val="auto"/>
              </w:rPr>
            </w:pPr>
          </w:p>
        </w:tc>
        <w:tc>
          <w:tcPr>
            <w:tcW w:w="3920" w:type="dxa"/>
            <w:vAlign w:val="bottom"/>
          </w:tcPr>
          <w:p>
            <w:pPr>
              <w:ind w:left="160"/>
              <w:spacing w:after="0"/>
              <w:rPr>
                <w:sz w:val="20"/>
                <w:szCs w:val="20"/>
                <w:color w:val="auto"/>
              </w:rPr>
            </w:pPr>
            <w:r>
              <w:rPr>
                <w:rFonts w:ascii="Arial" w:cs="Arial" w:eastAsia="Arial" w:hAnsi="Arial"/>
                <w:sz w:val="18"/>
                <w:szCs w:val="18"/>
                <w:color w:val="auto"/>
              </w:rPr>
              <w:t>(File name: utx-20080630.xml)</w:t>
            </w:r>
          </w:p>
        </w:tc>
      </w:tr>
      <w:tr>
        <w:trPr>
          <w:trHeight w:val="331"/>
        </w:trPr>
        <w:tc>
          <w:tcPr>
            <w:tcW w:w="840" w:type="dxa"/>
            <w:vAlign w:val="bottom"/>
          </w:tcPr>
          <w:p>
            <w:pPr>
              <w:spacing w:after="0"/>
              <w:rPr>
                <w:sz w:val="20"/>
                <w:szCs w:val="20"/>
                <w:color w:val="auto"/>
              </w:rPr>
            </w:pPr>
            <w:r>
              <w:rPr>
                <w:rFonts w:ascii="Arial" w:cs="Arial" w:eastAsia="Arial" w:hAnsi="Arial"/>
                <w:sz w:val="18"/>
                <w:szCs w:val="18"/>
                <w:color w:val="auto"/>
              </w:rPr>
              <w:t>100.SCH</w:t>
            </w:r>
          </w:p>
        </w:tc>
        <w:tc>
          <w:tcPr>
            <w:tcW w:w="3920" w:type="dxa"/>
            <w:vAlign w:val="bottom"/>
          </w:tcPr>
          <w:p>
            <w:pPr>
              <w:ind w:left="160"/>
              <w:spacing w:after="0"/>
              <w:rPr>
                <w:sz w:val="20"/>
                <w:szCs w:val="20"/>
                <w:color w:val="auto"/>
              </w:rPr>
            </w:pPr>
            <w:r>
              <w:rPr>
                <w:rFonts w:ascii="Arial" w:cs="Arial" w:eastAsia="Arial" w:hAnsi="Arial"/>
                <w:sz w:val="18"/>
                <w:szCs w:val="18"/>
                <w:color w:val="auto"/>
                <w:w w:val="95"/>
              </w:rPr>
              <w:t>XBRL Taxonomy Extension Schema Document.*</w:t>
            </w:r>
          </w:p>
        </w:tc>
      </w:tr>
      <w:tr>
        <w:trPr>
          <w:trHeight w:val="222"/>
        </w:trPr>
        <w:tc>
          <w:tcPr>
            <w:tcW w:w="840" w:type="dxa"/>
            <w:vAlign w:val="bottom"/>
          </w:tcPr>
          <w:p>
            <w:pPr>
              <w:spacing w:after="0"/>
              <w:rPr>
                <w:sz w:val="19"/>
                <w:szCs w:val="19"/>
                <w:color w:val="auto"/>
              </w:rPr>
            </w:pPr>
          </w:p>
        </w:tc>
        <w:tc>
          <w:tcPr>
            <w:tcW w:w="3920" w:type="dxa"/>
            <w:vAlign w:val="bottom"/>
          </w:tcPr>
          <w:p>
            <w:pPr>
              <w:ind w:left="160"/>
              <w:spacing w:after="0"/>
              <w:rPr>
                <w:sz w:val="20"/>
                <w:szCs w:val="20"/>
                <w:color w:val="auto"/>
              </w:rPr>
            </w:pPr>
            <w:r>
              <w:rPr>
                <w:rFonts w:ascii="Arial" w:cs="Arial" w:eastAsia="Arial" w:hAnsi="Arial"/>
                <w:sz w:val="18"/>
                <w:szCs w:val="18"/>
                <w:color w:val="auto"/>
              </w:rPr>
              <w:t>(File name: utx-20080630.xsd)</w:t>
            </w:r>
          </w:p>
        </w:tc>
      </w:tr>
      <w:tr>
        <w:trPr>
          <w:trHeight w:val="331"/>
        </w:trPr>
        <w:tc>
          <w:tcPr>
            <w:tcW w:w="840" w:type="dxa"/>
            <w:vAlign w:val="bottom"/>
          </w:tcPr>
          <w:p>
            <w:pPr>
              <w:spacing w:after="0"/>
              <w:rPr>
                <w:sz w:val="20"/>
                <w:szCs w:val="20"/>
                <w:color w:val="auto"/>
              </w:rPr>
            </w:pPr>
            <w:r>
              <w:rPr>
                <w:rFonts w:ascii="Arial" w:cs="Arial" w:eastAsia="Arial" w:hAnsi="Arial"/>
                <w:sz w:val="18"/>
                <w:szCs w:val="18"/>
                <w:color w:val="auto"/>
              </w:rPr>
              <w:t>100.PRE</w:t>
            </w:r>
          </w:p>
        </w:tc>
        <w:tc>
          <w:tcPr>
            <w:tcW w:w="3920" w:type="dxa"/>
            <w:vAlign w:val="bottom"/>
          </w:tcPr>
          <w:p>
            <w:pPr>
              <w:ind w:left="160"/>
              <w:spacing w:after="0"/>
              <w:rPr>
                <w:sz w:val="20"/>
                <w:szCs w:val="20"/>
                <w:color w:val="auto"/>
              </w:rPr>
            </w:pPr>
            <w:r>
              <w:rPr>
                <w:rFonts w:ascii="Arial" w:cs="Arial" w:eastAsia="Arial" w:hAnsi="Arial"/>
                <w:sz w:val="18"/>
                <w:szCs w:val="18"/>
                <w:color w:val="auto"/>
                <w:w w:val="89"/>
              </w:rPr>
              <w:t>XBRL Taxonomy Presentation Linkbase Document.*</w:t>
            </w:r>
          </w:p>
        </w:tc>
      </w:tr>
      <w:tr>
        <w:trPr>
          <w:trHeight w:val="222"/>
        </w:trPr>
        <w:tc>
          <w:tcPr>
            <w:tcW w:w="840" w:type="dxa"/>
            <w:vAlign w:val="bottom"/>
          </w:tcPr>
          <w:p>
            <w:pPr>
              <w:spacing w:after="0"/>
              <w:rPr>
                <w:sz w:val="19"/>
                <w:szCs w:val="19"/>
                <w:color w:val="auto"/>
              </w:rPr>
            </w:pPr>
          </w:p>
        </w:tc>
        <w:tc>
          <w:tcPr>
            <w:tcW w:w="3920" w:type="dxa"/>
            <w:vAlign w:val="bottom"/>
          </w:tcPr>
          <w:p>
            <w:pPr>
              <w:ind w:left="160"/>
              <w:spacing w:after="0"/>
              <w:rPr>
                <w:sz w:val="20"/>
                <w:szCs w:val="20"/>
                <w:color w:val="auto"/>
              </w:rPr>
            </w:pPr>
            <w:r>
              <w:rPr>
                <w:rFonts w:ascii="Arial" w:cs="Arial" w:eastAsia="Arial" w:hAnsi="Arial"/>
                <w:sz w:val="18"/>
                <w:szCs w:val="18"/>
                <w:color w:val="auto"/>
              </w:rPr>
              <w:t>(File name: utx-20080630_pre.xml)</w:t>
            </w:r>
          </w:p>
        </w:tc>
      </w:tr>
      <w:tr>
        <w:trPr>
          <w:trHeight w:val="331"/>
        </w:trPr>
        <w:tc>
          <w:tcPr>
            <w:tcW w:w="840" w:type="dxa"/>
            <w:vAlign w:val="bottom"/>
          </w:tcPr>
          <w:p>
            <w:pPr>
              <w:spacing w:after="0"/>
              <w:rPr>
                <w:sz w:val="20"/>
                <w:szCs w:val="20"/>
                <w:color w:val="auto"/>
              </w:rPr>
            </w:pPr>
            <w:r>
              <w:rPr>
                <w:rFonts w:ascii="Arial" w:cs="Arial" w:eastAsia="Arial" w:hAnsi="Arial"/>
                <w:sz w:val="18"/>
                <w:szCs w:val="18"/>
                <w:color w:val="auto"/>
              </w:rPr>
              <w:t>100.LAB</w:t>
            </w:r>
          </w:p>
        </w:tc>
        <w:tc>
          <w:tcPr>
            <w:tcW w:w="3920" w:type="dxa"/>
            <w:vAlign w:val="bottom"/>
          </w:tcPr>
          <w:p>
            <w:pPr>
              <w:ind w:left="160"/>
              <w:spacing w:after="0"/>
              <w:rPr>
                <w:sz w:val="20"/>
                <w:szCs w:val="20"/>
                <w:color w:val="auto"/>
              </w:rPr>
            </w:pPr>
            <w:r>
              <w:rPr>
                <w:rFonts w:ascii="Arial" w:cs="Arial" w:eastAsia="Arial" w:hAnsi="Arial"/>
                <w:sz w:val="18"/>
                <w:szCs w:val="18"/>
                <w:color w:val="auto"/>
              </w:rPr>
              <w:t>XBRL Taxonomy Label Linkbase Document.*</w:t>
            </w:r>
          </w:p>
        </w:tc>
      </w:tr>
      <w:tr>
        <w:trPr>
          <w:trHeight w:val="222"/>
        </w:trPr>
        <w:tc>
          <w:tcPr>
            <w:tcW w:w="840" w:type="dxa"/>
            <w:vAlign w:val="bottom"/>
          </w:tcPr>
          <w:p>
            <w:pPr>
              <w:spacing w:after="0"/>
              <w:rPr>
                <w:sz w:val="19"/>
                <w:szCs w:val="19"/>
                <w:color w:val="auto"/>
              </w:rPr>
            </w:pPr>
          </w:p>
        </w:tc>
        <w:tc>
          <w:tcPr>
            <w:tcW w:w="3920" w:type="dxa"/>
            <w:vAlign w:val="bottom"/>
          </w:tcPr>
          <w:p>
            <w:pPr>
              <w:ind w:left="160"/>
              <w:spacing w:after="0"/>
              <w:rPr>
                <w:sz w:val="20"/>
                <w:szCs w:val="20"/>
                <w:color w:val="auto"/>
              </w:rPr>
            </w:pPr>
            <w:r>
              <w:rPr>
                <w:rFonts w:ascii="Arial" w:cs="Arial" w:eastAsia="Arial" w:hAnsi="Arial"/>
                <w:sz w:val="18"/>
                <w:szCs w:val="18"/>
                <w:color w:val="auto"/>
              </w:rPr>
              <w:t>(File name: utx-20080630_lab.xml)</w:t>
            </w:r>
          </w:p>
        </w:tc>
      </w:tr>
      <w:tr>
        <w:trPr>
          <w:trHeight w:val="331"/>
        </w:trPr>
        <w:tc>
          <w:tcPr>
            <w:tcW w:w="840" w:type="dxa"/>
            <w:vAlign w:val="bottom"/>
          </w:tcPr>
          <w:p>
            <w:pPr>
              <w:spacing w:after="0"/>
              <w:rPr>
                <w:sz w:val="20"/>
                <w:szCs w:val="20"/>
                <w:color w:val="auto"/>
              </w:rPr>
            </w:pPr>
            <w:r>
              <w:rPr>
                <w:rFonts w:ascii="Arial" w:cs="Arial" w:eastAsia="Arial" w:hAnsi="Arial"/>
                <w:sz w:val="18"/>
                <w:szCs w:val="18"/>
                <w:color w:val="auto"/>
              </w:rPr>
              <w:t>100.CAL</w:t>
            </w:r>
          </w:p>
        </w:tc>
        <w:tc>
          <w:tcPr>
            <w:tcW w:w="3920" w:type="dxa"/>
            <w:vAlign w:val="bottom"/>
          </w:tcPr>
          <w:p>
            <w:pPr>
              <w:ind w:left="160"/>
              <w:spacing w:after="0"/>
              <w:rPr>
                <w:sz w:val="20"/>
                <w:szCs w:val="20"/>
                <w:color w:val="auto"/>
              </w:rPr>
            </w:pPr>
            <w:r>
              <w:rPr>
                <w:rFonts w:ascii="Arial" w:cs="Arial" w:eastAsia="Arial" w:hAnsi="Arial"/>
                <w:sz w:val="18"/>
                <w:szCs w:val="18"/>
                <w:color w:val="auto"/>
                <w:w w:val="92"/>
              </w:rPr>
              <w:t>XBRL Taxonomy Calculation Linkbase Document.*</w:t>
            </w:r>
          </w:p>
        </w:tc>
      </w:tr>
      <w:tr>
        <w:trPr>
          <w:trHeight w:val="222"/>
        </w:trPr>
        <w:tc>
          <w:tcPr>
            <w:tcW w:w="840" w:type="dxa"/>
            <w:vAlign w:val="bottom"/>
          </w:tcPr>
          <w:p>
            <w:pPr>
              <w:spacing w:after="0"/>
              <w:rPr>
                <w:sz w:val="19"/>
                <w:szCs w:val="19"/>
                <w:color w:val="auto"/>
              </w:rPr>
            </w:pPr>
          </w:p>
        </w:tc>
        <w:tc>
          <w:tcPr>
            <w:tcW w:w="3920" w:type="dxa"/>
            <w:vAlign w:val="bottom"/>
          </w:tcPr>
          <w:p>
            <w:pPr>
              <w:ind w:left="160"/>
              <w:spacing w:after="0"/>
              <w:rPr>
                <w:sz w:val="20"/>
                <w:szCs w:val="20"/>
                <w:color w:val="auto"/>
              </w:rPr>
            </w:pPr>
            <w:r>
              <w:rPr>
                <w:rFonts w:ascii="Arial" w:cs="Arial" w:eastAsia="Arial" w:hAnsi="Arial"/>
                <w:sz w:val="18"/>
                <w:szCs w:val="18"/>
                <w:color w:val="auto"/>
              </w:rPr>
              <w:t>(File name: utx-20080630_cal.xml)</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78740</wp:posOffset>
            </wp:positionV>
            <wp:extent cx="728980" cy="8890"/>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728980" cy="8890"/>
                    </a:xfrm>
                    <a:prstGeom prst="rect">
                      <a:avLst/>
                    </a:prstGeom>
                    <a:noFill/>
                  </pic:spPr>
                </pic:pic>
              </a:graphicData>
            </a:graphic>
          </wp:anchor>
        </w:drawing>
      </w:r>
    </w:p>
    <w:p>
      <w:pPr>
        <w:spacing w:after="0" w:line="136" w:lineRule="exact"/>
        <w:rPr>
          <w:sz w:val="20"/>
          <w:szCs w:val="20"/>
          <w:color w:val="auto"/>
        </w:rPr>
      </w:pPr>
    </w:p>
    <w:p>
      <w:pPr>
        <w:spacing w:after="0"/>
        <w:tabs>
          <w:tab w:leader="none" w:pos="200" w:val="left"/>
        </w:tabs>
        <w:rPr>
          <w:sz w:val="20"/>
          <w:szCs w:val="20"/>
          <w:color w:val="auto"/>
        </w:rPr>
      </w:pPr>
      <w:r>
        <w:rPr>
          <w:rFonts w:ascii="Arial" w:cs="Arial" w:eastAsia="Arial" w:hAnsi="Arial"/>
          <w:sz w:val="18"/>
          <w:szCs w:val="18"/>
          <w:color w:val="auto"/>
        </w:rPr>
        <w:t>*</w:t>
      </w:r>
      <w:r>
        <w:rPr>
          <w:sz w:val="20"/>
          <w:szCs w:val="20"/>
          <w:color w:val="auto"/>
        </w:rPr>
        <w:tab/>
      </w:r>
      <w:r>
        <w:rPr>
          <w:rFonts w:ascii="Arial" w:cs="Arial" w:eastAsia="Arial" w:hAnsi="Arial"/>
          <w:sz w:val="16"/>
          <w:szCs w:val="16"/>
          <w:color w:val="auto"/>
        </w:rPr>
        <w:t>Submitted electronically herewith.</w:t>
      </w:r>
    </w:p>
    <w:p>
      <w:pPr>
        <w:spacing w:after="0" w:line="171" w:lineRule="exact"/>
        <w:rPr>
          <w:sz w:val="20"/>
          <w:szCs w:val="20"/>
          <w:color w:val="auto"/>
        </w:rPr>
      </w:pPr>
    </w:p>
    <w:p>
      <w:pPr>
        <w:spacing w:after="0" w:line="290" w:lineRule="auto"/>
        <w:rPr>
          <w:sz w:val="20"/>
          <w:szCs w:val="20"/>
          <w:color w:val="auto"/>
        </w:rPr>
      </w:pPr>
      <w:r>
        <w:rPr>
          <w:rFonts w:ascii="Arial" w:cs="Arial" w:eastAsia="Arial" w:hAnsi="Arial"/>
          <w:sz w:val="16"/>
          <w:szCs w:val="16"/>
          <w:color w:val="auto"/>
        </w:rPr>
        <w:t>Attached as Exhibit 100 to this report are the following formatted in XBRL (Extensible Business Reporting Language): (i) Condensed Consolidated Statement of Operations for the quarters ended June 30, 2008 and 2007, (ii) Condensed Consolidated Statement of Operations for the six months ended June 30, 2008 and 2007, (iii) Condensed Consolidated Balance Sheet at June 30, 2008 and December 31, 2007, (iv) Condensed Consolidated Statement of Cash Flows for the six months ended June 30, 2008 and 2007. Users of this data are advised pursuant to Rule 401 of Regulation S-T that the information contained in the XBRL documents is unaudited and these are not the official publicly filed financial statements of United Technologies Corporation. The purpose of submitting these XBRL formatted documents is to test the related format and technology and, as a result, investors should continue to rely on the official filed version of the furnished documents and not rely on this information in making investment decisions.</w:t>
      </w:r>
    </w:p>
    <w:p>
      <w:pPr>
        <w:spacing w:after="0" w:line="118" w:lineRule="exact"/>
        <w:rPr>
          <w:sz w:val="20"/>
          <w:szCs w:val="20"/>
          <w:color w:val="auto"/>
        </w:rPr>
      </w:pPr>
    </w:p>
    <w:p>
      <w:pPr>
        <w:ind w:right="160"/>
        <w:spacing w:after="0" w:line="256" w:lineRule="auto"/>
        <w:rPr>
          <w:sz w:val="20"/>
          <w:szCs w:val="20"/>
          <w:color w:val="auto"/>
        </w:rPr>
      </w:pPr>
      <w:r>
        <w:rPr>
          <w:rFonts w:ascii="Arial" w:cs="Arial" w:eastAsia="Arial" w:hAnsi="Arial"/>
          <w:sz w:val="18"/>
          <w:szCs w:val="18"/>
          <w:color w:val="auto"/>
        </w:rPr>
        <w:t>In accordance with Rule 402 of Regulation S-T, the XBRL related information in Exhibit 100 to this Quarterly Report on Form 10-Q shall not be deemed to be “filed” for purposes of Section 18 of the Exchange Act, or otherwise subject to the liability of that section, and shall not be incorporated by reference into any registration statement or other document filed under the Securities Act or the Exchange Act, except as shall be expressly set forth by specific reference in such filing.</w:t>
      </w:r>
    </w:p>
    <w:p>
      <w:pPr>
        <w:spacing w:after="0" w:line="130"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41</w:t>
      </w:r>
    </w:p>
    <w:p>
      <w:pPr>
        <w:sectPr>
          <w:pgSz w:w="11900" w:h="16838" w:orient="portrait"/>
          <w:cols w:equalWidth="0" w:num="1">
            <w:col w:w="11340"/>
          </w:cols>
          <w:pgMar w:left="240" w:top="459" w:right="319" w:bottom="1440" w:gutter="0" w:footer="0" w:header="0"/>
        </w:sectPr>
      </w:pPr>
    </w:p>
    <w:bookmarkStart w:id="41" w:name="page42"/>
    <w:bookmarkEnd w:id="41"/>
    <w:p>
      <w:pPr>
        <w:ind w:left="10520"/>
        <w:spacing w:after="0"/>
        <w:rPr>
          <w:sz w:val="20"/>
          <w:szCs w:val="20"/>
          <w:color w:val="auto"/>
        </w:rPr>
      </w:pPr>
      <w:r>
        <w:rPr>
          <w:rFonts w:ascii="Arial" w:cs="Arial" w:eastAsia="Arial" w:hAnsi="Arial"/>
          <w:sz w:val="16"/>
          <w:szCs w:val="16"/>
          <w:b w:val="1"/>
          <w:bCs w:val="1"/>
          <w:color w:val="auto"/>
        </w:rPr>
        <w:t>Exhibit 10.4</w:t>
      </w:r>
    </w:p>
    <w:p>
      <w:pPr>
        <w:spacing w:after="0" w:line="194"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UNITED TECHNOLOGIES CORPORATION</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SENIOR EXECUTIVE SEVERANCE PLAN</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AMENDMENT</w:t>
      </w:r>
    </w:p>
    <w:p>
      <w:pPr>
        <w:spacing w:after="0" w:line="165" w:lineRule="exact"/>
        <w:rPr>
          <w:sz w:val="20"/>
          <w:szCs w:val="20"/>
          <w:color w:val="auto"/>
        </w:rPr>
      </w:pPr>
    </w:p>
    <w:p>
      <w:pPr>
        <w:ind w:right="180"/>
        <w:spacing w:after="0" w:line="268" w:lineRule="auto"/>
        <w:rPr>
          <w:sz w:val="20"/>
          <w:szCs w:val="20"/>
          <w:color w:val="auto"/>
        </w:rPr>
      </w:pPr>
      <w:r>
        <w:rPr>
          <w:rFonts w:ascii="Arial" w:cs="Arial" w:eastAsia="Arial" w:hAnsi="Arial"/>
          <w:sz w:val="18"/>
          <w:szCs w:val="18"/>
          <w:color w:val="auto"/>
        </w:rPr>
        <w:t>Whereas, the Board of Directors has approved certain modifications and limitations to benefits order the Senior Executive Severance Plan (the “Plan”) effective June 11, 2008 for Participants who become covered under the on and after Plan after such date;</w:t>
      </w:r>
    </w:p>
    <w:p>
      <w:pPr>
        <w:spacing w:after="0" w:line="132" w:lineRule="exact"/>
        <w:rPr>
          <w:sz w:val="20"/>
          <w:szCs w:val="20"/>
          <w:color w:val="auto"/>
        </w:rPr>
      </w:pPr>
    </w:p>
    <w:p>
      <w:pPr>
        <w:spacing w:after="0"/>
        <w:rPr>
          <w:sz w:val="20"/>
          <w:szCs w:val="20"/>
          <w:color w:val="auto"/>
        </w:rPr>
      </w:pPr>
      <w:r>
        <w:rPr>
          <w:rFonts w:ascii="Arial" w:cs="Arial" w:eastAsia="Arial" w:hAnsi="Arial"/>
          <w:sz w:val="18"/>
          <w:szCs w:val="18"/>
          <w:color w:val="auto"/>
        </w:rPr>
        <w:t>Now therefore, the Plan is hereby amended as follows:</w:t>
      </w:r>
    </w:p>
    <w:p>
      <w:pPr>
        <w:spacing w:after="0" w:line="84" w:lineRule="exact"/>
        <w:rPr>
          <w:sz w:val="20"/>
          <w:szCs w:val="20"/>
          <w:color w:val="auto"/>
        </w:rPr>
      </w:pPr>
    </w:p>
    <w:p>
      <w:pPr>
        <w:ind w:left="460" w:hanging="452"/>
        <w:spacing w:after="0"/>
        <w:tabs>
          <w:tab w:leader="none" w:pos="460" w:val="left"/>
        </w:tabs>
        <w:numPr>
          <w:ilvl w:val="0"/>
          <w:numId w:val="7"/>
        </w:numPr>
        <w:rPr>
          <w:rFonts w:ascii="Arial" w:cs="Arial" w:eastAsia="Arial" w:hAnsi="Arial"/>
          <w:sz w:val="18"/>
          <w:szCs w:val="18"/>
          <w:color w:val="auto"/>
        </w:rPr>
      </w:pPr>
      <w:r>
        <w:rPr>
          <w:rFonts w:ascii="Arial" w:cs="Arial" w:eastAsia="Arial" w:hAnsi="Arial"/>
          <w:sz w:val="18"/>
          <w:szCs w:val="18"/>
          <w:color w:val="auto"/>
        </w:rPr>
        <w:t xml:space="preserve">The paragraph captioned </w:t>
      </w:r>
      <w:r>
        <w:rPr>
          <w:rFonts w:ascii="Arial" w:cs="Arial" w:eastAsia="Arial" w:hAnsi="Arial"/>
          <w:sz w:val="18"/>
          <w:szCs w:val="18"/>
          <w:b w:val="1"/>
          <w:bCs w:val="1"/>
          <w:u w:val="single" w:color="auto"/>
          <w:color w:val="auto"/>
        </w:rPr>
        <w:t>“Agreements”</w:t>
      </w:r>
      <w:r>
        <w:rPr>
          <w:rFonts w:ascii="Arial" w:cs="Arial" w:eastAsia="Arial" w:hAnsi="Arial"/>
          <w:sz w:val="18"/>
          <w:szCs w:val="18"/>
          <w:color w:val="auto"/>
        </w:rPr>
        <w:t xml:space="preserve"> shall be amended and restated as follows:</w:t>
      </w:r>
    </w:p>
    <w:p>
      <w:pPr>
        <w:spacing w:after="0" w:line="90" w:lineRule="exact"/>
        <w:rPr>
          <w:rFonts w:ascii="Arial" w:cs="Arial" w:eastAsia="Arial" w:hAnsi="Arial"/>
          <w:sz w:val="18"/>
          <w:szCs w:val="18"/>
          <w:color w:val="auto"/>
        </w:rPr>
      </w:pPr>
    </w:p>
    <w:p>
      <w:pPr>
        <w:ind w:left="460"/>
        <w:spacing w:after="0" w:line="316" w:lineRule="auto"/>
        <w:rPr>
          <w:rFonts w:ascii="Arial" w:cs="Arial" w:eastAsia="Arial" w:hAnsi="Arial"/>
          <w:sz w:val="18"/>
          <w:szCs w:val="18"/>
          <w:color w:val="auto"/>
        </w:rPr>
      </w:pPr>
      <w:r>
        <w:rPr>
          <w:rFonts w:ascii="Arial" w:cs="Arial" w:eastAsia="Arial" w:hAnsi="Arial"/>
          <w:sz w:val="15"/>
          <w:szCs w:val="15"/>
          <w:b w:val="1"/>
          <w:bCs w:val="1"/>
          <w:u w:val="single" w:color="auto"/>
          <w:color w:val="auto"/>
        </w:rPr>
        <w:t>Agreements</w:t>
      </w:r>
      <w:r>
        <w:rPr>
          <w:rFonts w:ascii="Arial" w:cs="Arial" w:eastAsia="Arial" w:hAnsi="Arial"/>
          <w:sz w:val="15"/>
          <w:szCs w:val="15"/>
          <w:b w:val="1"/>
          <w:bCs w:val="1"/>
          <w:color w:val="auto"/>
        </w:rPr>
        <w:t xml:space="preserve">. </w:t>
      </w:r>
      <w:r>
        <w:rPr>
          <w:rFonts w:ascii="Arial" w:cs="Arial" w:eastAsia="Arial" w:hAnsi="Arial"/>
          <w:sz w:val="15"/>
          <w:szCs w:val="15"/>
          <w:color w:val="auto"/>
        </w:rPr>
        <w:t>Participants who became covered under the Plan before December 10, 2003 shall enter into a Senior Executive Severance Agreement with</w:t>
      </w:r>
      <w:r>
        <w:rPr>
          <w:rFonts w:ascii="Arial" w:cs="Arial" w:eastAsia="Arial" w:hAnsi="Arial"/>
          <w:sz w:val="15"/>
          <w:szCs w:val="15"/>
          <w:b w:val="1"/>
          <w:bCs w:val="1"/>
          <w:color w:val="auto"/>
        </w:rPr>
        <w:t xml:space="preserve"> </w:t>
      </w:r>
      <w:r>
        <w:rPr>
          <w:rFonts w:ascii="Arial" w:cs="Arial" w:eastAsia="Arial" w:hAnsi="Arial"/>
          <w:sz w:val="15"/>
          <w:szCs w:val="15"/>
          <w:color w:val="auto"/>
        </w:rPr>
        <w:t>the Corporation substantially in the form approved by the Board and attached to this Plan as Exhibit A. Participants who became covered under the Plan on or after December 10, 2003 shall enter into a Senior Executive Severance Agreement substantially in the form approved by the Board and attached to this Plan as Exhibit B. Participants who become covered under the Plan on or after June 11, 2008 shall enter into a Senior Executive Severance Agreement with the Corporation substantially in the form approved by the Board and attached to this Plan as Exhibit C. The word “Agreement” as used herein refers to each form of Senior Executive Severance Agreement unless otherwise specified. Each Agreement shall be executed by the Corporation and the Participant.</w:t>
      </w:r>
    </w:p>
    <w:p>
      <w:pPr>
        <w:spacing w:after="0" w:line="14" w:lineRule="exact"/>
        <w:rPr>
          <w:rFonts w:ascii="Arial" w:cs="Arial" w:eastAsia="Arial" w:hAnsi="Arial"/>
          <w:sz w:val="18"/>
          <w:szCs w:val="18"/>
          <w:color w:val="auto"/>
        </w:rPr>
      </w:pPr>
    </w:p>
    <w:p>
      <w:pPr>
        <w:ind w:left="460" w:hanging="452"/>
        <w:spacing w:after="0"/>
        <w:tabs>
          <w:tab w:leader="none" w:pos="460" w:val="left"/>
        </w:tabs>
        <w:numPr>
          <w:ilvl w:val="0"/>
          <w:numId w:val="7"/>
        </w:numPr>
        <w:rPr>
          <w:rFonts w:ascii="Arial" w:cs="Arial" w:eastAsia="Arial" w:hAnsi="Arial"/>
          <w:sz w:val="18"/>
          <w:szCs w:val="18"/>
          <w:color w:val="auto"/>
        </w:rPr>
      </w:pPr>
      <w:r>
        <w:rPr>
          <w:rFonts w:ascii="Arial" w:cs="Arial" w:eastAsia="Arial" w:hAnsi="Arial"/>
          <w:sz w:val="18"/>
          <w:szCs w:val="18"/>
          <w:color w:val="auto"/>
        </w:rPr>
        <w:t xml:space="preserve">The paragraph captioned </w:t>
      </w:r>
      <w:r>
        <w:rPr>
          <w:rFonts w:ascii="Arial" w:cs="Arial" w:eastAsia="Arial" w:hAnsi="Arial"/>
          <w:sz w:val="18"/>
          <w:szCs w:val="18"/>
          <w:b w:val="1"/>
          <w:bCs w:val="1"/>
          <w:u w:val="single" w:color="auto"/>
          <w:color w:val="auto"/>
        </w:rPr>
        <w:t>“Severance Payments and Adjustments”</w:t>
      </w:r>
      <w:r>
        <w:rPr>
          <w:rFonts w:ascii="Arial" w:cs="Arial" w:eastAsia="Arial" w:hAnsi="Arial"/>
          <w:sz w:val="18"/>
          <w:szCs w:val="18"/>
          <w:color w:val="auto"/>
        </w:rPr>
        <w:t xml:space="preserve"> shall be amended by adding sub-section (c) as follows:</w:t>
      </w:r>
    </w:p>
    <w:p>
      <w:pPr>
        <w:spacing w:after="0" w:line="90" w:lineRule="exact"/>
        <w:rPr>
          <w:rFonts w:ascii="Arial" w:cs="Arial" w:eastAsia="Arial" w:hAnsi="Arial"/>
          <w:sz w:val="18"/>
          <w:szCs w:val="18"/>
          <w:color w:val="auto"/>
        </w:rPr>
      </w:pPr>
    </w:p>
    <w:p>
      <w:pPr>
        <w:ind w:left="460"/>
        <w:spacing w:after="0"/>
        <w:rPr>
          <w:rFonts w:ascii="Arial" w:cs="Arial" w:eastAsia="Arial" w:hAnsi="Arial"/>
          <w:sz w:val="18"/>
          <w:szCs w:val="18"/>
          <w:color w:val="auto"/>
        </w:rPr>
      </w:pPr>
      <w:r>
        <w:rPr>
          <w:rFonts w:ascii="Arial" w:cs="Arial" w:eastAsia="Arial" w:hAnsi="Arial"/>
          <w:sz w:val="18"/>
          <w:szCs w:val="18"/>
          <w:b w:val="1"/>
          <w:bCs w:val="1"/>
          <w:color w:val="auto"/>
        </w:rPr>
        <w:t>Severance Payments and Adjustments.</w:t>
      </w:r>
    </w:p>
    <w:p>
      <w:pPr>
        <w:spacing w:after="0" w:line="90" w:lineRule="exact"/>
        <w:rPr>
          <w:rFonts w:ascii="Arial" w:cs="Arial" w:eastAsia="Arial" w:hAnsi="Arial"/>
          <w:sz w:val="18"/>
          <w:szCs w:val="18"/>
          <w:color w:val="auto"/>
        </w:rPr>
      </w:pPr>
    </w:p>
    <w:p>
      <w:pPr>
        <w:ind w:left="900" w:hanging="446"/>
        <w:spacing w:after="0"/>
        <w:tabs>
          <w:tab w:leader="none" w:pos="900" w:val="left"/>
        </w:tabs>
        <w:numPr>
          <w:ilvl w:val="1"/>
          <w:numId w:val="7"/>
        </w:numPr>
        <w:rPr>
          <w:rFonts w:ascii="Arial" w:cs="Arial" w:eastAsia="Arial" w:hAnsi="Arial"/>
          <w:sz w:val="18"/>
          <w:szCs w:val="18"/>
          <w:b w:val="1"/>
          <w:bCs w:val="1"/>
          <w:color w:val="auto"/>
        </w:rPr>
      </w:pPr>
      <w:r>
        <w:rPr>
          <w:rFonts w:ascii="Arial" w:cs="Arial" w:eastAsia="Arial" w:hAnsi="Arial"/>
          <w:sz w:val="18"/>
          <w:szCs w:val="18"/>
          <w:b w:val="1"/>
          <w:bCs w:val="1"/>
          <w:u w:val="single" w:color="auto"/>
          <w:color w:val="auto"/>
        </w:rPr>
        <w:t>Participants who become covered before December 10, 2003.</w:t>
      </w:r>
    </w:p>
    <w:p>
      <w:pPr>
        <w:spacing w:after="0" w:line="96" w:lineRule="exact"/>
        <w:rPr>
          <w:rFonts w:ascii="Arial" w:cs="Arial" w:eastAsia="Arial" w:hAnsi="Arial"/>
          <w:sz w:val="18"/>
          <w:szCs w:val="18"/>
          <w:b w:val="1"/>
          <w:bCs w:val="1"/>
          <w:color w:val="auto"/>
        </w:rPr>
      </w:pPr>
    </w:p>
    <w:p>
      <w:pPr>
        <w:ind w:left="900" w:right="80"/>
        <w:spacing w:after="0" w:line="332" w:lineRule="auto"/>
        <w:rPr>
          <w:rFonts w:ascii="Arial" w:cs="Arial" w:eastAsia="Arial" w:hAnsi="Arial"/>
          <w:sz w:val="18"/>
          <w:szCs w:val="18"/>
          <w:b w:val="1"/>
          <w:bCs w:val="1"/>
          <w:color w:val="auto"/>
        </w:rPr>
      </w:pPr>
      <w:r>
        <w:rPr>
          <w:rFonts w:ascii="Arial" w:cs="Arial" w:eastAsia="Arial" w:hAnsi="Arial"/>
          <w:sz w:val="16"/>
          <w:szCs w:val="16"/>
          <w:color w:val="auto"/>
        </w:rPr>
        <w:t>Notwithstanding anything in the Plan to the contrary, Participants who become covered under the Plan on or after June 11, 2008 shall not receive the benefits described in sub-section (b) herein if such Participant voluntarily terminates his or her employment following</w:t>
      </w:r>
    </w:p>
    <w:p>
      <w:pPr>
        <w:spacing w:after="0" w:line="7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w:t>
      </w:r>
    </w:p>
    <w:p>
      <w:pPr>
        <w:sectPr>
          <w:pgSz w:w="11900" w:h="16838" w:orient="portrait"/>
          <w:cols w:equalWidth="0" w:num="1">
            <w:col w:w="11420"/>
          </w:cols>
          <w:pgMar w:left="240" w:top="125" w:right="239" w:bottom="1440" w:gutter="0" w:footer="0" w:header="0"/>
        </w:sectPr>
      </w:pPr>
    </w:p>
    <w:bookmarkStart w:id="42" w:name="page43"/>
    <w:bookmarkEnd w:id="42"/>
    <w:p>
      <w:pPr>
        <w:ind w:left="6" w:right="160"/>
        <w:spacing w:after="0" w:line="268"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7267575" cy="27940"/>
                    </a:xfrm>
                    <a:prstGeom prst="rect">
                      <a:avLst/>
                    </a:prstGeom>
                    <a:noFill/>
                  </pic:spPr>
                </pic:pic>
              </a:graphicData>
            </a:graphic>
          </wp:anchor>
        </w:drawing>
        <w:t>a Change of Control unless the Participant terminates employment for “Good Reason.” Good Reason shall mean, without the Executive’s express written consent, the occurrence of any one or more of the following:</w:t>
      </w:r>
    </w:p>
    <w:p>
      <w:pPr>
        <w:spacing w:after="0" w:line="51" w:lineRule="exact"/>
        <w:rPr>
          <w:sz w:val="20"/>
          <w:szCs w:val="20"/>
          <w:color w:val="auto"/>
        </w:rPr>
      </w:pPr>
    </w:p>
    <w:p>
      <w:pPr>
        <w:ind w:left="446" w:right="40" w:hanging="446"/>
        <w:spacing w:after="0" w:line="259" w:lineRule="auto"/>
        <w:tabs>
          <w:tab w:leader="none" w:pos="446" w:val="left"/>
        </w:tabs>
        <w:numPr>
          <w:ilvl w:val="0"/>
          <w:numId w:val="8"/>
        </w:numPr>
        <w:rPr>
          <w:rFonts w:ascii="Arial" w:cs="Arial" w:eastAsia="Arial" w:hAnsi="Arial"/>
          <w:sz w:val="18"/>
          <w:szCs w:val="18"/>
          <w:color w:val="auto"/>
        </w:rPr>
      </w:pPr>
      <w:r>
        <w:rPr>
          <w:rFonts w:ascii="Arial" w:cs="Arial" w:eastAsia="Arial" w:hAnsi="Arial"/>
          <w:sz w:val="18"/>
          <w:szCs w:val="18"/>
          <w:color w:val="auto"/>
        </w:rPr>
        <w:t>The assignment of the Executive to duties materially inconsistent with the Executive’s authorities, duties, responsibilities, and status (including reporting relationships) as an employee of the Corporation, or a reduction or alteration in the nature or status of the Executive’s authorities, duties, or responsibilities from those in effect immediately preceding the Change of Control;</w:t>
      </w:r>
    </w:p>
    <w:p>
      <w:pPr>
        <w:spacing w:after="0" w:line="59" w:lineRule="exact"/>
        <w:rPr>
          <w:rFonts w:ascii="Arial" w:cs="Arial" w:eastAsia="Arial" w:hAnsi="Arial"/>
          <w:sz w:val="18"/>
          <w:szCs w:val="18"/>
          <w:color w:val="auto"/>
        </w:rPr>
      </w:pPr>
    </w:p>
    <w:p>
      <w:pPr>
        <w:ind w:left="446" w:hanging="446"/>
        <w:spacing w:after="0" w:line="306" w:lineRule="auto"/>
        <w:tabs>
          <w:tab w:leader="none" w:pos="446" w:val="left"/>
        </w:tabs>
        <w:numPr>
          <w:ilvl w:val="0"/>
          <w:numId w:val="8"/>
        </w:numPr>
        <w:rPr>
          <w:rFonts w:ascii="Arial" w:cs="Arial" w:eastAsia="Arial" w:hAnsi="Arial"/>
          <w:sz w:val="16"/>
          <w:szCs w:val="16"/>
          <w:color w:val="auto"/>
        </w:rPr>
      </w:pPr>
      <w:r>
        <w:rPr>
          <w:rFonts w:ascii="Arial" w:cs="Arial" w:eastAsia="Arial" w:hAnsi="Arial"/>
          <w:sz w:val="16"/>
          <w:szCs w:val="16"/>
          <w:color w:val="auto"/>
        </w:rPr>
        <w:t>The Corporation’s requiring the Executive to be based at a location which is at least fifty (50) miles further from the current primary residence than is such residence from the Corporation’s current headquarters, except for required travel on the Corporation’s business to an extent substantially consistent with the Executive’s business obligations immediately preceding the Change of Control;</w:t>
      </w:r>
    </w:p>
    <w:p>
      <w:pPr>
        <w:spacing w:after="0" w:line="25" w:lineRule="exact"/>
        <w:rPr>
          <w:rFonts w:ascii="Arial" w:cs="Arial" w:eastAsia="Arial" w:hAnsi="Arial"/>
          <w:sz w:val="16"/>
          <w:szCs w:val="16"/>
          <w:color w:val="auto"/>
        </w:rPr>
      </w:pPr>
    </w:p>
    <w:p>
      <w:pPr>
        <w:ind w:left="446" w:hanging="446"/>
        <w:spacing w:after="0"/>
        <w:tabs>
          <w:tab w:leader="none" w:pos="446" w:val="left"/>
        </w:tabs>
        <w:numPr>
          <w:ilvl w:val="0"/>
          <w:numId w:val="8"/>
        </w:numPr>
        <w:rPr>
          <w:rFonts w:ascii="Arial" w:cs="Arial" w:eastAsia="Arial" w:hAnsi="Arial"/>
          <w:sz w:val="16"/>
          <w:szCs w:val="16"/>
          <w:color w:val="auto"/>
        </w:rPr>
      </w:pPr>
      <w:r>
        <w:rPr>
          <w:rFonts w:ascii="Arial" w:cs="Arial" w:eastAsia="Arial" w:hAnsi="Arial"/>
          <w:sz w:val="16"/>
          <w:szCs w:val="16"/>
          <w:color w:val="auto"/>
        </w:rPr>
        <w:t>A reduction by the Corporation in the Executive’s base salary as in effect on the Effective Date or as the same shall be increased from time to time;</w:t>
      </w:r>
    </w:p>
    <w:p>
      <w:pPr>
        <w:spacing w:after="0" w:line="113" w:lineRule="exact"/>
        <w:rPr>
          <w:rFonts w:ascii="Arial" w:cs="Arial" w:eastAsia="Arial" w:hAnsi="Arial"/>
          <w:sz w:val="16"/>
          <w:szCs w:val="16"/>
          <w:color w:val="auto"/>
        </w:rPr>
      </w:pPr>
    </w:p>
    <w:p>
      <w:pPr>
        <w:ind w:left="446" w:right="60" w:hanging="446"/>
        <w:spacing w:after="0" w:line="294" w:lineRule="auto"/>
        <w:tabs>
          <w:tab w:leader="none" w:pos="446" w:val="left"/>
        </w:tabs>
        <w:numPr>
          <w:ilvl w:val="0"/>
          <w:numId w:val="8"/>
        </w:numPr>
        <w:rPr>
          <w:rFonts w:ascii="Arial" w:cs="Arial" w:eastAsia="Arial" w:hAnsi="Arial"/>
          <w:sz w:val="16"/>
          <w:szCs w:val="16"/>
          <w:color w:val="auto"/>
        </w:rPr>
      </w:pPr>
      <w:r>
        <w:rPr>
          <w:rFonts w:ascii="Arial" w:cs="Arial" w:eastAsia="Arial" w:hAnsi="Arial"/>
          <w:sz w:val="16"/>
          <w:szCs w:val="16"/>
          <w:color w:val="auto"/>
        </w:rPr>
        <w:t>A material reduction in the Executive’s level of participation in any of the Corporation’s short- and/or long-term incentive compensation plans, or employee benefit or retirement plans, policies, practices, or arrangements in which the Executive participates from the levels in place during the fiscal year immediately preceding the Change of Control; provided, however, that reductions in the levels of participation in any such plans shall not be deemed to be “Good Reason” if the Executive’s reduced level of participation in each such program remains substantially consistent with the average level of participation of other executives who have positions commensurate with the Executive’s position; or</w:t>
      </w:r>
    </w:p>
    <w:p>
      <w:pPr>
        <w:spacing w:after="0" w:line="34" w:lineRule="exact"/>
        <w:rPr>
          <w:rFonts w:ascii="Arial" w:cs="Arial" w:eastAsia="Arial" w:hAnsi="Arial"/>
          <w:sz w:val="16"/>
          <w:szCs w:val="16"/>
          <w:color w:val="auto"/>
        </w:rPr>
      </w:pPr>
    </w:p>
    <w:p>
      <w:pPr>
        <w:ind w:left="446" w:right="780" w:hanging="446"/>
        <w:spacing w:after="0" w:line="268" w:lineRule="auto"/>
        <w:tabs>
          <w:tab w:leader="none" w:pos="446" w:val="left"/>
        </w:tabs>
        <w:numPr>
          <w:ilvl w:val="0"/>
          <w:numId w:val="8"/>
        </w:numPr>
        <w:rPr>
          <w:rFonts w:ascii="Arial" w:cs="Arial" w:eastAsia="Arial" w:hAnsi="Arial"/>
          <w:sz w:val="18"/>
          <w:szCs w:val="18"/>
          <w:color w:val="auto"/>
        </w:rPr>
      </w:pPr>
      <w:r>
        <w:rPr>
          <w:rFonts w:ascii="Arial" w:cs="Arial" w:eastAsia="Arial" w:hAnsi="Arial"/>
          <w:sz w:val="18"/>
          <w:szCs w:val="18"/>
          <w:color w:val="auto"/>
        </w:rPr>
        <w:t>The failure of the Corporation to obtain a satisfactory agreement from any successor to the Corporation to assume and agree to perform its obligations under this Agreement.</w:t>
      </w:r>
    </w:p>
    <w:p>
      <w:pPr>
        <w:spacing w:after="0" w:line="118" w:lineRule="exact"/>
        <w:rPr>
          <w:sz w:val="20"/>
          <w:szCs w:val="20"/>
          <w:color w:val="auto"/>
        </w:rPr>
      </w:pPr>
    </w:p>
    <w:p>
      <w:pPr>
        <w:jc w:val="center"/>
        <w:ind w:right="414"/>
        <w:spacing w:after="0"/>
        <w:rPr>
          <w:sz w:val="20"/>
          <w:szCs w:val="20"/>
          <w:color w:val="auto"/>
        </w:rPr>
      </w:pPr>
      <w:r>
        <w:rPr>
          <w:rFonts w:ascii="Arial" w:cs="Arial" w:eastAsia="Arial" w:hAnsi="Arial"/>
          <w:sz w:val="18"/>
          <w:szCs w:val="18"/>
          <w:color w:val="auto"/>
        </w:rPr>
        <w:t>2</w:t>
      </w:r>
    </w:p>
    <w:p>
      <w:pPr>
        <w:sectPr>
          <w:pgSz w:w="11900" w:h="16838" w:orient="portrait"/>
          <w:cols w:equalWidth="0" w:num="1">
            <w:col w:w="10946"/>
          </w:cols>
          <w:pgMar w:left="694" w:top="280" w:right="259" w:bottom="1440" w:gutter="0" w:footer="0" w:header="0"/>
        </w:sectPr>
      </w:pPr>
    </w:p>
    <w:bookmarkStart w:id="43" w:name="page44"/>
    <w:bookmarkEnd w:id="43"/>
    <w:p>
      <w:pPr>
        <w:ind w:left="452" w:right="20" w:firstLine="438"/>
        <w:spacing w:after="0" w:line="335" w:lineRule="auto"/>
        <w:rPr>
          <w:sz w:val="20"/>
          <w:szCs w:val="20"/>
          <w:color w:val="auto"/>
        </w:rPr>
      </w:pPr>
      <w:r>
        <w:rPr>
          <w:rFonts w:ascii="Arial" w:cs="Arial" w:eastAsia="Arial" w:hAnsi="Arial"/>
          <w:sz w:val="15"/>
          <w:szCs w:val="15"/>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7267575" cy="27940"/>
                    </a:xfrm>
                    <a:prstGeom prst="rect">
                      <a:avLst/>
                    </a:prstGeom>
                    <a:noFill/>
                  </pic:spPr>
                </pic:pic>
              </a:graphicData>
            </a:graphic>
          </wp:anchor>
        </w:drawing>
        <w:t>In the event of any of the foregoing occurrences, the Executive shall notify the Corporation of the event constituting the basis for a termination for Good Reason. The Corporation may then take action to cure the Good Reason event or condition. If the Corporation does not remedy the basis for a Good Reason termination within 30 days of receipt of notice from the Executive, the Executive may then terminate his or her employment for Good Reason.</w:t>
      </w:r>
    </w:p>
    <w:p>
      <w:pPr>
        <w:spacing w:after="0" w:line="7" w:lineRule="exact"/>
        <w:rPr>
          <w:sz w:val="20"/>
          <w:szCs w:val="20"/>
          <w:color w:val="auto"/>
        </w:rPr>
      </w:pPr>
    </w:p>
    <w:p>
      <w:pPr>
        <w:jc w:val="both"/>
        <w:ind w:left="452" w:right="340" w:firstLine="438"/>
        <w:spacing w:after="0" w:line="357" w:lineRule="auto"/>
        <w:rPr>
          <w:sz w:val="20"/>
          <w:szCs w:val="20"/>
          <w:color w:val="auto"/>
        </w:rPr>
      </w:pPr>
      <w:r>
        <w:rPr>
          <w:rFonts w:ascii="Arial" w:cs="Arial" w:eastAsia="Arial" w:hAnsi="Arial"/>
          <w:sz w:val="15"/>
          <w:szCs w:val="15"/>
          <w:color w:val="auto"/>
        </w:rPr>
        <w:t>The existence of Good Reason shall not be affected by the Executive’s temporary incapacity due to physical or mental illness not constituting a Disability. The Executive’s Retirement shall constitute a waiver of the Executive’s rights with respect to any circumstance constituting Good Reason.</w:t>
      </w:r>
    </w:p>
    <w:p>
      <w:pPr>
        <w:ind w:left="452" w:right="180" w:firstLine="438"/>
        <w:spacing w:after="0" w:line="268" w:lineRule="auto"/>
        <w:rPr>
          <w:sz w:val="20"/>
          <w:szCs w:val="20"/>
          <w:color w:val="auto"/>
        </w:rPr>
      </w:pPr>
      <w:r>
        <w:rPr>
          <w:rFonts w:ascii="Arial" w:cs="Arial" w:eastAsia="Arial" w:hAnsi="Arial"/>
          <w:sz w:val="18"/>
          <w:szCs w:val="18"/>
          <w:color w:val="auto"/>
        </w:rPr>
        <w:t>The Executive’s continued employment shall not constitute a waiver of the Executive’s rights with respect to any circumstance constituting Good Reason.</w:t>
      </w:r>
    </w:p>
    <w:p>
      <w:pPr>
        <w:spacing w:after="0" w:line="51" w:lineRule="exact"/>
        <w:rPr>
          <w:sz w:val="20"/>
          <w:szCs w:val="20"/>
          <w:color w:val="auto"/>
        </w:rPr>
      </w:pPr>
    </w:p>
    <w:p>
      <w:pPr>
        <w:ind w:left="452" w:hanging="452"/>
        <w:spacing w:after="0"/>
        <w:tabs>
          <w:tab w:leader="none" w:pos="452" w:val="left"/>
        </w:tabs>
        <w:numPr>
          <w:ilvl w:val="0"/>
          <w:numId w:val="9"/>
        </w:numPr>
        <w:rPr>
          <w:rFonts w:ascii="Arial" w:cs="Arial" w:eastAsia="Arial" w:hAnsi="Arial"/>
          <w:sz w:val="18"/>
          <w:szCs w:val="18"/>
          <w:color w:val="auto"/>
        </w:rPr>
      </w:pPr>
      <w:r>
        <w:rPr>
          <w:rFonts w:ascii="Arial" w:cs="Arial" w:eastAsia="Arial" w:hAnsi="Arial"/>
          <w:sz w:val="18"/>
          <w:szCs w:val="18"/>
          <w:color w:val="auto"/>
        </w:rPr>
        <w:t>The following paragraph shall be added to the section of the Plan captioned “Termination and Amendment of this Plan.”</w:t>
      </w:r>
    </w:p>
    <w:p>
      <w:pPr>
        <w:spacing w:after="0" w:line="90" w:lineRule="exact"/>
        <w:rPr>
          <w:rFonts w:ascii="Arial" w:cs="Arial" w:eastAsia="Arial" w:hAnsi="Arial"/>
          <w:sz w:val="18"/>
          <w:szCs w:val="18"/>
          <w:color w:val="auto"/>
        </w:rPr>
      </w:pPr>
    </w:p>
    <w:p>
      <w:pPr>
        <w:ind w:left="452"/>
        <w:spacing w:after="0" w:line="294" w:lineRule="auto"/>
        <w:rPr>
          <w:rFonts w:ascii="Arial" w:cs="Arial" w:eastAsia="Arial" w:hAnsi="Arial"/>
          <w:sz w:val="18"/>
          <w:szCs w:val="18"/>
          <w:color w:val="auto"/>
        </w:rPr>
      </w:pPr>
      <w:r>
        <w:rPr>
          <w:rFonts w:ascii="Arial" w:cs="Arial" w:eastAsia="Arial" w:hAnsi="Arial"/>
          <w:sz w:val="16"/>
          <w:szCs w:val="16"/>
          <w:u w:val="single" w:color="auto"/>
          <w:color w:val="auto"/>
        </w:rPr>
        <w:t>Compliance with Section 409A</w:t>
      </w:r>
      <w:r>
        <w:rPr>
          <w:rFonts w:ascii="Arial" w:cs="Arial" w:eastAsia="Arial" w:hAnsi="Arial"/>
          <w:sz w:val="16"/>
          <w:szCs w:val="16"/>
          <w:color w:val="auto"/>
        </w:rPr>
        <w:t>. Notwithstanding any other provision of this Plan, if and to the extent that rights or payments provided under this Agreement are determined to be subject to Section 409A of the Internal Revenue Code, the Executive agrees to make any amendments to this Agreement that may be required to comply with Section 409A. If the Executive is a “specified employee” under Section 409A, any payments subject to Section 409A will be deferred for six months from the date of termination of employment, to the extent required by Section 409A. Any deferred payments shall be credited with interest at the rate credited to fixed income accounts in the Corporation’s Deferred Compensation Plan.</w:t>
      </w:r>
    </w:p>
    <w:p>
      <w:pPr>
        <w:spacing w:after="0" w:line="102" w:lineRule="exact"/>
        <w:rPr>
          <w:sz w:val="20"/>
          <w:szCs w:val="20"/>
          <w:color w:val="auto"/>
        </w:rPr>
      </w:pPr>
    </w:p>
    <w:p>
      <w:pPr>
        <w:jc w:val="center"/>
        <w:ind w:right="-111"/>
        <w:spacing w:after="0"/>
        <w:rPr>
          <w:sz w:val="20"/>
          <w:szCs w:val="20"/>
          <w:color w:val="auto"/>
        </w:rPr>
      </w:pPr>
      <w:r>
        <w:rPr>
          <w:rFonts w:ascii="Arial" w:cs="Arial" w:eastAsia="Arial" w:hAnsi="Arial"/>
          <w:sz w:val="18"/>
          <w:szCs w:val="18"/>
          <w:color w:val="auto"/>
        </w:rPr>
        <w:t>3</w:t>
      </w:r>
    </w:p>
    <w:p>
      <w:pPr>
        <w:sectPr>
          <w:pgSz w:w="11900" w:h="16838" w:orient="portrait"/>
          <w:cols w:equalWidth="0" w:num="1">
            <w:col w:w="11292"/>
          </w:cols>
          <w:pgMar w:left="248" w:top="280" w:right="359" w:bottom="1440" w:gutter="0" w:footer="0" w:header="0"/>
        </w:sectPr>
      </w:pPr>
    </w:p>
    <w:bookmarkStart w:id="44" w:name="page45"/>
    <w:bookmarkEnd w:id="44"/>
    <w:p>
      <w:pPr>
        <w:jc w:val="center"/>
        <w:ind w:right="-99"/>
        <w:spacing w:after="0"/>
        <w:rPr>
          <w:sz w:val="20"/>
          <w:szCs w:val="20"/>
          <w:color w:val="auto"/>
        </w:rPr>
      </w:pPr>
      <w:r>
        <w:rPr>
          <w:rFonts w:ascii="Arial" w:cs="Arial" w:eastAsia="Arial" w:hAnsi="Arial"/>
          <w:sz w:val="18"/>
          <w:szCs w:val="18"/>
          <w:b w:val="1"/>
          <w:bCs w:val="1"/>
          <w:u w:val="single" w:color="auto"/>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7267575" cy="27940"/>
                    </a:xfrm>
                    <a:prstGeom prst="rect">
                      <a:avLst/>
                    </a:prstGeom>
                    <a:noFill/>
                  </pic:spPr>
                </pic:pic>
              </a:graphicData>
            </a:graphic>
          </wp:anchor>
        </w:drawing>
        <w:t>EXHIBIT C</w:t>
      </w:r>
    </w:p>
    <w:p>
      <w:pPr>
        <w:spacing w:after="0" w:line="171"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color w:val="auto"/>
        </w:rPr>
        <w:t>SENIOR EXECUTIVE SEVERANCE AGREEMENT</w:t>
      </w:r>
    </w:p>
    <w:p>
      <w:pPr>
        <w:spacing w:after="0" w:line="171" w:lineRule="exact"/>
        <w:rPr>
          <w:sz w:val="20"/>
          <w:szCs w:val="20"/>
          <w:color w:val="auto"/>
        </w:rPr>
      </w:pPr>
    </w:p>
    <w:p>
      <w:pPr>
        <w:ind w:left="460"/>
        <w:spacing w:after="0"/>
        <w:tabs>
          <w:tab w:leader="none" w:pos="9120" w:val="left"/>
        </w:tabs>
        <w:rPr>
          <w:sz w:val="20"/>
          <w:szCs w:val="20"/>
          <w:color w:val="auto"/>
        </w:rPr>
      </w:pPr>
      <w:r>
        <w:rPr>
          <w:rFonts w:ascii="Arial" w:cs="Arial" w:eastAsia="Arial" w:hAnsi="Arial"/>
          <w:sz w:val="18"/>
          <w:szCs w:val="18"/>
          <w:b w:val="1"/>
          <w:bCs w:val="1"/>
          <w:color w:val="auto"/>
        </w:rPr>
        <w:t xml:space="preserve">AGREEMENT </w:t>
      </w:r>
      <w:r>
        <w:rPr>
          <w:rFonts w:ascii="Arial" w:cs="Arial" w:eastAsia="Arial" w:hAnsi="Arial"/>
          <w:sz w:val="18"/>
          <w:szCs w:val="18"/>
          <w:color w:val="auto"/>
        </w:rPr>
        <w:t>between United Technologies Corporation, a Delaware Corporation (the “Corporation”), and</w:t>
      </w:r>
      <w:r>
        <w:rPr>
          <w:sz w:val="20"/>
          <w:szCs w:val="20"/>
          <w:color w:val="auto"/>
        </w:rPr>
        <w:tab/>
      </w:r>
      <w:r>
        <w:rPr>
          <w:rFonts w:ascii="Arial" w:cs="Arial" w:eastAsia="Arial" w:hAnsi="Arial"/>
          <w:sz w:val="16"/>
          <w:szCs w:val="16"/>
          <w:color w:val="auto"/>
        </w:rPr>
        <w:t>(the “Executive”).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5219065</wp:posOffset>
            </wp:positionH>
            <wp:positionV relativeFrom="paragraph">
              <wp:posOffset>-10160</wp:posOffset>
            </wp:positionV>
            <wp:extent cx="557530" cy="8890"/>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557530" cy="8890"/>
                    </a:xfrm>
                    <a:prstGeom prst="rect">
                      <a:avLst/>
                    </a:prstGeom>
                    <a:noFill/>
                  </pic:spPr>
                </pic:pic>
              </a:graphicData>
            </a:graphic>
          </wp:anchor>
        </w:drawing>
      </w:r>
    </w:p>
    <w:p>
      <w:pPr>
        <w:spacing w:after="0" w:line="313"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color w:val="auto"/>
        </w:rPr>
        <w:t>WITNESSETH:</w:t>
      </w:r>
    </w:p>
    <w:p>
      <w:pPr>
        <w:spacing w:after="0" w:line="171" w:lineRule="exact"/>
        <w:rPr>
          <w:sz w:val="20"/>
          <w:szCs w:val="20"/>
          <w:color w:val="auto"/>
        </w:rPr>
      </w:pPr>
    </w:p>
    <w:p>
      <w:pPr>
        <w:ind w:right="420" w:firstLine="456"/>
        <w:spacing w:after="0" w:line="275" w:lineRule="auto"/>
        <w:rPr>
          <w:sz w:val="20"/>
          <w:szCs w:val="20"/>
          <w:color w:val="auto"/>
        </w:rPr>
      </w:pPr>
      <w:r>
        <w:rPr>
          <w:rFonts w:ascii="Arial" w:cs="Arial" w:eastAsia="Arial" w:hAnsi="Arial"/>
          <w:sz w:val="18"/>
          <w:szCs w:val="18"/>
          <w:b w:val="1"/>
          <w:bCs w:val="1"/>
          <w:color w:val="auto"/>
        </w:rPr>
        <w:t>WHEREAS</w:t>
      </w:r>
      <w:r>
        <w:rPr>
          <w:rFonts w:ascii="Arial" w:cs="Arial" w:eastAsia="Arial" w:hAnsi="Arial"/>
          <w:sz w:val="18"/>
          <w:szCs w:val="18"/>
          <w:color w:val="auto"/>
        </w:rPr>
        <w:t>, the Board of Directors of the Corporation has approved the Corporation entering into severance agreements with key executives of the</w:t>
      </w:r>
      <w:r>
        <w:rPr>
          <w:rFonts w:ascii="Arial" w:cs="Arial" w:eastAsia="Arial" w:hAnsi="Arial"/>
          <w:sz w:val="18"/>
          <w:szCs w:val="18"/>
          <w:b w:val="1"/>
          <w:bCs w:val="1"/>
          <w:color w:val="auto"/>
        </w:rPr>
        <w:t xml:space="preserve"> </w:t>
      </w:r>
      <w:r>
        <w:rPr>
          <w:rFonts w:ascii="Arial" w:cs="Arial" w:eastAsia="Arial" w:hAnsi="Arial"/>
          <w:sz w:val="18"/>
          <w:szCs w:val="18"/>
          <w:color w:val="auto"/>
        </w:rPr>
        <w:t>Corporation and its subsidiaries pursuant to the Senior Executive Severance Plan, as amended (the “Plan”); and</w:t>
      </w:r>
    </w:p>
    <w:p>
      <w:pPr>
        <w:spacing w:after="0" w:line="120" w:lineRule="exact"/>
        <w:rPr>
          <w:sz w:val="20"/>
          <w:szCs w:val="20"/>
          <w:color w:val="auto"/>
        </w:rPr>
      </w:pPr>
    </w:p>
    <w:p>
      <w:pPr>
        <w:ind w:right="660" w:firstLine="456"/>
        <w:spacing w:after="0" w:line="275" w:lineRule="auto"/>
        <w:rPr>
          <w:sz w:val="20"/>
          <w:szCs w:val="20"/>
          <w:color w:val="auto"/>
        </w:rPr>
      </w:pPr>
      <w:r>
        <w:rPr>
          <w:rFonts w:ascii="Arial" w:cs="Arial" w:eastAsia="Arial" w:hAnsi="Arial"/>
          <w:sz w:val="18"/>
          <w:szCs w:val="18"/>
          <w:b w:val="1"/>
          <w:bCs w:val="1"/>
          <w:color w:val="auto"/>
        </w:rPr>
        <w:t>WHEREAS</w:t>
      </w:r>
      <w:r>
        <w:rPr>
          <w:rFonts w:ascii="Arial" w:cs="Arial" w:eastAsia="Arial" w:hAnsi="Arial"/>
          <w:sz w:val="18"/>
          <w:szCs w:val="18"/>
          <w:color w:val="auto"/>
        </w:rPr>
        <w:t>, the Executive is a key executive of the Corporation or one of its subsidiaries and has been selected by the Board of Directors of the</w:t>
      </w:r>
      <w:r>
        <w:rPr>
          <w:rFonts w:ascii="Arial" w:cs="Arial" w:eastAsia="Arial" w:hAnsi="Arial"/>
          <w:sz w:val="18"/>
          <w:szCs w:val="18"/>
          <w:b w:val="1"/>
          <w:bCs w:val="1"/>
          <w:color w:val="auto"/>
        </w:rPr>
        <w:t xml:space="preserve"> </w:t>
      </w:r>
      <w:r>
        <w:rPr>
          <w:rFonts w:ascii="Arial" w:cs="Arial" w:eastAsia="Arial" w:hAnsi="Arial"/>
          <w:sz w:val="18"/>
          <w:szCs w:val="18"/>
          <w:color w:val="auto"/>
        </w:rPr>
        <w:t>Corporation as a key executive to be a Participant under the Plan;</w:t>
      </w:r>
    </w:p>
    <w:p>
      <w:pPr>
        <w:spacing w:after="0" w:line="120" w:lineRule="exact"/>
        <w:rPr>
          <w:sz w:val="20"/>
          <w:szCs w:val="20"/>
          <w:color w:val="auto"/>
        </w:rPr>
      </w:pPr>
    </w:p>
    <w:p>
      <w:pPr>
        <w:ind w:right="160" w:firstLine="456"/>
        <w:spacing w:after="0" w:line="301" w:lineRule="auto"/>
        <w:rPr>
          <w:sz w:val="20"/>
          <w:szCs w:val="20"/>
          <w:color w:val="auto"/>
        </w:rPr>
      </w:pPr>
      <w:r>
        <w:rPr>
          <w:rFonts w:ascii="Arial" w:cs="Arial" w:eastAsia="Arial" w:hAnsi="Arial"/>
          <w:sz w:val="16"/>
          <w:szCs w:val="16"/>
          <w:b w:val="1"/>
          <w:bCs w:val="1"/>
          <w:color w:val="auto"/>
        </w:rPr>
        <w:t>WHEREAS</w:t>
      </w:r>
      <w:r>
        <w:rPr>
          <w:rFonts w:ascii="Arial" w:cs="Arial" w:eastAsia="Arial" w:hAnsi="Arial"/>
          <w:sz w:val="16"/>
          <w:szCs w:val="16"/>
          <w:color w:val="auto"/>
        </w:rPr>
        <w:t>, should the Corporation receive any proposal from a third person concerning a possible business combination with, or acquisition of equity</w:t>
      </w:r>
      <w:r>
        <w:rPr>
          <w:rFonts w:ascii="Arial" w:cs="Arial" w:eastAsia="Arial" w:hAnsi="Arial"/>
          <w:sz w:val="16"/>
          <w:szCs w:val="16"/>
          <w:b w:val="1"/>
          <w:bCs w:val="1"/>
          <w:color w:val="auto"/>
        </w:rPr>
        <w:t xml:space="preserve"> </w:t>
      </w:r>
      <w:r>
        <w:rPr>
          <w:rFonts w:ascii="Arial" w:cs="Arial" w:eastAsia="Arial" w:hAnsi="Arial"/>
          <w:sz w:val="16"/>
          <w:szCs w:val="16"/>
          <w:color w:val="auto"/>
        </w:rPr>
        <w:t>securities of, the Corporation, the Board believes it imperative that the Corporation and the Board be able to rely upon the Executive to continue in his or her position, and that they be able to receive and rely upon the Executive’s advice, if they request it, as to the best interests of the Corporation and its shareowners, without concern that the Executive might be distracted by the personal uncertainties and risks created by such a proposal; and</w:t>
      </w:r>
    </w:p>
    <w:p>
      <w:pPr>
        <w:spacing w:after="0" w:line="103" w:lineRule="exact"/>
        <w:rPr>
          <w:sz w:val="20"/>
          <w:szCs w:val="20"/>
          <w:color w:val="auto"/>
        </w:rPr>
      </w:pPr>
    </w:p>
    <w:p>
      <w:pPr>
        <w:ind w:firstLine="456"/>
        <w:spacing w:after="0" w:line="262" w:lineRule="auto"/>
        <w:rPr>
          <w:sz w:val="20"/>
          <w:szCs w:val="20"/>
          <w:color w:val="auto"/>
        </w:rPr>
      </w:pPr>
      <w:r>
        <w:rPr>
          <w:rFonts w:ascii="Arial" w:cs="Arial" w:eastAsia="Arial" w:hAnsi="Arial"/>
          <w:sz w:val="18"/>
          <w:szCs w:val="18"/>
          <w:b w:val="1"/>
          <w:bCs w:val="1"/>
          <w:color w:val="auto"/>
        </w:rPr>
        <w:t>WHEREAS</w:t>
      </w:r>
      <w:r>
        <w:rPr>
          <w:rFonts w:ascii="Arial" w:cs="Arial" w:eastAsia="Arial" w:hAnsi="Arial"/>
          <w:sz w:val="18"/>
          <w:szCs w:val="18"/>
          <w:color w:val="auto"/>
        </w:rPr>
        <w:t>, should the Corporation receive any such proposals, in addition to the Executive’s regular duties, he or she may be called upon to assist in the</w:t>
      </w:r>
      <w:r>
        <w:rPr>
          <w:rFonts w:ascii="Arial" w:cs="Arial" w:eastAsia="Arial" w:hAnsi="Arial"/>
          <w:sz w:val="18"/>
          <w:szCs w:val="18"/>
          <w:b w:val="1"/>
          <w:bCs w:val="1"/>
          <w:color w:val="auto"/>
        </w:rPr>
        <w:t xml:space="preserve"> </w:t>
      </w:r>
      <w:r>
        <w:rPr>
          <w:rFonts w:ascii="Arial" w:cs="Arial" w:eastAsia="Arial" w:hAnsi="Arial"/>
          <w:sz w:val="18"/>
          <w:szCs w:val="18"/>
          <w:color w:val="auto"/>
        </w:rPr>
        <w:t>assessment of such proposals, advise management and the Board as to whether such proposals would be in the best interests of the Corporation and its shareowners, and to take such other actions as the Board might determine to be appropriate;</w:t>
      </w:r>
    </w:p>
    <w:p>
      <w:pPr>
        <w:spacing w:after="0" w:line="125"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4</w:t>
      </w:r>
    </w:p>
    <w:p>
      <w:pPr>
        <w:sectPr>
          <w:pgSz w:w="11900" w:h="16838" w:orient="portrait"/>
          <w:cols w:equalWidth="0" w:num="1">
            <w:col w:w="11320"/>
          </w:cols>
          <w:pgMar w:left="240" w:top="274" w:right="339" w:bottom="1440" w:gutter="0" w:footer="0" w:header="0"/>
        </w:sectPr>
      </w:pPr>
    </w:p>
    <w:bookmarkStart w:id="45" w:name="page46"/>
    <w:bookmarkEnd w:id="45"/>
    <w:p>
      <w:pPr>
        <w:ind w:right="100" w:firstLine="456"/>
        <w:spacing w:after="0" w:line="310" w:lineRule="auto"/>
        <w:rPr>
          <w:sz w:val="20"/>
          <w:szCs w:val="20"/>
          <w:color w:val="auto"/>
        </w:rPr>
      </w:pPr>
      <w:r>
        <w:rPr>
          <w:rFonts w:ascii="Arial" w:cs="Arial" w:eastAsia="Arial" w:hAnsi="Arial"/>
          <w:sz w:val="16"/>
          <w:szCs w:val="16"/>
          <w:b w:val="1"/>
          <w:bCs w:val="1"/>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7267575" cy="27940"/>
                    </a:xfrm>
                    <a:prstGeom prst="rect">
                      <a:avLst/>
                    </a:prstGeom>
                    <a:noFill/>
                  </pic:spPr>
                </pic:pic>
              </a:graphicData>
            </a:graphic>
          </wp:anchor>
        </w:drawing>
        <w:t>NOW, THEREFORE</w:t>
      </w:r>
      <w:r>
        <w:rPr>
          <w:rFonts w:ascii="Arial" w:cs="Arial" w:eastAsia="Arial" w:hAnsi="Arial"/>
          <w:sz w:val="16"/>
          <w:szCs w:val="16"/>
          <w:color w:val="auto"/>
        </w:rPr>
        <w:t>, to assure the Corporation that it will have the continued dedication of the Executive and the availability of his or her advice and</w:t>
      </w:r>
      <w:r>
        <w:rPr>
          <w:rFonts w:ascii="Arial" w:cs="Arial" w:eastAsia="Arial" w:hAnsi="Arial"/>
          <w:sz w:val="16"/>
          <w:szCs w:val="16"/>
          <w:b w:val="1"/>
          <w:bCs w:val="1"/>
          <w:color w:val="auto"/>
        </w:rPr>
        <w:t xml:space="preserve"> </w:t>
      </w:r>
      <w:r>
        <w:rPr>
          <w:rFonts w:ascii="Arial" w:cs="Arial" w:eastAsia="Arial" w:hAnsi="Arial"/>
          <w:sz w:val="16"/>
          <w:szCs w:val="16"/>
          <w:color w:val="auto"/>
        </w:rPr>
        <w:t>counsel notwithstanding the possibility, threat or occurrence of a bid to take over control of the Corporation, and to induce the Executive to remain in the employ of the Corporation, and for other good and valuable consideration, the Corporation and the Executive agree as follows:</w:t>
      </w:r>
    </w:p>
    <w:p>
      <w:pPr>
        <w:spacing w:after="0" w:line="22" w:lineRule="exact"/>
        <w:rPr>
          <w:sz w:val="20"/>
          <w:szCs w:val="20"/>
          <w:color w:val="auto"/>
        </w:rPr>
      </w:pPr>
    </w:p>
    <w:p>
      <w:pPr>
        <w:ind w:firstLine="456"/>
        <w:spacing w:after="0" w:line="256" w:lineRule="auto"/>
        <w:rPr>
          <w:sz w:val="20"/>
          <w:szCs w:val="20"/>
          <w:color w:val="auto"/>
        </w:rPr>
      </w:pPr>
      <w:r>
        <w:rPr>
          <w:rFonts w:ascii="Arial" w:cs="Arial" w:eastAsia="Arial" w:hAnsi="Arial"/>
          <w:sz w:val="18"/>
          <w:szCs w:val="18"/>
          <w:color w:val="auto"/>
        </w:rPr>
        <w:t>In the event a third person begins a tender or exchange offer, circulates a proxy to shareowners, or takes other steps to effect a Change of Control of the Corporation (as hereafter defined), the Executive agrees that he or she will not voluntarily leave the employ of the Corporation, and will render the services contemplated in the recitals to this Agreement and the Plan, until the third person has abandoned or terminated such efforts to effect a Change of Control or until a Change of Control has occurred.</w:t>
      </w:r>
    </w:p>
    <w:p>
      <w:pPr>
        <w:spacing w:after="0" w:line="143" w:lineRule="exact"/>
        <w:rPr>
          <w:sz w:val="20"/>
          <w:szCs w:val="20"/>
          <w:color w:val="auto"/>
        </w:rPr>
      </w:pPr>
    </w:p>
    <w:p>
      <w:pPr>
        <w:jc w:val="both"/>
        <w:ind w:right="40" w:firstLine="456"/>
        <w:spacing w:after="0" w:line="256" w:lineRule="auto"/>
        <w:rPr>
          <w:sz w:val="20"/>
          <w:szCs w:val="20"/>
          <w:color w:val="auto"/>
        </w:rPr>
      </w:pPr>
      <w:r>
        <w:rPr>
          <w:rFonts w:ascii="Arial" w:cs="Arial" w:eastAsia="Arial" w:hAnsi="Arial"/>
          <w:sz w:val="18"/>
          <w:szCs w:val="18"/>
          <w:color w:val="auto"/>
        </w:rPr>
        <w:t>In the event the Executive’s employment with the Corporation (including its subsidiaries and affiliates) is terminated, or if the Executive terminates his or her employment with the Corporation (including its subsidiaries and affiliates) for “Good Reason” (as hereinafter defined), other than as a consequence of death, disability or retirement at or after normal retirement date under the Corporation’s pension plans, within two (2) years after a Change of Control of the Corporation (as hereafter defined) the following provisions will apply:</w:t>
      </w:r>
    </w:p>
    <w:p>
      <w:pPr>
        <w:spacing w:after="0" w:line="56" w:lineRule="exact"/>
        <w:rPr>
          <w:sz w:val="20"/>
          <w:szCs w:val="20"/>
          <w:color w:val="auto"/>
        </w:rPr>
      </w:pPr>
    </w:p>
    <w:p>
      <w:pPr>
        <w:ind w:left="900" w:right="60" w:hanging="446"/>
        <w:spacing w:after="0" w:line="290" w:lineRule="auto"/>
        <w:tabs>
          <w:tab w:leader="none" w:pos="900" w:val="left"/>
        </w:tabs>
        <w:numPr>
          <w:ilvl w:val="0"/>
          <w:numId w:val="10"/>
        </w:numPr>
        <w:rPr>
          <w:rFonts w:ascii="Arial" w:cs="Arial" w:eastAsia="Arial" w:hAnsi="Arial"/>
          <w:sz w:val="16"/>
          <w:szCs w:val="16"/>
          <w:color w:val="auto"/>
        </w:rPr>
      </w:pPr>
      <w:r>
        <w:rPr>
          <w:rFonts w:ascii="Arial" w:cs="Arial" w:eastAsia="Arial" w:hAnsi="Arial"/>
          <w:sz w:val="16"/>
          <w:szCs w:val="16"/>
          <w:b w:val="1"/>
          <w:bCs w:val="1"/>
          <w:u w:val="single" w:color="auto"/>
          <w:color w:val="auto"/>
        </w:rPr>
        <w:t>Lump Sum Cash Payment</w:t>
      </w:r>
      <w:r>
        <w:rPr>
          <w:rFonts w:ascii="Arial" w:cs="Arial" w:eastAsia="Arial" w:hAnsi="Arial"/>
          <w:sz w:val="16"/>
          <w:szCs w:val="16"/>
          <w:b w:val="1"/>
          <w:bCs w:val="1"/>
          <w:color w:val="auto"/>
        </w:rPr>
        <w:t xml:space="preserve">. </w:t>
      </w:r>
      <w:r>
        <w:rPr>
          <w:rFonts w:ascii="Arial" w:cs="Arial" w:eastAsia="Arial" w:hAnsi="Arial"/>
          <w:sz w:val="16"/>
          <w:szCs w:val="16"/>
          <w:color w:val="auto"/>
        </w:rPr>
        <w:t>On or before the Executive’s last day of employment with the Corporation, the Corporation will pay to the Executive as</w:t>
      </w:r>
      <w:r>
        <w:rPr>
          <w:rFonts w:ascii="Arial" w:cs="Arial" w:eastAsia="Arial" w:hAnsi="Arial"/>
          <w:sz w:val="16"/>
          <w:szCs w:val="16"/>
          <w:b w:val="1"/>
          <w:bCs w:val="1"/>
          <w:color w:val="auto"/>
        </w:rPr>
        <w:t xml:space="preserve"> </w:t>
      </w:r>
      <w:r>
        <w:rPr>
          <w:rFonts w:ascii="Arial" w:cs="Arial" w:eastAsia="Arial" w:hAnsi="Arial"/>
          <w:sz w:val="16"/>
          <w:szCs w:val="16"/>
          <w:color w:val="auto"/>
        </w:rPr>
        <w:t>compensation for services rendered to the Corporation a lump sum cash amount (subject to any applicable payroll or other taxes required to be withheld) equal to 2.99 multiplied by the sum of (a) the Executive’s current annual base salary plus (b) the amount of the Executive’s most recent incentive compensation award. (The incentive compensation referred to in this paragraph is that amount paid or payable under the Annual Executive Incentive Compensation Plan, or any successor plans, of the Corporation.) In the event there are fewer than thirty-six (36) whole or partial months remaining from the date of the Executive’s termination to his or her normal retirement date, the amount calculated in this paragraph will be reduced by multiplying it by a fraction the numerator of which is the number of whole or partial months so remaining to his normal retirement date and the denominator of which is thirty-six (36).</w:t>
      </w:r>
    </w:p>
    <w:p>
      <w:pPr>
        <w:sectPr>
          <w:pgSz w:w="11900" w:h="16838" w:orient="portrait"/>
          <w:cols w:equalWidth="0" w:num="1">
            <w:col w:w="11420"/>
          </w:cols>
          <w:pgMar w:left="240" w:top="274" w:right="239" w:bottom="1440" w:gutter="0" w:footer="0" w:header="0"/>
        </w:sectPr>
      </w:pPr>
    </w:p>
    <w:bookmarkStart w:id="46" w:name="page47"/>
    <w:bookmarkEnd w:id="46"/>
    <w:p>
      <w:pPr>
        <w:ind w:left="446" w:hanging="446"/>
        <w:spacing w:after="0"/>
        <w:tabs>
          <w:tab w:leader="none" w:pos="446" w:val="left"/>
        </w:tabs>
        <w:numPr>
          <w:ilvl w:val="0"/>
          <w:numId w:val="11"/>
        </w:numPr>
        <w:rPr>
          <w:rFonts w:ascii="Arial" w:cs="Arial" w:eastAsia="Arial" w:hAnsi="Arial"/>
          <w:sz w:val="18"/>
          <w:szCs w:val="18"/>
          <w:color w:val="auto"/>
        </w:rPr>
      </w:pPr>
      <w:r>
        <w:rPr>
          <w:rFonts w:ascii="Arial" w:cs="Arial" w:eastAsia="Arial" w:hAnsi="Arial"/>
          <w:sz w:val="18"/>
          <w:szCs w:val="18"/>
          <w:b w:val="1"/>
          <w:bCs w:val="1"/>
          <w:u w:val="single" w:color="auto"/>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7267575" cy="27940"/>
                    </a:xfrm>
                    <a:prstGeom prst="rect">
                      <a:avLst/>
                    </a:prstGeom>
                    <a:noFill/>
                  </pic:spPr>
                </pic:pic>
              </a:graphicData>
            </a:graphic>
          </wp:anchor>
        </w:drawing>
        <w:t>Certain Additional Payments by the Corporation</w:t>
      </w:r>
      <w:r>
        <w:rPr>
          <w:rFonts w:ascii="Arial" w:cs="Arial" w:eastAsia="Arial" w:hAnsi="Arial"/>
          <w:sz w:val="18"/>
          <w:szCs w:val="18"/>
          <w:b w:val="1"/>
          <w:bCs w:val="1"/>
          <w:color w:val="auto"/>
        </w:rPr>
        <w:t>.</w:t>
      </w:r>
    </w:p>
    <w:p>
      <w:pPr>
        <w:spacing w:after="0" w:line="96" w:lineRule="exact"/>
        <w:rPr>
          <w:rFonts w:ascii="Arial" w:cs="Arial" w:eastAsia="Arial" w:hAnsi="Arial"/>
          <w:sz w:val="18"/>
          <w:szCs w:val="18"/>
          <w:color w:val="auto"/>
        </w:rPr>
      </w:pPr>
    </w:p>
    <w:p>
      <w:pPr>
        <w:ind w:left="1026" w:hanging="567"/>
        <w:spacing w:after="0" w:line="290" w:lineRule="auto"/>
        <w:tabs>
          <w:tab w:leader="none" w:pos="1026" w:val="left"/>
        </w:tabs>
        <w:numPr>
          <w:ilvl w:val="1"/>
          <w:numId w:val="11"/>
        </w:numPr>
        <w:rPr>
          <w:rFonts w:ascii="Arial" w:cs="Arial" w:eastAsia="Arial" w:hAnsi="Arial"/>
          <w:sz w:val="16"/>
          <w:szCs w:val="16"/>
          <w:color w:val="auto"/>
        </w:rPr>
      </w:pPr>
      <w:r>
        <w:rPr>
          <w:rFonts w:ascii="Arial" w:cs="Arial" w:eastAsia="Arial" w:hAnsi="Arial"/>
          <w:sz w:val="16"/>
          <w:szCs w:val="16"/>
          <w:color w:val="auto"/>
        </w:rPr>
        <w:t>Anything in this Agreement to the contrary notwithstanding, in the event it shall be determined that any payment or distribution by the Corporation to or for the benefit of the Executive (whether paid or payable or distributed or distributable pursuant to the terms of this Agreement or otherwise, but determined without regard to any additional payments required under this Section B) (a “Payment”) would be subject to the excise tax imposed by Section 4999 of the Internal Revenue Code or any interest or penalties are incurred by the Executive with respect to such excise tax (such excise tax, together with any such interest and penalties, are hereinafter collectively referred to as the “Excise Tax”), then the Executive shall be entitled to receive an additional payment (a “Gross-Up Payment”) in an amount such that after payment by the Executive of all taxes (including any interest or penalties imposed with respect to such taxes),</w:t>
      </w:r>
    </w:p>
    <w:p>
      <w:pPr>
        <w:sectPr>
          <w:pgSz w:w="11900" w:h="16838" w:orient="portrait"/>
          <w:cols w:equalWidth="0" w:num="1">
            <w:col w:w="10786"/>
          </w:cols>
          <w:pgMar w:left="694" w:top="274" w:right="419" w:bottom="1440" w:gutter="0" w:footer="0" w:header="0"/>
        </w:sectPr>
      </w:pPr>
    </w:p>
    <w:bookmarkStart w:id="47" w:name="page48"/>
    <w:bookmarkEnd w:id="47"/>
    <w:p>
      <w:pPr>
        <w:ind w:left="567" w:right="160"/>
        <w:spacing w:after="0" w:line="357" w:lineRule="auto"/>
        <w:rPr>
          <w:sz w:val="20"/>
          <w:szCs w:val="20"/>
          <w:color w:val="auto"/>
        </w:rPr>
      </w:pPr>
      <w:r>
        <w:rPr>
          <w:rFonts w:ascii="Arial" w:cs="Arial" w:eastAsia="Arial" w:hAnsi="Arial"/>
          <w:sz w:val="15"/>
          <w:szCs w:val="15"/>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7267575" cy="27940"/>
                    </a:xfrm>
                    <a:prstGeom prst="rect">
                      <a:avLst/>
                    </a:prstGeom>
                    <a:noFill/>
                  </pic:spPr>
                </pic:pic>
              </a:graphicData>
            </a:graphic>
          </wp:anchor>
        </w:drawing>
        <w:t>including, without limitation, any income taxes (and any interest and penalties imposed with respect thereto) and Excise Tax imposed upon the Gross-Up Payment, the Executive retains an amount of the Gross-Up Payment equal to the Excise Tax imposed upon the Payments.</w:t>
      </w:r>
    </w:p>
    <w:p>
      <w:pPr>
        <w:ind w:left="567" w:hanging="567"/>
        <w:spacing w:after="0" w:line="286" w:lineRule="auto"/>
        <w:tabs>
          <w:tab w:leader="none" w:pos="567" w:val="left"/>
        </w:tabs>
        <w:numPr>
          <w:ilvl w:val="0"/>
          <w:numId w:val="12"/>
        </w:numPr>
        <w:rPr>
          <w:rFonts w:ascii="Arial" w:cs="Arial" w:eastAsia="Arial" w:hAnsi="Arial"/>
          <w:sz w:val="16"/>
          <w:szCs w:val="16"/>
          <w:color w:val="auto"/>
        </w:rPr>
      </w:pPr>
      <w:r>
        <w:rPr>
          <w:rFonts w:ascii="Arial" w:cs="Arial" w:eastAsia="Arial" w:hAnsi="Arial"/>
          <w:sz w:val="16"/>
          <w:szCs w:val="16"/>
          <w:color w:val="auto"/>
        </w:rPr>
        <w:t>Subject to the provisions of Section B(iii), all determinations required to be made under this Section B, including whether and when a Gross-Up Payment is required and the amount of such Gross-Up Payment and the assumptions to be utilized in arriving at such determination, shall be made by PricewaterhouseCoopers (the “Accounting Firm”) which shall provide detailed supporting calculations both to the Corporation and the Executive within 15 business days of the receipt of notice from the Executive that there has been a Payment, or such earlier time as is requested by the Corporation. In the event that the Accounting Firm is serving as accountant or auditor for the individual, entity or group effecting the Change of Control, the Executive shall appoint another nationally recognized accounting firm to make the determinations required hereunder (which accounting firm shall then be referred to as the Accounting Firm hereunder). All fees and expenses of the Accounting Firm shall be borne solely by the Corporation. Any Gross-Up Payment, as determined pursuant to this Section B, shall be paid by the Corporation to the Executive within five days of the receipt of the Accounting Firm’s determination. If the Accounting Firm determines that no Excise Tax is payable by the Executive, it shall furnish the Executive with a written opinion that failure to report the Excise Tax on the Executive’s applicable federal income tax return would not result in the imposition of a negligence or similar penalty. Any determination by the Accounting Firm shall be binding upon the Corporation and the Executive. As a result of the uncertainty in the application of Section 4999</w:t>
      </w:r>
    </w:p>
    <w:p>
      <w:pPr>
        <w:sectPr>
          <w:pgSz w:w="11900" w:h="16838" w:orient="portrait"/>
          <w:cols w:equalWidth="0" w:num="1">
            <w:col w:w="10507"/>
          </w:cols>
          <w:pgMar w:left="1153" w:top="280" w:right="239" w:bottom="1440" w:gutter="0" w:footer="0" w:header="0"/>
        </w:sectPr>
      </w:pPr>
    </w:p>
    <w:bookmarkStart w:id="48" w:name="page49"/>
    <w:bookmarkEnd w:id="48"/>
    <w:p>
      <w:pPr>
        <w:ind w:left="567"/>
        <w:spacing w:after="0" w:line="294"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7267575" cy="27940"/>
                    </a:xfrm>
                    <a:prstGeom prst="rect">
                      <a:avLst/>
                    </a:prstGeom>
                    <a:noFill/>
                  </pic:spPr>
                </pic:pic>
              </a:graphicData>
            </a:graphic>
          </wp:anchor>
        </w:drawing>
        <w:t>of the Code at the time of the initial determination by the Accounting Firm hereunder, it is possible that Gross-Up Payments which will not have been made by the Corporation should have been made (“Underpayment”), consistent with the calculations required to be made hereunder. In the event that the Corporation exhausts its remedies pursuant to Section B(iii) and the Executive thereafter is required to make a payment of any Excise Tax, the Accounting Firm shall determine the amount of the Underpayment that has occurred and any such Underpayment shall be promptly paid by the Corporation to or for the benefit of the Executive.</w:t>
      </w:r>
    </w:p>
    <w:p>
      <w:pPr>
        <w:spacing w:after="0" w:line="35" w:lineRule="exact"/>
        <w:rPr>
          <w:sz w:val="20"/>
          <w:szCs w:val="20"/>
          <w:color w:val="auto"/>
        </w:rPr>
      </w:pPr>
    </w:p>
    <w:p>
      <w:pPr>
        <w:ind w:left="567" w:right="60" w:hanging="567"/>
        <w:spacing w:after="0" w:line="290" w:lineRule="auto"/>
        <w:tabs>
          <w:tab w:leader="none" w:pos="567" w:val="left"/>
        </w:tabs>
        <w:numPr>
          <w:ilvl w:val="0"/>
          <w:numId w:val="13"/>
        </w:numPr>
        <w:rPr>
          <w:rFonts w:ascii="Arial" w:cs="Arial" w:eastAsia="Arial" w:hAnsi="Arial"/>
          <w:sz w:val="16"/>
          <w:szCs w:val="16"/>
          <w:color w:val="auto"/>
        </w:rPr>
      </w:pPr>
      <w:r>
        <w:rPr>
          <w:rFonts w:ascii="Arial" w:cs="Arial" w:eastAsia="Arial" w:hAnsi="Arial"/>
          <w:sz w:val="16"/>
          <w:szCs w:val="16"/>
          <w:color w:val="auto"/>
        </w:rPr>
        <w:t>The Executive shall notify the Corporation in writing of any claim by the Internal Revenue Service that, if successful, would require the payment by the Corporation of the Gross-Up Payment. Such notification shall be given as soon as practicable but no later than ten business days after the Executive is informed in writing of such claim and shall apprise the Corporation of the nature of such claim and the date on which such claim is requested to be paid. The Executive shall not pay such claim prior to the expiration of the 30-day period following the date on which it gives such notice to the Corporation (or such shorter period ending on the date that any payment of taxes with respect to such claim is due). If the Corporation notifies the Executive in writing prior to the expiration of such period that it desires to contest such claim, the Executive shall:</w:t>
      </w:r>
    </w:p>
    <w:p>
      <w:pPr>
        <w:spacing w:after="0" w:line="37" w:lineRule="exact"/>
        <w:rPr>
          <w:rFonts w:ascii="Arial" w:cs="Arial" w:eastAsia="Arial" w:hAnsi="Arial"/>
          <w:sz w:val="16"/>
          <w:szCs w:val="16"/>
          <w:color w:val="auto"/>
        </w:rPr>
      </w:pPr>
    </w:p>
    <w:p>
      <w:pPr>
        <w:ind w:left="1007" w:hanging="440"/>
        <w:spacing w:after="0"/>
        <w:tabs>
          <w:tab w:leader="none" w:pos="1007" w:val="left"/>
        </w:tabs>
        <w:numPr>
          <w:ilvl w:val="1"/>
          <w:numId w:val="13"/>
        </w:numPr>
        <w:rPr>
          <w:rFonts w:ascii="Arial" w:cs="Arial" w:eastAsia="Arial" w:hAnsi="Arial"/>
          <w:sz w:val="18"/>
          <w:szCs w:val="18"/>
          <w:color w:val="auto"/>
        </w:rPr>
      </w:pPr>
      <w:r>
        <w:rPr>
          <w:rFonts w:ascii="Arial" w:cs="Arial" w:eastAsia="Arial" w:hAnsi="Arial"/>
          <w:sz w:val="18"/>
          <w:szCs w:val="18"/>
          <w:color w:val="auto"/>
        </w:rPr>
        <w:t>give the Corporation any information reasonably requested by the Corporation relating to such claim;</w:t>
      </w:r>
    </w:p>
    <w:p>
      <w:pPr>
        <w:spacing w:after="0" w:line="90" w:lineRule="exact"/>
        <w:rPr>
          <w:rFonts w:ascii="Arial" w:cs="Arial" w:eastAsia="Arial" w:hAnsi="Arial"/>
          <w:sz w:val="18"/>
          <w:szCs w:val="18"/>
          <w:color w:val="auto"/>
        </w:rPr>
      </w:pPr>
    </w:p>
    <w:p>
      <w:pPr>
        <w:ind w:left="1007" w:hanging="440"/>
        <w:spacing w:after="0"/>
        <w:tabs>
          <w:tab w:leader="none" w:pos="1007" w:val="left"/>
        </w:tabs>
        <w:numPr>
          <w:ilvl w:val="1"/>
          <w:numId w:val="13"/>
        </w:numPr>
        <w:rPr>
          <w:rFonts w:ascii="Arial" w:cs="Arial" w:eastAsia="Arial" w:hAnsi="Arial"/>
          <w:sz w:val="18"/>
          <w:szCs w:val="18"/>
          <w:color w:val="auto"/>
        </w:rPr>
      </w:pPr>
      <w:r>
        <w:rPr>
          <w:rFonts w:ascii="Arial" w:cs="Arial" w:eastAsia="Arial" w:hAnsi="Arial"/>
          <w:sz w:val="18"/>
          <w:szCs w:val="18"/>
          <w:color w:val="auto"/>
        </w:rPr>
        <w:t>take such action in connection with contesting such claim as the</w:t>
      </w:r>
    </w:p>
    <w:p>
      <w:pPr>
        <w:sectPr>
          <w:pgSz w:w="11900" w:h="16838" w:orient="portrait"/>
          <w:cols w:equalWidth="0" w:num="1">
            <w:col w:w="10407"/>
          </w:cols>
          <w:pgMar w:left="1153" w:top="280" w:right="339" w:bottom="1440" w:gutter="0" w:footer="0" w:header="0"/>
        </w:sectPr>
      </w:pPr>
    </w:p>
    <w:bookmarkStart w:id="49" w:name="page50"/>
    <w:bookmarkEnd w:id="49"/>
    <w:p>
      <w:pPr>
        <w:ind w:left="740" w:right="40"/>
        <w:spacing w:after="0" w:line="268"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7267575" cy="27940"/>
                    </a:xfrm>
                    <a:prstGeom prst="rect">
                      <a:avLst/>
                    </a:prstGeom>
                    <a:noFill/>
                  </pic:spPr>
                </pic:pic>
              </a:graphicData>
            </a:graphic>
          </wp:anchor>
        </w:drawing>
        <w:t>Corporation shall reasonably request in writing from time to time, including, without limitation, accepting legal representation with respect to such claim by an attorney reasonably selected by the Corporation;</w:t>
      </w:r>
    </w:p>
    <w:p>
      <w:pPr>
        <w:spacing w:after="0" w:line="51" w:lineRule="exact"/>
        <w:rPr>
          <w:sz w:val="20"/>
          <w:szCs w:val="20"/>
          <w:color w:val="auto"/>
        </w:rPr>
      </w:pPr>
    </w:p>
    <w:p>
      <w:pPr>
        <w:ind w:left="720" w:hanging="440"/>
        <w:spacing w:after="0"/>
        <w:tabs>
          <w:tab w:leader="none" w:pos="720" w:val="left"/>
        </w:tabs>
        <w:numPr>
          <w:ilvl w:val="0"/>
          <w:numId w:val="14"/>
        </w:numPr>
        <w:rPr>
          <w:rFonts w:ascii="Arial" w:cs="Arial" w:eastAsia="Arial" w:hAnsi="Arial"/>
          <w:sz w:val="18"/>
          <w:szCs w:val="18"/>
          <w:color w:val="auto"/>
        </w:rPr>
      </w:pPr>
      <w:r>
        <w:rPr>
          <w:rFonts w:ascii="Arial" w:cs="Arial" w:eastAsia="Arial" w:hAnsi="Arial"/>
          <w:sz w:val="18"/>
          <w:szCs w:val="18"/>
          <w:color w:val="auto"/>
        </w:rPr>
        <w:t>cooperate with the Corporation in good faith in order effectively to contest such claim; and</w:t>
      </w:r>
    </w:p>
    <w:p>
      <w:pPr>
        <w:spacing w:after="0" w:line="90" w:lineRule="exact"/>
        <w:rPr>
          <w:rFonts w:ascii="Arial" w:cs="Arial" w:eastAsia="Arial" w:hAnsi="Arial"/>
          <w:sz w:val="18"/>
          <w:szCs w:val="18"/>
          <w:color w:val="auto"/>
        </w:rPr>
      </w:pPr>
    </w:p>
    <w:p>
      <w:pPr>
        <w:ind w:left="720" w:hanging="440"/>
        <w:spacing w:after="0"/>
        <w:tabs>
          <w:tab w:leader="none" w:pos="720" w:val="left"/>
        </w:tabs>
        <w:numPr>
          <w:ilvl w:val="0"/>
          <w:numId w:val="14"/>
        </w:numPr>
        <w:rPr>
          <w:rFonts w:ascii="Arial" w:cs="Arial" w:eastAsia="Arial" w:hAnsi="Arial"/>
          <w:sz w:val="18"/>
          <w:szCs w:val="18"/>
          <w:color w:val="auto"/>
        </w:rPr>
      </w:pPr>
      <w:r>
        <w:rPr>
          <w:rFonts w:ascii="Arial" w:cs="Arial" w:eastAsia="Arial" w:hAnsi="Arial"/>
          <w:sz w:val="18"/>
          <w:szCs w:val="18"/>
          <w:color w:val="auto"/>
        </w:rPr>
        <w:t>permit the Corporation to participate in any proceedings relating to such claim,</w:t>
      </w:r>
    </w:p>
    <w:p>
      <w:pPr>
        <w:spacing w:after="0" w:line="90" w:lineRule="exact"/>
        <w:rPr>
          <w:sz w:val="20"/>
          <w:szCs w:val="20"/>
          <w:color w:val="auto"/>
        </w:rPr>
      </w:pPr>
    </w:p>
    <w:p>
      <w:pPr>
        <w:ind w:left="300"/>
        <w:spacing w:after="0" w:line="287" w:lineRule="auto"/>
        <w:rPr>
          <w:sz w:val="20"/>
          <w:szCs w:val="20"/>
          <w:color w:val="auto"/>
        </w:rPr>
      </w:pPr>
      <w:r>
        <w:rPr>
          <w:rFonts w:ascii="Arial" w:cs="Arial" w:eastAsia="Arial" w:hAnsi="Arial"/>
          <w:sz w:val="16"/>
          <w:szCs w:val="16"/>
          <w:color w:val="auto"/>
        </w:rPr>
        <w:t>provided, however, that the Corporation shall bear and pay directly all costs and expenses (including additional interest and penalties) incurred in connection with such contest and shall indemnify and hold the Executive harmless, on an after-tax basis, for any Excise Tax or income tax (including interest and penalties with respect thereto) imposed as a result of such representation and payment of costs and expenses. Without limitation on the foregoing provisions of this Section B(iii), the Corporation shall control all proceedings taken in connection with such contest and, at its sole option, may pursue or forgo any and all administrative appeals, proceedings, hearings and conferences with the taxing authority in respect of such claim and may, at its sole option, either direct the Executive to pay the tax claimed and sue for a refund or contest the claim in any permissible manner, and the Executive agrees to prosecute such contest to a determination before any administrative tribunal, in a court of initial jurisdiction and in one or more appellate courts, as the Corporation shall determine; provided, however, that if the Corporation directs the Executive to pay such claim and sue for a refund, the Corporation shall advance the amount of such payment to the Executive, on an interest-free basis and shall indemnify and hold</w:t>
      </w:r>
    </w:p>
    <w:p>
      <w:pPr>
        <w:sectPr>
          <w:pgSz w:w="11900" w:h="16838" w:orient="portrait"/>
          <w:cols w:equalWidth="0" w:num="1">
            <w:col w:w="10020"/>
          </w:cols>
          <w:pgMar w:left="1440" w:top="280" w:right="439" w:bottom="1440" w:gutter="0" w:footer="0" w:header="0"/>
        </w:sectPr>
      </w:pPr>
    </w:p>
    <w:bookmarkStart w:id="50" w:name="page51"/>
    <w:bookmarkEnd w:id="50"/>
    <w:p>
      <w:pPr>
        <w:ind w:left="587"/>
        <w:spacing w:after="0" w:line="291"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7267575" cy="27940"/>
                    </a:xfrm>
                    <a:prstGeom prst="rect">
                      <a:avLst/>
                    </a:prstGeom>
                    <a:noFill/>
                  </pic:spPr>
                </pic:pic>
              </a:graphicData>
            </a:graphic>
          </wp:anchor>
        </w:drawing>
        <w:t>the Executive harmless, on an after-tax basis, from any Excise Tax or income tax (including interest or penalties with respect thereto) imposed with respect to such advance or with respect to any imputed income with respect to such advance; and further provided that any extension of the statute of limitations relating to payment of taxes for the taxable year of the Executive with respect to which such contested amount is claimed to be due is limited solely to such contested amount. Furthermore, the Corporation’s control of the contest shall be limited to issues with respect to which a Gross-Up Payment would be payable hereunder and the Executive shall be entitled to settle or contest, as the case may be, any other issue raised by the Internal Revenue Service or any other taxing authority.</w:t>
      </w:r>
    </w:p>
    <w:p>
      <w:pPr>
        <w:spacing w:after="0" w:line="39" w:lineRule="exact"/>
        <w:rPr>
          <w:sz w:val="20"/>
          <w:szCs w:val="20"/>
          <w:color w:val="auto"/>
        </w:rPr>
      </w:pPr>
    </w:p>
    <w:p>
      <w:pPr>
        <w:ind w:left="567" w:right="60" w:hanging="567"/>
        <w:spacing w:after="0" w:line="289" w:lineRule="auto"/>
        <w:tabs>
          <w:tab w:leader="none" w:pos="567" w:val="left"/>
        </w:tabs>
        <w:numPr>
          <w:ilvl w:val="0"/>
          <w:numId w:val="15"/>
        </w:numPr>
        <w:rPr>
          <w:rFonts w:ascii="Arial" w:cs="Arial" w:eastAsia="Arial" w:hAnsi="Arial"/>
          <w:sz w:val="16"/>
          <w:szCs w:val="16"/>
          <w:color w:val="auto"/>
        </w:rPr>
      </w:pPr>
      <w:r>
        <w:rPr>
          <w:rFonts w:ascii="Arial" w:cs="Arial" w:eastAsia="Arial" w:hAnsi="Arial"/>
          <w:sz w:val="16"/>
          <w:szCs w:val="16"/>
          <w:color w:val="auto"/>
        </w:rPr>
        <w:t>If, after the receipt by the Executive of an amount advanced by the Corporation pursuant to Section B(iii), the Executive becomes entitled to receive any refund with respect to such claim, the Executive shall (subject to the Corporation’s complying with the requirements of Section B(iii) promptly pay to the Corporation the amount of such refund (together with any interest paid or credited thereon after taxes applicable thereto). If, after the receipt by the Executive of an amount advanced by the Corporation pursuant to Section B(iii), a determination is made that the Executive shall not be entitled to any refund with respect to such claim and the Corporation does not notify the Executive in writing of its intent to contest such denial or refund prior to the expiration of 30 days after such determination, then such advance shall be forgiven and shall not be required to be repaid and the amount of such advance shall offset, to the extent thereof, the amount of Gross-Up Payment required to be paid.</w:t>
      </w:r>
    </w:p>
    <w:p>
      <w:pPr>
        <w:sectPr>
          <w:pgSz w:w="11900" w:h="16838" w:orient="portrait"/>
          <w:cols w:equalWidth="0" w:num="1">
            <w:col w:w="10487"/>
          </w:cols>
          <w:pgMar w:left="1153" w:top="280" w:right="259" w:bottom="1440" w:gutter="0" w:footer="0" w:header="0"/>
        </w:sectPr>
      </w:pPr>
    </w:p>
    <w:bookmarkStart w:id="51" w:name="page52"/>
    <w:bookmarkEnd w:id="51"/>
    <w:p>
      <w:pPr>
        <w:ind w:left="446" w:hanging="446"/>
        <w:spacing w:after="0"/>
        <w:tabs>
          <w:tab w:leader="none" w:pos="446" w:val="left"/>
        </w:tabs>
        <w:numPr>
          <w:ilvl w:val="0"/>
          <w:numId w:val="16"/>
        </w:numPr>
        <w:rPr>
          <w:rFonts w:ascii="Arial" w:cs="Arial" w:eastAsia="Arial" w:hAnsi="Arial"/>
          <w:sz w:val="16"/>
          <w:szCs w:val="16"/>
          <w:color w:val="auto"/>
        </w:rPr>
      </w:pPr>
      <w:r>
        <w:rPr>
          <w:rFonts w:ascii="Arial" w:cs="Arial" w:eastAsia="Arial" w:hAnsi="Arial"/>
          <w:sz w:val="16"/>
          <w:szCs w:val="16"/>
          <w:b w:val="1"/>
          <w:bCs w:val="1"/>
          <w:u w:val="single" w:color="auto"/>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7267575" cy="27940"/>
                    </a:xfrm>
                    <a:prstGeom prst="rect">
                      <a:avLst/>
                    </a:prstGeom>
                    <a:noFill/>
                  </pic:spPr>
                </pic:pic>
              </a:graphicData>
            </a:graphic>
          </wp:anchor>
        </w:drawing>
        <w:t>Definition of Change of Control</w:t>
      </w:r>
      <w:r>
        <w:rPr>
          <w:rFonts w:ascii="Arial" w:cs="Arial" w:eastAsia="Arial" w:hAnsi="Arial"/>
          <w:sz w:val="16"/>
          <w:szCs w:val="16"/>
          <w:b w:val="1"/>
          <w:bCs w:val="1"/>
          <w:color w:val="auto"/>
        </w:rPr>
        <w:t xml:space="preserve">. </w:t>
      </w:r>
      <w:r>
        <w:rPr>
          <w:rFonts w:ascii="Arial" w:cs="Arial" w:eastAsia="Arial" w:hAnsi="Arial"/>
          <w:sz w:val="16"/>
          <w:szCs w:val="16"/>
          <w:color w:val="auto"/>
        </w:rPr>
        <w:t>For the purpose of this Agreement, a “Change of Control” shall be deemed to have taken place if:</w:t>
      </w:r>
    </w:p>
    <w:p>
      <w:pPr>
        <w:spacing w:after="0" w:line="119" w:lineRule="exact"/>
        <w:rPr>
          <w:rFonts w:ascii="Arial" w:cs="Arial" w:eastAsia="Arial" w:hAnsi="Arial"/>
          <w:sz w:val="16"/>
          <w:szCs w:val="16"/>
          <w:color w:val="auto"/>
        </w:rPr>
      </w:pPr>
    </w:p>
    <w:p>
      <w:pPr>
        <w:ind w:left="1026" w:hanging="567"/>
        <w:spacing w:after="0" w:line="332" w:lineRule="auto"/>
        <w:tabs>
          <w:tab w:leader="none" w:pos="1026" w:val="left"/>
        </w:tabs>
        <w:numPr>
          <w:ilvl w:val="1"/>
          <w:numId w:val="16"/>
        </w:numPr>
        <w:rPr>
          <w:rFonts w:ascii="Arial" w:cs="Arial" w:eastAsia="Arial" w:hAnsi="Arial"/>
          <w:sz w:val="16"/>
          <w:szCs w:val="16"/>
          <w:color w:val="auto"/>
        </w:rPr>
      </w:pPr>
      <w:r>
        <w:rPr>
          <w:rFonts w:ascii="Arial" w:cs="Arial" w:eastAsia="Arial" w:hAnsi="Arial"/>
          <w:sz w:val="16"/>
          <w:szCs w:val="16"/>
          <w:color w:val="auto"/>
        </w:rPr>
        <w:t>a third person, including a “group” as defined in Section 13(d)(3) of the Securities Exchange Act of 1934, acquires shares of the Corporation having 20% or more of the total number of votes that may be cast for the election of Directors of the Corporation; or</w:t>
      </w:r>
    </w:p>
    <w:p>
      <w:pPr>
        <w:spacing w:after="0" w:line="4" w:lineRule="exact"/>
        <w:rPr>
          <w:rFonts w:ascii="Arial" w:cs="Arial" w:eastAsia="Arial" w:hAnsi="Arial"/>
          <w:sz w:val="16"/>
          <w:szCs w:val="16"/>
          <w:color w:val="auto"/>
        </w:rPr>
      </w:pPr>
    </w:p>
    <w:p>
      <w:pPr>
        <w:ind w:left="1026" w:right="80" w:hanging="567"/>
        <w:spacing w:after="0" w:line="306" w:lineRule="auto"/>
        <w:tabs>
          <w:tab w:leader="none" w:pos="1026" w:val="left"/>
        </w:tabs>
        <w:numPr>
          <w:ilvl w:val="1"/>
          <w:numId w:val="16"/>
        </w:numPr>
        <w:rPr>
          <w:rFonts w:ascii="Arial" w:cs="Arial" w:eastAsia="Arial" w:hAnsi="Arial"/>
          <w:sz w:val="16"/>
          <w:szCs w:val="16"/>
          <w:color w:val="auto"/>
        </w:rPr>
      </w:pPr>
      <w:r>
        <w:rPr>
          <w:rFonts w:ascii="Arial" w:cs="Arial" w:eastAsia="Arial" w:hAnsi="Arial"/>
          <w:sz w:val="16"/>
          <w:szCs w:val="16"/>
          <w:color w:val="auto"/>
        </w:rPr>
        <w:t>as the result of any cash tender or exchange offer, merger or other business combination, sale of assets or contested election, or any combination of the foregoing transactions (a “Transaction”), the persons who were directors of the Corporation before the Transaction shall cease to constitute a majority of the Board of Directors of the Corporation or any successor to the Corporation.</w:t>
      </w:r>
    </w:p>
    <w:p>
      <w:pPr>
        <w:spacing w:after="0" w:line="141" w:lineRule="exact"/>
        <w:rPr>
          <w:rFonts w:ascii="Arial" w:cs="Arial" w:eastAsia="Arial" w:hAnsi="Arial"/>
          <w:sz w:val="16"/>
          <w:szCs w:val="16"/>
          <w:color w:val="auto"/>
        </w:rPr>
      </w:pPr>
    </w:p>
    <w:p>
      <w:pPr>
        <w:ind w:left="446" w:hanging="446"/>
        <w:spacing w:after="0"/>
        <w:tabs>
          <w:tab w:leader="none" w:pos="446" w:val="left"/>
        </w:tabs>
        <w:numPr>
          <w:ilvl w:val="0"/>
          <w:numId w:val="16"/>
        </w:numPr>
        <w:rPr>
          <w:rFonts w:ascii="Arial" w:cs="Arial" w:eastAsia="Arial" w:hAnsi="Arial"/>
          <w:sz w:val="18"/>
          <w:szCs w:val="18"/>
          <w:color w:val="auto"/>
        </w:rPr>
      </w:pPr>
      <w:r>
        <w:rPr>
          <w:rFonts w:ascii="Arial" w:cs="Arial" w:eastAsia="Arial" w:hAnsi="Arial"/>
          <w:sz w:val="18"/>
          <w:szCs w:val="18"/>
          <w:b w:val="1"/>
          <w:bCs w:val="1"/>
          <w:u w:val="single" w:color="auto"/>
          <w:color w:val="auto"/>
        </w:rPr>
        <w:t>Definition of Good Reason</w:t>
      </w:r>
      <w:r>
        <w:rPr>
          <w:rFonts w:ascii="Arial" w:cs="Arial" w:eastAsia="Arial" w:hAnsi="Arial"/>
          <w:sz w:val="18"/>
          <w:szCs w:val="18"/>
          <w:b w:val="1"/>
          <w:bCs w:val="1"/>
          <w:color w:val="auto"/>
        </w:rPr>
        <w:t>.</w:t>
      </w:r>
    </w:p>
    <w:p>
      <w:pPr>
        <w:spacing w:after="0" w:line="96" w:lineRule="exact"/>
        <w:rPr>
          <w:rFonts w:ascii="Arial" w:cs="Arial" w:eastAsia="Arial" w:hAnsi="Arial"/>
          <w:sz w:val="18"/>
          <w:szCs w:val="18"/>
          <w:color w:val="auto"/>
        </w:rPr>
      </w:pPr>
    </w:p>
    <w:p>
      <w:pPr>
        <w:ind w:left="446"/>
        <w:spacing w:after="0"/>
        <w:rPr>
          <w:rFonts w:ascii="Arial" w:cs="Arial" w:eastAsia="Arial" w:hAnsi="Arial"/>
          <w:sz w:val="18"/>
          <w:szCs w:val="18"/>
          <w:color w:val="auto"/>
        </w:rPr>
      </w:pPr>
      <w:r>
        <w:rPr>
          <w:rFonts w:ascii="Arial" w:cs="Arial" w:eastAsia="Arial" w:hAnsi="Arial"/>
          <w:sz w:val="18"/>
          <w:szCs w:val="18"/>
          <w:i w:val="1"/>
          <w:iCs w:val="1"/>
          <w:color w:val="auto"/>
        </w:rPr>
        <w:t>“</w:t>
      </w:r>
      <w:r>
        <w:rPr>
          <w:rFonts w:ascii="Arial" w:cs="Arial" w:eastAsia="Arial" w:hAnsi="Arial"/>
          <w:sz w:val="18"/>
          <w:szCs w:val="18"/>
          <w:u w:val="single" w:color="auto"/>
          <w:color w:val="auto"/>
        </w:rPr>
        <w:t>Good Reason</w:t>
      </w:r>
      <w:r>
        <w:rPr>
          <w:rFonts w:ascii="Arial" w:cs="Arial" w:eastAsia="Arial" w:hAnsi="Arial"/>
          <w:sz w:val="18"/>
          <w:szCs w:val="18"/>
          <w:color w:val="auto"/>
        </w:rPr>
        <w:t>” shall mean, without the Executive’s express written consent, the occurrence of any one or more of the following:</w:t>
      </w:r>
    </w:p>
    <w:p>
      <w:pPr>
        <w:spacing w:after="0" w:line="90" w:lineRule="exact"/>
        <w:rPr>
          <w:rFonts w:ascii="Arial" w:cs="Arial" w:eastAsia="Arial" w:hAnsi="Arial"/>
          <w:sz w:val="18"/>
          <w:szCs w:val="18"/>
          <w:color w:val="auto"/>
        </w:rPr>
      </w:pPr>
    </w:p>
    <w:p>
      <w:pPr>
        <w:ind w:left="1026" w:right="180" w:hanging="567"/>
        <w:spacing w:after="0" w:line="306" w:lineRule="auto"/>
        <w:tabs>
          <w:tab w:leader="none" w:pos="1026" w:val="left"/>
        </w:tabs>
        <w:numPr>
          <w:ilvl w:val="1"/>
          <w:numId w:val="16"/>
        </w:numPr>
        <w:rPr>
          <w:rFonts w:ascii="Arial" w:cs="Arial" w:eastAsia="Arial" w:hAnsi="Arial"/>
          <w:sz w:val="16"/>
          <w:szCs w:val="16"/>
          <w:color w:val="auto"/>
        </w:rPr>
      </w:pPr>
      <w:r>
        <w:rPr>
          <w:rFonts w:ascii="Arial" w:cs="Arial" w:eastAsia="Arial" w:hAnsi="Arial"/>
          <w:sz w:val="16"/>
          <w:szCs w:val="16"/>
          <w:color w:val="auto"/>
        </w:rPr>
        <w:t>The assignment of the Executive to duties materially inconsistent with the Executive’s authorities, duties, responsibilities, and status (including reporting relationships) as an employee of the Corporation, or a reduction or alteration in the nature or status of the Executive’s authorities, duties, or responsibilities from those in effect immediately preceding the Change of Control;</w:t>
      </w:r>
    </w:p>
    <w:p>
      <w:pPr>
        <w:spacing w:after="0" w:line="25" w:lineRule="exact"/>
        <w:rPr>
          <w:rFonts w:ascii="Arial" w:cs="Arial" w:eastAsia="Arial" w:hAnsi="Arial"/>
          <w:sz w:val="16"/>
          <w:szCs w:val="16"/>
          <w:color w:val="auto"/>
        </w:rPr>
      </w:pPr>
    </w:p>
    <w:p>
      <w:pPr>
        <w:ind w:left="1026" w:right="120" w:hanging="567"/>
        <w:spacing w:after="0" w:line="306" w:lineRule="auto"/>
        <w:tabs>
          <w:tab w:leader="none" w:pos="1026" w:val="left"/>
        </w:tabs>
        <w:numPr>
          <w:ilvl w:val="1"/>
          <w:numId w:val="16"/>
        </w:numPr>
        <w:rPr>
          <w:rFonts w:ascii="Arial" w:cs="Arial" w:eastAsia="Arial" w:hAnsi="Arial"/>
          <w:sz w:val="16"/>
          <w:szCs w:val="16"/>
          <w:color w:val="auto"/>
        </w:rPr>
      </w:pPr>
      <w:r>
        <w:rPr>
          <w:rFonts w:ascii="Arial" w:cs="Arial" w:eastAsia="Arial" w:hAnsi="Arial"/>
          <w:sz w:val="16"/>
          <w:szCs w:val="16"/>
          <w:color w:val="auto"/>
        </w:rPr>
        <w:t>The Corporation’s requiring the Executive to be based at a location which is at least fifty (50) miles further from the current primary residence than is such residence from the Corporation’s current headquarters, except for required travel on the Corporation’s business to an extent substantially consistent with the Executive’s business obligations immediately preceding the Change of Control;</w:t>
      </w:r>
    </w:p>
    <w:p>
      <w:pPr>
        <w:sectPr>
          <w:pgSz w:w="11900" w:h="16838" w:orient="portrait"/>
          <w:cols w:equalWidth="0" w:num="1">
            <w:col w:w="10906"/>
          </w:cols>
          <w:pgMar w:left="694" w:top="274" w:right="299" w:bottom="1440" w:gutter="0" w:footer="0" w:header="0"/>
        </w:sectPr>
      </w:pPr>
    </w:p>
    <w:bookmarkStart w:id="52" w:name="page53"/>
    <w:bookmarkEnd w:id="52"/>
    <w:p>
      <w:pPr>
        <w:ind w:left="900"/>
        <w:spacing w:after="0"/>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7267575" cy="27940"/>
                    </a:xfrm>
                    <a:prstGeom prst="rect">
                      <a:avLst/>
                    </a:prstGeom>
                    <a:noFill/>
                  </pic:spPr>
                </pic:pic>
              </a:graphicData>
            </a:graphic>
          </wp:anchor>
        </w:drawing>
        <w:t>(iii) A reduction by the Corporation in the Executive’s Base Salary as in effect on the Effective Date or as the same shall be increased from time to</w:t>
      </w:r>
    </w:p>
    <w:p>
      <w:pPr>
        <w:spacing w:after="0" w:line="38"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time;</w:t>
      </w:r>
    </w:p>
    <w:p>
      <w:pPr>
        <w:spacing w:after="0" w:line="84" w:lineRule="exact"/>
        <w:rPr>
          <w:sz w:val="20"/>
          <w:szCs w:val="20"/>
          <w:color w:val="auto"/>
        </w:rPr>
      </w:pPr>
    </w:p>
    <w:p>
      <w:pPr>
        <w:ind w:left="460" w:firstLine="443"/>
        <w:spacing w:after="0" w:line="294" w:lineRule="auto"/>
        <w:tabs>
          <w:tab w:leader="none" w:pos="1196" w:val="left"/>
        </w:tabs>
        <w:numPr>
          <w:ilvl w:val="0"/>
          <w:numId w:val="17"/>
        </w:numPr>
        <w:rPr>
          <w:rFonts w:ascii="Arial" w:cs="Arial" w:eastAsia="Arial" w:hAnsi="Arial"/>
          <w:sz w:val="16"/>
          <w:szCs w:val="16"/>
          <w:color w:val="auto"/>
        </w:rPr>
      </w:pPr>
      <w:r>
        <w:rPr>
          <w:rFonts w:ascii="Arial" w:cs="Arial" w:eastAsia="Arial" w:hAnsi="Arial"/>
          <w:sz w:val="16"/>
          <w:szCs w:val="16"/>
          <w:color w:val="auto"/>
        </w:rPr>
        <w:t>A material reduction in the Executive’s level of participation in any of the Corporation’s short- and/or long-term incentive compensation plans, or employee benefit or retirement plans, policies, practices, or arrangements in which the Executive participates from the levels in place during the fiscal year immediately preceding the Change of Control; provided, however, that reductions in the levels of participation in any such plans shall not be deemed to be “Good Reason” if the Executive’s reduced level of participation in each such program remains substantially consistent with the average level of participation of other executives who have positions commensurate with the Executive’s position; or</w:t>
      </w:r>
    </w:p>
    <w:p>
      <w:pPr>
        <w:spacing w:after="0" w:line="34" w:lineRule="exact"/>
        <w:rPr>
          <w:rFonts w:ascii="Arial" w:cs="Arial" w:eastAsia="Arial" w:hAnsi="Arial"/>
          <w:sz w:val="16"/>
          <w:szCs w:val="16"/>
          <w:color w:val="auto"/>
        </w:rPr>
      </w:pPr>
    </w:p>
    <w:p>
      <w:pPr>
        <w:ind w:left="460" w:right="400" w:firstLine="443"/>
        <w:spacing w:after="0" w:line="268" w:lineRule="auto"/>
        <w:tabs>
          <w:tab w:leader="none" w:pos="1147" w:val="left"/>
        </w:tabs>
        <w:numPr>
          <w:ilvl w:val="0"/>
          <w:numId w:val="17"/>
        </w:numPr>
        <w:rPr>
          <w:rFonts w:ascii="Arial" w:cs="Arial" w:eastAsia="Arial" w:hAnsi="Arial"/>
          <w:sz w:val="18"/>
          <w:szCs w:val="18"/>
          <w:color w:val="auto"/>
        </w:rPr>
      </w:pPr>
      <w:r>
        <w:rPr>
          <w:rFonts w:ascii="Arial" w:cs="Arial" w:eastAsia="Arial" w:hAnsi="Arial"/>
          <w:sz w:val="18"/>
          <w:szCs w:val="18"/>
          <w:color w:val="auto"/>
        </w:rPr>
        <w:t>The failure of the Corporation to obtain a satisfactory agreement from any successor to the Corporation to assume and agree to perform its obligations under this Agreement.</w:t>
      </w:r>
    </w:p>
    <w:p>
      <w:pPr>
        <w:spacing w:after="0" w:line="132" w:lineRule="exact"/>
        <w:rPr>
          <w:sz w:val="20"/>
          <w:szCs w:val="20"/>
          <w:color w:val="auto"/>
        </w:rPr>
      </w:pPr>
    </w:p>
    <w:p>
      <w:pPr>
        <w:ind w:right="100" w:firstLine="456"/>
        <w:spacing w:after="0" w:line="306" w:lineRule="auto"/>
        <w:rPr>
          <w:sz w:val="20"/>
          <w:szCs w:val="20"/>
          <w:color w:val="auto"/>
        </w:rPr>
      </w:pPr>
      <w:r>
        <w:rPr>
          <w:rFonts w:ascii="Arial" w:cs="Arial" w:eastAsia="Arial" w:hAnsi="Arial"/>
          <w:sz w:val="16"/>
          <w:szCs w:val="16"/>
          <w:color w:val="auto"/>
        </w:rPr>
        <w:t>In the event of any of the foregoing occurrences, the Executive shall notify the Corporation of the event constituting the basis for a termination for Good Reason. The Corporation may then take action to cure the Good Reason event or condition. If the Corporation does not remedy the basis for a Good Reason termination within 30 days of receipt of notice from the Executive, the Executive may then terminate his or her employment for Good Reason.</w:t>
      </w:r>
    </w:p>
    <w:p>
      <w:pPr>
        <w:spacing w:after="0" w:line="107" w:lineRule="exact"/>
        <w:rPr>
          <w:sz w:val="20"/>
          <w:szCs w:val="20"/>
          <w:color w:val="auto"/>
        </w:rPr>
      </w:pPr>
    </w:p>
    <w:p>
      <w:pPr>
        <w:ind w:left="460"/>
        <w:spacing w:after="0"/>
        <w:rPr>
          <w:sz w:val="20"/>
          <w:szCs w:val="20"/>
          <w:color w:val="auto"/>
        </w:rPr>
      </w:pPr>
      <w:r>
        <w:rPr>
          <w:rFonts w:ascii="Arial" w:cs="Arial" w:eastAsia="Arial" w:hAnsi="Arial"/>
          <w:sz w:val="15"/>
          <w:szCs w:val="15"/>
          <w:color w:val="auto"/>
        </w:rPr>
        <w:t>The Executive’s continued employment shall not constitute a waiver of the Executive’s rights with respect to any circumstance constituting Good Reason.</w:t>
      </w:r>
    </w:p>
    <w:p>
      <w:pPr>
        <w:sectPr>
          <w:pgSz w:w="11900" w:h="16838" w:orient="portrait"/>
          <w:cols w:equalWidth="0" w:num="1">
            <w:col w:w="11280"/>
          </w:cols>
          <w:pgMar w:left="240" w:top="280" w:right="379" w:bottom="1440" w:gutter="0" w:footer="0" w:header="0"/>
        </w:sectPr>
      </w:pPr>
    </w:p>
    <w:bookmarkStart w:id="53" w:name="page54"/>
    <w:bookmarkEnd w:id="53"/>
    <w:p>
      <w:pPr>
        <w:ind w:left="446" w:hanging="446"/>
        <w:spacing w:after="0"/>
        <w:tabs>
          <w:tab w:leader="none" w:pos="446" w:val="left"/>
        </w:tabs>
        <w:numPr>
          <w:ilvl w:val="0"/>
          <w:numId w:val="18"/>
        </w:numPr>
        <w:rPr>
          <w:rFonts w:ascii="Arial" w:cs="Arial" w:eastAsia="Arial" w:hAnsi="Arial"/>
          <w:sz w:val="18"/>
          <w:szCs w:val="18"/>
          <w:color w:val="auto"/>
        </w:rPr>
      </w:pPr>
      <w:r>
        <w:rPr>
          <w:rFonts w:ascii="Arial" w:cs="Arial" w:eastAsia="Arial" w:hAnsi="Arial"/>
          <w:sz w:val="18"/>
          <w:szCs w:val="18"/>
          <w:b w:val="1"/>
          <w:bCs w:val="1"/>
          <w:u w:val="single" w:color="auto"/>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7267575" cy="27940"/>
                    </a:xfrm>
                    <a:prstGeom prst="rect">
                      <a:avLst/>
                    </a:prstGeom>
                    <a:noFill/>
                  </pic:spPr>
                </pic:pic>
              </a:graphicData>
            </a:graphic>
          </wp:anchor>
        </w:drawing>
        <w:t>General</w:t>
      </w:r>
      <w:r>
        <w:rPr>
          <w:rFonts w:ascii="Arial" w:cs="Arial" w:eastAsia="Arial" w:hAnsi="Arial"/>
          <w:sz w:val="18"/>
          <w:szCs w:val="18"/>
          <w:b w:val="1"/>
          <w:bCs w:val="1"/>
          <w:color w:val="auto"/>
        </w:rPr>
        <w:t>.</w:t>
      </w:r>
    </w:p>
    <w:p>
      <w:pPr>
        <w:spacing w:after="0" w:line="90" w:lineRule="exact"/>
        <w:rPr>
          <w:rFonts w:ascii="Arial" w:cs="Arial" w:eastAsia="Arial" w:hAnsi="Arial"/>
          <w:sz w:val="18"/>
          <w:szCs w:val="18"/>
          <w:color w:val="auto"/>
        </w:rPr>
      </w:pPr>
    </w:p>
    <w:p>
      <w:pPr>
        <w:ind w:left="1026" w:right="20" w:hanging="567"/>
        <w:spacing w:after="0" w:line="258" w:lineRule="auto"/>
        <w:tabs>
          <w:tab w:leader="none" w:pos="1026" w:val="left"/>
        </w:tabs>
        <w:numPr>
          <w:ilvl w:val="1"/>
          <w:numId w:val="18"/>
        </w:numPr>
        <w:rPr>
          <w:rFonts w:ascii="Arial" w:cs="Arial" w:eastAsia="Arial" w:hAnsi="Arial"/>
          <w:sz w:val="18"/>
          <w:szCs w:val="18"/>
          <w:color w:val="auto"/>
        </w:rPr>
      </w:pPr>
      <w:r>
        <w:rPr>
          <w:rFonts w:ascii="Arial" w:cs="Arial" w:eastAsia="Arial" w:hAnsi="Arial"/>
          <w:sz w:val="18"/>
          <w:szCs w:val="18"/>
          <w:b w:val="1"/>
          <w:bCs w:val="1"/>
          <w:u w:val="single" w:color="auto"/>
          <w:color w:val="auto"/>
        </w:rPr>
        <w:t>Indemnification</w:t>
      </w:r>
      <w:r>
        <w:rPr>
          <w:rFonts w:ascii="Arial" w:cs="Arial" w:eastAsia="Arial" w:hAnsi="Arial"/>
          <w:sz w:val="18"/>
          <w:szCs w:val="18"/>
          <w:b w:val="1"/>
          <w:bCs w:val="1"/>
          <w:color w:val="auto"/>
        </w:rPr>
        <w:t xml:space="preserve">. </w:t>
      </w:r>
      <w:r>
        <w:rPr>
          <w:rFonts w:ascii="Arial" w:cs="Arial" w:eastAsia="Arial" w:hAnsi="Arial"/>
          <w:sz w:val="18"/>
          <w:szCs w:val="18"/>
          <w:color w:val="auto"/>
        </w:rPr>
        <w:t>If litigation shall be brought to enforce or interpret any provision contained herein, the Corporation hereby indemnifies the</w:t>
      </w:r>
      <w:r>
        <w:rPr>
          <w:rFonts w:ascii="Arial" w:cs="Arial" w:eastAsia="Arial" w:hAnsi="Arial"/>
          <w:sz w:val="18"/>
          <w:szCs w:val="18"/>
          <w:b w:val="1"/>
          <w:bCs w:val="1"/>
          <w:color w:val="auto"/>
        </w:rPr>
        <w:t xml:space="preserve"> </w:t>
      </w:r>
      <w:r>
        <w:rPr>
          <w:rFonts w:ascii="Arial" w:cs="Arial" w:eastAsia="Arial" w:hAnsi="Arial"/>
          <w:sz w:val="18"/>
          <w:szCs w:val="18"/>
          <w:color w:val="auto"/>
        </w:rPr>
        <w:t>Executive for his reasonable attorney’s fees and disbursements incurred in such litigation, and hereby agrees to pay pre-judgment interest on any money judgment obtained by the Executive calculated at the Citibank prime interest rate in effect from time to time from the date that payment(s) to him should have been made under this Agreement.</w:t>
      </w:r>
    </w:p>
    <w:p>
      <w:pPr>
        <w:spacing w:after="0" w:line="55" w:lineRule="exact"/>
        <w:rPr>
          <w:rFonts w:ascii="Arial" w:cs="Arial" w:eastAsia="Arial" w:hAnsi="Arial"/>
          <w:sz w:val="18"/>
          <w:szCs w:val="18"/>
          <w:color w:val="auto"/>
        </w:rPr>
      </w:pPr>
    </w:p>
    <w:p>
      <w:pPr>
        <w:ind w:left="1026" w:hanging="567"/>
        <w:spacing w:after="0" w:line="290" w:lineRule="auto"/>
        <w:tabs>
          <w:tab w:leader="none" w:pos="1026" w:val="left"/>
        </w:tabs>
        <w:numPr>
          <w:ilvl w:val="1"/>
          <w:numId w:val="18"/>
        </w:numPr>
        <w:rPr>
          <w:rFonts w:ascii="Arial" w:cs="Arial" w:eastAsia="Arial" w:hAnsi="Arial"/>
          <w:sz w:val="16"/>
          <w:szCs w:val="16"/>
          <w:color w:val="auto"/>
        </w:rPr>
      </w:pPr>
      <w:r>
        <w:rPr>
          <w:rFonts w:ascii="Arial" w:cs="Arial" w:eastAsia="Arial" w:hAnsi="Arial"/>
          <w:sz w:val="16"/>
          <w:szCs w:val="16"/>
          <w:b w:val="1"/>
          <w:bCs w:val="1"/>
          <w:u w:val="single" w:color="auto"/>
          <w:color w:val="auto"/>
        </w:rPr>
        <w:t>Payment Obligations Absolute</w:t>
      </w:r>
      <w:r>
        <w:rPr>
          <w:rFonts w:ascii="Arial" w:cs="Arial" w:eastAsia="Arial" w:hAnsi="Arial"/>
          <w:sz w:val="16"/>
          <w:szCs w:val="16"/>
          <w:b w:val="1"/>
          <w:bCs w:val="1"/>
          <w:color w:val="auto"/>
        </w:rPr>
        <w:t xml:space="preserve">. </w:t>
      </w:r>
      <w:r>
        <w:rPr>
          <w:rFonts w:ascii="Arial" w:cs="Arial" w:eastAsia="Arial" w:hAnsi="Arial"/>
          <w:sz w:val="16"/>
          <w:szCs w:val="16"/>
          <w:color w:val="auto"/>
        </w:rPr>
        <w:t>The Corporation’s obligation to pay the Executive the compensation and to make the arrangements</w:t>
      </w:r>
      <w:r>
        <w:rPr>
          <w:rFonts w:ascii="Arial" w:cs="Arial" w:eastAsia="Arial" w:hAnsi="Arial"/>
          <w:sz w:val="16"/>
          <w:szCs w:val="16"/>
          <w:b w:val="1"/>
          <w:bCs w:val="1"/>
          <w:color w:val="auto"/>
        </w:rPr>
        <w:t xml:space="preserve"> </w:t>
      </w:r>
      <w:r>
        <w:rPr>
          <w:rFonts w:ascii="Arial" w:cs="Arial" w:eastAsia="Arial" w:hAnsi="Arial"/>
          <w:sz w:val="16"/>
          <w:szCs w:val="16"/>
          <w:color w:val="auto"/>
        </w:rPr>
        <w:t>provided herein shall be absolute and unconditional and shall not be affected by any circumstances, including, without limitation, any set-off, counterclaim, recoupment, defense or other right which the Corporation may have against him or anyone else. All amounts payable by the Corporation hereunder shall be paid without notice or demand. Except as expressly provided herein, the Corporation waives all rights which it may now have or may hereafter have conferred upon it, by statute or otherwise, to terminate, cancel or rescind this Agreement in whole or in part. Subject to the provisions of paragraph B, each and every payment made hereunder by the Corporation shall be final and the Corporation will not seek to recover all or any part of such payment from the Executive or from whosoever may be entitled thereto, for any reason whatsoever.</w:t>
      </w:r>
    </w:p>
    <w:p>
      <w:pPr>
        <w:spacing w:after="0" w:line="31" w:lineRule="exact"/>
        <w:rPr>
          <w:rFonts w:ascii="Arial" w:cs="Arial" w:eastAsia="Arial" w:hAnsi="Arial"/>
          <w:sz w:val="16"/>
          <w:szCs w:val="16"/>
          <w:color w:val="auto"/>
        </w:rPr>
      </w:pPr>
    </w:p>
    <w:p>
      <w:pPr>
        <w:jc w:val="both"/>
        <w:ind w:left="1026" w:right="400" w:hanging="567"/>
        <w:spacing w:after="0" w:line="378" w:lineRule="auto"/>
        <w:tabs>
          <w:tab w:leader="none" w:pos="1026" w:val="left"/>
        </w:tabs>
        <w:numPr>
          <w:ilvl w:val="1"/>
          <w:numId w:val="18"/>
        </w:numPr>
        <w:rPr>
          <w:rFonts w:ascii="Arial" w:cs="Arial" w:eastAsia="Arial" w:hAnsi="Arial"/>
          <w:sz w:val="15"/>
          <w:szCs w:val="15"/>
          <w:color w:val="auto"/>
        </w:rPr>
      </w:pPr>
      <w:r>
        <w:rPr>
          <w:rFonts w:ascii="Arial" w:cs="Arial" w:eastAsia="Arial" w:hAnsi="Arial"/>
          <w:sz w:val="15"/>
          <w:szCs w:val="15"/>
          <w:b w:val="1"/>
          <w:bCs w:val="1"/>
          <w:u w:val="single" w:color="auto"/>
          <w:color w:val="auto"/>
        </w:rPr>
        <w:t>Successors</w:t>
      </w:r>
      <w:r>
        <w:rPr>
          <w:rFonts w:ascii="Arial" w:cs="Arial" w:eastAsia="Arial" w:hAnsi="Arial"/>
          <w:sz w:val="15"/>
          <w:szCs w:val="15"/>
          <w:b w:val="1"/>
          <w:bCs w:val="1"/>
          <w:color w:val="auto"/>
        </w:rPr>
        <w:t xml:space="preserve">. </w:t>
      </w:r>
      <w:r>
        <w:rPr>
          <w:rFonts w:ascii="Arial" w:cs="Arial" w:eastAsia="Arial" w:hAnsi="Arial"/>
          <w:sz w:val="15"/>
          <w:szCs w:val="15"/>
          <w:color w:val="auto"/>
        </w:rPr>
        <w:t>This Agreement shall be binding upon and inure to the benefit of the Executive and his estate, and the Corporation and any</w:t>
      </w:r>
      <w:r>
        <w:rPr>
          <w:rFonts w:ascii="Arial" w:cs="Arial" w:eastAsia="Arial" w:hAnsi="Arial"/>
          <w:sz w:val="15"/>
          <w:szCs w:val="15"/>
          <w:b w:val="1"/>
          <w:bCs w:val="1"/>
          <w:color w:val="auto"/>
        </w:rPr>
        <w:t xml:space="preserve"> </w:t>
      </w:r>
      <w:r>
        <w:rPr>
          <w:rFonts w:ascii="Arial" w:cs="Arial" w:eastAsia="Arial" w:hAnsi="Arial"/>
          <w:sz w:val="15"/>
          <w:szCs w:val="15"/>
          <w:color w:val="auto"/>
        </w:rPr>
        <w:t>successor of the Corporation, but neither this Agreement nor any rights arising hereunder may be assigned or pledged by the Executive.</w:t>
      </w:r>
    </w:p>
    <w:p>
      <w:pPr>
        <w:sectPr>
          <w:pgSz w:w="11900" w:h="16838" w:orient="portrait"/>
          <w:cols w:equalWidth="0" w:num="1">
            <w:col w:w="10946"/>
          </w:cols>
          <w:pgMar w:left="694" w:top="274" w:right="259" w:bottom="1440" w:gutter="0" w:footer="0" w:header="0"/>
        </w:sectPr>
      </w:pPr>
    </w:p>
    <w:bookmarkStart w:id="54" w:name="page55"/>
    <w:bookmarkEnd w:id="54"/>
    <w:p>
      <w:pPr>
        <w:ind w:left="567" w:right="160" w:hanging="567"/>
        <w:spacing w:after="0" w:line="258" w:lineRule="auto"/>
        <w:tabs>
          <w:tab w:leader="none" w:pos="567" w:val="left"/>
        </w:tabs>
        <w:numPr>
          <w:ilvl w:val="0"/>
          <w:numId w:val="19"/>
        </w:numPr>
        <w:rPr>
          <w:rFonts w:ascii="Arial" w:cs="Arial" w:eastAsia="Arial" w:hAnsi="Arial"/>
          <w:sz w:val="18"/>
          <w:szCs w:val="18"/>
          <w:color w:val="auto"/>
        </w:rPr>
      </w:pPr>
      <w:r>
        <w:rPr>
          <w:rFonts w:ascii="Arial" w:cs="Arial" w:eastAsia="Arial" w:hAnsi="Arial"/>
          <w:sz w:val="18"/>
          <w:szCs w:val="18"/>
          <w:b w:val="1"/>
          <w:bCs w:val="1"/>
          <w:u w:val="single" w:color="auto"/>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7267575" cy="27940"/>
                    </a:xfrm>
                    <a:prstGeom prst="rect">
                      <a:avLst/>
                    </a:prstGeom>
                    <a:noFill/>
                  </pic:spPr>
                </pic:pic>
              </a:graphicData>
            </a:graphic>
          </wp:anchor>
        </w:drawing>
        <w:t>Severability</w:t>
      </w:r>
      <w:r>
        <w:rPr>
          <w:rFonts w:ascii="Arial" w:cs="Arial" w:eastAsia="Arial" w:hAnsi="Arial"/>
          <w:sz w:val="18"/>
          <w:szCs w:val="18"/>
          <w:b w:val="1"/>
          <w:bCs w:val="1"/>
          <w:color w:val="auto"/>
        </w:rPr>
        <w:t xml:space="preserve">. </w:t>
      </w:r>
      <w:r>
        <w:rPr>
          <w:rFonts w:ascii="Arial" w:cs="Arial" w:eastAsia="Arial" w:hAnsi="Arial"/>
          <w:sz w:val="18"/>
          <w:szCs w:val="18"/>
          <w:color w:val="auto"/>
        </w:rPr>
        <w:t>Any provision in this Agreement which is prohibited or unenforceable in any jurisdiction shall, as to such jurisdiction, be</w:t>
      </w:r>
      <w:r>
        <w:rPr>
          <w:rFonts w:ascii="Arial" w:cs="Arial" w:eastAsia="Arial" w:hAnsi="Arial"/>
          <w:sz w:val="18"/>
          <w:szCs w:val="18"/>
          <w:b w:val="1"/>
          <w:bCs w:val="1"/>
          <w:color w:val="auto"/>
        </w:rPr>
        <w:t xml:space="preserve"> </w:t>
      </w:r>
      <w:r>
        <w:rPr>
          <w:rFonts w:ascii="Arial" w:cs="Arial" w:eastAsia="Arial" w:hAnsi="Arial"/>
          <w:sz w:val="18"/>
          <w:szCs w:val="18"/>
          <w:color w:val="auto"/>
        </w:rPr>
        <w:t>ineffective only to the extent of such prohibition or unenforceability without invalidating or affecting the remaining provisions hereof, and any such prohibition or unenforceability in any jurisdiction shall not invalidate or render unenforceable such provision in any other jurisdiction.</w:t>
      </w:r>
    </w:p>
    <w:p>
      <w:pPr>
        <w:spacing w:after="0" w:line="55" w:lineRule="exact"/>
        <w:rPr>
          <w:rFonts w:ascii="Arial" w:cs="Arial" w:eastAsia="Arial" w:hAnsi="Arial"/>
          <w:sz w:val="18"/>
          <w:szCs w:val="18"/>
          <w:color w:val="auto"/>
        </w:rPr>
      </w:pPr>
    </w:p>
    <w:p>
      <w:pPr>
        <w:ind w:left="567" w:hanging="567"/>
        <w:spacing w:after="0"/>
        <w:tabs>
          <w:tab w:leader="none" w:pos="567" w:val="left"/>
        </w:tabs>
        <w:numPr>
          <w:ilvl w:val="0"/>
          <w:numId w:val="19"/>
        </w:numPr>
        <w:rPr>
          <w:rFonts w:ascii="Arial" w:cs="Arial" w:eastAsia="Arial" w:hAnsi="Arial"/>
          <w:sz w:val="15"/>
          <w:szCs w:val="15"/>
          <w:color w:val="auto"/>
        </w:rPr>
      </w:pPr>
      <w:r>
        <w:rPr>
          <w:rFonts w:ascii="Arial" w:cs="Arial" w:eastAsia="Arial" w:hAnsi="Arial"/>
          <w:sz w:val="15"/>
          <w:szCs w:val="15"/>
          <w:b w:val="1"/>
          <w:bCs w:val="1"/>
          <w:u w:val="single" w:color="auto"/>
          <w:color w:val="auto"/>
        </w:rPr>
        <w:t>Controlling Law</w:t>
      </w:r>
      <w:r>
        <w:rPr>
          <w:rFonts w:ascii="Arial" w:cs="Arial" w:eastAsia="Arial" w:hAnsi="Arial"/>
          <w:sz w:val="15"/>
          <w:szCs w:val="15"/>
          <w:b w:val="1"/>
          <w:bCs w:val="1"/>
          <w:color w:val="auto"/>
        </w:rPr>
        <w:t xml:space="preserve">. </w:t>
      </w:r>
      <w:r>
        <w:rPr>
          <w:rFonts w:ascii="Arial" w:cs="Arial" w:eastAsia="Arial" w:hAnsi="Arial"/>
          <w:sz w:val="15"/>
          <w:szCs w:val="15"/>
          <w:color w:val="auto"/>
        </w:rPr>
        <w:t>This Agreement shall in all respects be governed by, and construed in accordance with, the laws of the State of Delaware.</w:t>
      </w:r>
    </w:p>
    <w:p>
      <w:pPr>
        <w:spacing w:after="0" w:line="124" w:lineRule="exact"/>
        <w:rPr>
          <w:rFonts w:ascii="Arial" w:cs="Arial" w:eastAsia="Arial" w:hAnsi="Arial"/>
          <w:sz w:val="15"/>
          <w:szCs w:val="15"/>
          <w:color w:val="auto"/>
        </w:rPr>
      </w:pPr>
    </w:p>
    <w:p>
      <w:pPr>
        <w:ind w:left="567" w:hanging="567"/>
        <w:spacing w:after="0" w:line="293" w:lineRule="auto"/>
        <w:tabs>
          <w:tab w:leader="none" w:pos="567" w:val="left"/>
        </w:tabs>
        <w:numPr>
          <w:ilvl w:val="0"/>
          <w:numId w:val="19"/>
        </w:numPr>
        <w:rPr>
          <w:rFonts w:ascii="Arial" w:cs="Arial" w:eastAsia="Arial" w:hAnsi="Arial"/>
          <w:sz w:val="16"/>
          <w:szCs w:val="16"/>
          <w:color w:val="auto"/>
        </w:rPr>
      </w:pPr>
      <w:r>
        <w:rPr>
          <w:rFonts w:ascii="Arial" w:cs="Arial" w:eastAsia="Arial" w:hAnsi="Arial"/>
          <w:sz w:val="16"/>
          <w:szCs w:val="16"/>
          <w:b w:val="1"/>
          <w:bCs w:val="1"/>
          <w:u w:val="single" w:color="auto"/>
          <w:color w:val="auto"/>
        </w:rPr>
        <w:t>Termination</w:t>
      </w:r>
      <w:r>
        <w:rPr>
          <w:rFonts w:ascii="Arial" w:cs="Arial" w:eastAsia="Arial" w:hAnsi="Arial"/>
          <w:sz w:val="16"/>
          <w:szCs w:val="16"/>
          <w:b w:val="1"/>
          <w:bCs w:val="1"/>
          <w:color w:val="auto"/>
        </w:rPr>
        <w:t xml:space="preserve">. </w:t>
      </w:r>
      <w:r>
        <w:rPr>
          <w:rFonts w:ascii="Arial" w:cs="Arial" w:eastAsia="Arial" w:hAnsi="Arial"/>
          <w:sz w:val="16"/>
          <w:szCs w:val="16"/>
          <w:color w:val="auto"/>
        </w:rPr>
        <w:t>This Agreement shall terminate if, in accordance with the Plan, the Board determines that the Executive is no longer a key</w:t>
      </w:r>
      <w:r>
        <w:rPr>
          <w:rFonts w:ascii="Arial" w:cs="Arial" w:eastAsia="Arial" w:hAnsi="Arial"/>
          <w:sz w:val="16"/>
          <w:szCs w:val="16"/>
          <w:b w:val="1"/>
          <w:bCs w:val="1"/>
          <w:color w:val="auto"/>
        </w:rPr>
        <w:t xml:space="preserve"> </w:t>
      </w:r>
      <w:r>
        <w:rPr>
          <w:rFonts w:ascii="Arial" w:cs="Arial" w:eastAsia="Arial" w:hAnsi="Arial"/>
          <w:sz w:val="16"/>
          <w:szCs w:val="16"/>
          <w:color w:val="auto"/>
        </w:rPr>
        <w:t xml:space="preserve">executive to be included within the Plan and so notifies the Executive; </w:t>
      </w:r>
      <w:r>
        <w:rPr>
          <w:rFonts w:ascii="Arial" w:cs="Arial" w:eastAsia="Arial" w:hAnsi="Arial"/>
          <w:sz w:val="16"/>
          <w:szCs w:val="16"/>
          <w:u w:val="single" w:color="auto"/>
          <w:color w:val="auto"/>
        </w:rPr>
        <w:t>except that</w:t>
      </w:r>
      <w:r>
        <w:rPr>
          <w:rFonts w:ascii="Arial" w:cs="Arial" w:eastAsia="Arial" w:hAnsi="Arial"/>
          <w:sz w:val="16"/>
          <w:szCs w:val="16"/>
          <w:color w:val="auto"/>
        </w:rPr>
        <w:t>, such determination shall not be made, and if made shall have no effect, during any period of time when the Corporation has knowledge that any third person has taken steps reasonably calculated to effect a Change of Control until, in the opinion of the Board, the third person has abandoned or terminated his efforts to effect a Change of Control. Any decision by the Board that the third person has abandoned or terminated his efforts to affect a Change of Control shall be conclusive and binding on the Executive.</w:t>
      </w:r>
    </w:p>
    <w:p>
      <w:pPr>
        <w:spacing w:after="0" w:line="29" w:lineRule="exact"/>
        <w:rPr>
          <w:rFonts w:ascii="Arial" w:cs="Arial" w:eastAsia="Arial" w:hAnsi="Arial"/>
          <w:sz w:val="16"/>
          <w:szCs w:val="16"/>
          <w:color w:val="auto"/>
        </w:rPr>
      </w:pPr>
    </w:p>
    <w:p>
      <w:pPr>
        <w:ind w:left="567" w:right="160" w:hanging="567"/>
        <w:spacing w:after="0" w:line="275" w:lineRule="auto"/>
        <w:tabs>
          <w:tab w:leader="none" w:pos="567" w:val="left"/>
        </w:tabs>
        <w:numPr>
          <w:ilvl w:val="0"/>
          <w:numId w:val="19"/>
        </w:numPr>
        <w:rPr>
          <w:rFonts w:ascii="Arial" w:cs="Arial" w:eastAsia="Arial" w:hAnsi="Arial"/>
          <w:sz w:val="18"/>
          <w:szCs w:val="18"/>
          <w:color w:val="auto"/>
        </w:rPr>
      </w:pPr>
      <w:r>
        <w:rPr>
          <w:rFonts w:ascii="Arial" w:cs="Arial" w:eastAsia="Arial" w:hAnsi="Arial"/>
          <w:sz w:val="18"/>
          <w:szCs w:val="18"/>
          <w:b w:val="1"/>
          <w:bCs w:val="1"/>
          <w:u w:val="single" w:color="auto"/>
          <w:color w:val="auto"/>
        </w:rPr>
        <w:t>Continuing Obligations</w:t>
      </w:r>
      <w:r>
        <w:rPr>
          <w:rFonts w:ascii="Arial" w:cs="Arial" w:eastAsia="Arial" w:hAnsi="Arial"/>
          <w:sz w:val="18"/>
          <w:szCs w:val="18"/>
          <w:b w:val="1"/>
          <w:bCs w:val="1"/>
          <w:color w:val="auto"/>
        </w:rPr>
        <w:t xml:space="preserve">. </w:t>
      </w:r>
      <w:r>
        <w:rPr>
          <w:rFonts w:ascii="Arial" w:cs="Arial" w:eastAsia="Arial" w:hAnsi="Arial"/>
          <w:sz w:val="18"/>
          <w:szCs w:val="18"/>
          <w:color w:val="auto"/>
        </w:rPr>
        <w:t>The Executive shall retain in confidence any confidential information known to him concerning the Corporation</w:t>
      </w:r>
      <w:r>
        <w:rPr>
          <w:rFonts w:ascii="Arial" w:cs="Arial" w:eastAsia="Arial" w:hAnsi="Arial"/>
          <w:sz w:val="18"/>
          <w:szCs w:val="18"/>
          <w:b w:val="1"/>
          <w:bCs w:val="1"/>
          <w:color w:val="auto"/>
        </w:rPr>
        <w:t xml:space="preserve"> </w:t>
      </w:r>
      <w:r>
        <w:rPr>
          <w:rFonts w:ascii="Arial" w:cs="Arial" w:eastAsia="Arial" w:hAnsi="Arial"/>
          <w:sz w:val="18"/>
          <w:szCs w:val="18"/>
          <w:color w:val="auto"/>
        </w:rPr>
        <w:t>and its business so long as such information is not publicly disclosed.</w:t>
      </w:r>
    </w:p>
    <w:p>
      <w:pPr>
        <w:sectPr>
          <w:pgSz w:w="11900" w:h="16838" w:orient="portrait"/>
          <w:cols w:equalWidth="0" w:num="1">
            <w:col w:w="10447"/>
          </w:cols>
          <w:pgMar w:left="1153" w:top="274" w:right="299" w:bottom="1440" w:gutter="0" w:footer="0" w:header="0"/>
        </w:sectPr>
      </w:pPr>
    </w:p>
    <w:bookmarkStart w:id="55" w:name="page56"/>
    <w:bookmarkEnd w:id="55"/>
    <w:p>
      <w:pPr>
        <w:ind w:left="1120" w:hanging="667"/>
        <w:spacing w:after="0" w:line="255" w:lineRule="auto"/>
        <w:tabs>
          <w:tab w:leader="none" w:pos="1120" w:val="left"/>
        </w:tabs>
        <w:numPr>
          <w:ilvl w:val="0"/>
          <w:numId w:val="20"/>
        </w:numPr>
        <w:rPr>
          <w:rFonts w:ascii="Arial" w:cs="Arial" w:eastAsia="Arial" w:hAnsi="Arial"/>
          <w:sz w:val="18"/>
          <w:szCs w:val="18"/>
          <w:color w:val="auto"/>
        </w:rPr>
      </w:pPr>
      <w:r>
        <w:rPr>
          <w:rFonts w:ascii="Arial" w:cs="Arial" w:eastAsia="Arial" w:hAnsi="Arial"/>
          <w:sz w:val="18"/>
          <w:szCs w:val="18"/>
          <w:b w:val="1"/>
          <w:bCs w:val="1"/>
          <w:u w:val="single" w:color="auto"/>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7267575" cy="27940"/>
                    </a:xfrm>
                    <a:prstGeom prst="rect">
                      <a:avLst/>
                    </a:prstGeom>
                    <a:noFill/>
                  </pic:spPr>
                </pic:pic>
              </a:graphicData>
            </a:graphic>
          </wp:anchor>
        </w:drawing>
        <w:t>Compliance with Section 409A</w:t>
      </w:r>
      <w:r>
        <w:rPr>
          <w:rFonts w:ascii="Arial" w:cs="Arial" w:eastAsia="Arial" w:hAnsi="Arial"/>
          <w:sz w:val="18"/>
          <w:szCs w:val="18"/>
          <w:b w:val="1"/>
          <w:bCs w:val="1"/>
          <w:color w:val="auto"/>
        </w:rPr>
        <w:t xml:space="preserve">. </w:t>
      </w:r>
      <w:r>
        <w:rPr>
          <w:rFonts w:ascii="Arial" w:cs="Arial" w:eastAsia="Arial" w:hAnsi="Arial"/>
          <w:sz w:val="18"/>
          <w:szCs w:val="18"/>
          <w:color w:val="auto"/>
        </w:rPr>
        <w:t>Notwithstanding any other provision of this Agreement, if and to the extent that rights or payments</w:t>
      </w:r>
      <w:r>
        <w:rPr>
          <w:rFonts w:ascii="Arial" w:cs="Arial" w:eastAsia="Arial" w:hAnsi="Arial"/>
          <w:sz w:val="18"/>
          <w:szCs w:val="18"/>
          <w:b w:val="1"/>
          <w:bCs w:val="1"/>
          <w:color w:val="auto"/>
        </w:rPr>
        <w:t xml:space="preserve"> </w:t>
      </w:r>
      <w:r>
        <w:rPr>
          <w:rFonts w:ascii="Arial" w:cs="Arial" w:eastAsia="Arial" w:hAnsi="Arial"/>
          <w:sz w:val="18"/>
          <w:szCs w:val="18"/>
          <w:color w:val="auto"/>
        </w:rPr>
        <w:t>provided under this Agreement are determined to be subject to Section 409A of the Internal Revenue Code, the Executive agrees to make any amendments to this Agreement that may be required to comply with Section 409A. If the Executive is a “specified employee” under Section 409A, any payments subject to Section 409A will be deferred for six months from the date of termination of employment, to the extent required by Section 409A. Any deferred payments shall be credited with interest at the rate credited to fixed income accounts in the Corporation’s Deferred Compensation Plan.</w:t>
      </w:r>
    </w:p>
    <w:p>
      <w:pPr>
        <w:spacing w:after="0" w:line="122"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6260" w:type="dxa"/>
            <w:vAlign w:val="bottom"/>
            <w:gridSpan w:val="3"/>
          </w:tcPr>
          <w:p>
            <w:pPr>
              <w:spacing w:after="0"/>
              <w:rPr>
                <w:sz w:val="20"/>
                <w:szCs w:val="20"/>
                <w:color w:val="auto"/>
              </w:rPr>
            </w:pPr>
            <w:r>
              <w:rPr>
                <w:rFonts w:ascii="Arial" w:cs="Arial" w:eastAsia="Arial" w:hAnsi="Arial"/>
                <w:sz w:val="18"/>
                <w:szCs w:val="18"/>
                <w:b w:val="1"/>
                <w:bCs w:val="1"/>
                <w:color w:val="auto"/>
                <w:w w:val="93"/>
              </w:rPr>
              <w:t>IN WITNESS WHEREOF</w:t>
            </w:r>
            <w:r>
              <w:rPr>
                <w:rFonts w:ascii="Arial" w:cs="Arial" w:eastAsia="Arial" w:hAnsi="Arial"/>
                <w:sz w:val="18"/>
                <w:szCs w:val="18"/>
                <w:color w:val="auto"/>
                <w:w w:val="93"/>
              </w:rPr>
              <w:t>, the parties have executed this Agreement on this   day of</w:t>
            </w:r>
          </w:p>
        </w:tc>
        <w:tc>
          <w:tcPr>
            <w:tcW w:w="1360" w:type="dxa"/>
            <w:vAlign w:val="bottom"/>
            <w:gridSpan w:val="2"/>
          </w:tcPr>
          <w:p>
            <w:pPr>
              <w:jc w:val="right"/>
              <w:spacing w:after="0"/>
              <w:rPr>
                <w:sz w:val="20"/>
                <w:szCs w:val="20"/>
                <w:color w:val="auto"/>
              </w:rPr>
            </w:pPr>
            <w:r>
              <w:rPr>
                <w:rFonts w:ascii="Arial" w:cs="Arial" w:eastAsia="Arial" w:hAnsi="Arial"/>
                <w:sz w:val="18"/>
                <w:szCs w:val="18"/>
                <w:color w:val="auto"/>
              </w:rPr>
              <w:t>, 2008.</w:t>
            </w:r>
          </w:p>
        </w:tc>
      </w:tr>
      <w:tr>
        <w:trPr>
          <w:trHeight w:val="20"/>
        </w:trPr>
        <w:tc>
          <w:tcPr>
            <w:tcW w:w="554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860" w:type="dxa"/>
            <w:vAlign w:val="bottom"/>
            <w:shd w:val="clear" w:color="auto" w:fill="000000"/>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r>
    </w:tbl>
    <w:p>
      <w:pPr>
        <w:spacing w:after="0" w:line="215" w:lineRule="exact"/>
        <w:rPr>
          <w:sz w:val="20"/>
          <w:szCs w:val="20"/>
          <w:color w:val="auto"/>
        </w:rPr>
      </w:pPr>
    </w:p>
    <w:p>
      <w:pPr>
        <w:ind w:left="6400"/>
        <w:spacing w:after="0"/>
        <w:rPr>
          <w:sz w:val="20"/>
          <w:szCs w:val="20"/>
          <w:color w:val="auto"/>
        </w:rPr>
      </w:pPr>
      <w:r>
        <w:rPr>
          <w:rFonts w:ascii="Arial" w:cs="Arial" w:eastAsia="Arial" w:hAnsi="Arial"/>
          <w:sz w:val="18"/>
          <w:szCs w:val="18"/>
          <w:b w:val="1"/>
          <w:bCs w:val="1"/>
          <w:color w:val="auto"/>
        </w:rPr>
        <w:t>UNITED TECHNOLOGIES CORPORATION</w:t>
      </w:r>
    </w:p>
    <w:p>
      <w:pPr>
        <w:spacing w:after="0" w:line="231" w:lineRule="exact"/>
        <w:rPr>
          <w:sz w:val="20"/>
          <w:szCs w:val="20"/>
          <w:color w:val="auto"/>
        </w:rPr>
      </w:pPr>
    </w:p>
    <w:p>
      <w:pPr>
        <w:ind w:left="6400"/>
        <w:spacing w:after="0"/>
        <w:rPr>
          <w:sz w:val="20"/>
          <w:szCs w:val="20"/>
          <w:color w:val="auto"/>
        </w:rPr>
      </w:pPr>
      <w:r>
        <w:rPr>
          <w:rFonts w:ascii="Arial" w:cs="Arial" w:eastAsia="Arial" w:hAnsi="Arial"/>
          <w:sz w:val="18"/>
          <w:szCs w:val="18"/>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4300855</wp:posOffset>
            </wp:positionH>
            <wp:positionV relativeFrom="paragraph">
              <wp:posOffset>10795</wp:posOffset>
            </wp:positionV>
            <wp:extent cx="2658745" cy="8890"/>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2658745" cy="8890"/>
                    </a:xfrm>
                    <a:prstGeom prst="rect">
                      <a:avLst/>
                    </a:prstGeom>
                    <a:noFill/>
                  </pic:spPr>
                </pic:pic>
              </a:graphicData>
            </a:graphic>
          </wp:anchor>
        </w:drawing>
      </w:r>
    </w:p>
    <w:p>
      <w:pPr>
        <w:sectPr>
          <w:pgSz w:w="11900" w:h="16838" w:orient="portrait"/>
          <w:cols w:equalWidth="0" w:num="1">
            <w:col w:w="10840"/>
          </w:cols>
          <w:pgMar w:left="700" w:top="274" w:right="359" w:bottom="1440" w:gutter="0" w:footer="0" w:header="0"/>
        </w:sectPr>
      </w:pPr>
    </w:p>
    <w:bookmarkStart w:id="56" w:name="page57"/>
    <w:bookmarkEnd w:id="56"/>
    <w:p>
      <w:pPr>
        <w:jc w:val="right"/>
        <w:spacing w:after="0"/>
        <w:rPr>
          <w:sz w:val="20"/>
          <w:szCs w:val="20"/>
          <w:color w:val="auto"/>
        </w:rPr>
      </w:pPr>
      <w:r>
        <w:rPr>
          <w:rFonts w:ascii="Arial" w:cs="Arial" w:eastAsia="Arial" w:hAnsi="Arial"/>
          <w:sz w:val="18"/>
          <w:szCs w:val="18"/>
          <w:b w:val="1"/>
          <w:bCs w:val="1"/>
          <w:color w:val="auto"/>
        </w:rPr>
        <w:t>Exhibit 12</w:t>
      </w:r>
    </w:p>
    <w:p>
      <w:pPr>
        <w:spacing w:after="0" w:line="17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UNITED TECHNOLOGIES CORPORATION</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AND SUBSIDIARIES</w:t>
      </w:r>
    </w:p>
    <w:p>
      <w:pPr>
        <w:spacing w:after="0" w:line="15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STATEMENT RE: COMPUTATION OF RATIO OF EARNINGS TO FIXED CHARGES</w:t>
      </w:r>
    </w:p>
    <w:p>
      <w:pPr>
        <w:spacing w:after="0" w:line="201"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7040" w:type="dxa"/>
            <w:vAlign w:val="bottom"/>
          </w:tcPr>
          <w:p>
            <w:pPr>
              <w:spacing w:after="0"/>
              <w:rPr>
                <w:sz w:val="14"/>
                <w:szCs w:val="14"/>
                <w:color w:val="auto"/>
              </w:rPr>
            </w:pPr>
          </w:p>
        </w:tc>
        <w:tc>
          <w:tcPr>
            <w:tcW w:w="30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60" w:type="dxa"/>
            <w:vAlign w:val="bottom"/>
            <w:gridSpan w:val="5"/>
          </w:tcPr>
          <w:p>
            <w:pPr>
              <w:jc w:val="right"/>
              <w:ind w:right="180"/>
              <w:spacing w:after="0"/>
              <w:rPr>
                <w:sz w:val="20"/>
                <w:szCs w:val="20"/>
                <w:color w:val="auto"/>
              </w:rPr>
            </w:pPr>
            <w:r>
              <w:rPr>
                <w:rFonts w:ascii="Arial" w:cs="Arial" w:eastAsia="Arial" w:hAnsi="Arial"/>
                <w:sz w:val="14"/>
                <w:szCs w:val="14"/>
                <w:b w:val="1"/>
                <w:bCs w:val="1"/>
                <w:color w:val="auto"/>
                <w:w w:val="87"/>
              </w:rPr>
              <w:t>Six Months Ended</w:t>
            </w:r>
          </w:p>
        </w:tc>
        <w:tc>
          <w:tcPr>
            <w:tcW w:w="0" w:type="dxa"/>
            <w:vAlign w:val="bottom"/>
          </w:tcPr>
          <w:p>
            <w:pPr>
              <w:spacing w:after="0"/>
              <w:rPr>
                <w:sz w:val="1"/>
                <w:szCs w:val="1"/>
                <w:color w:val="auto"/>
              </w:rPr>
            </w:pPr>
          </w:p>
        </w:tc>
      </w:tr>
      <w:tr>
        <w:trPr>
          <w:trHeight w:val="161"/>
        </w:trPr>
        <w:tc>
          <w:tcPr>
            <w:tcW w:w="7040" w:type="dxa"/>
            <w:vAlign w:val="bottom"/>
          </w:tcPr>
          <w:p>
            <w:pPr>
              <w:spacing w:after="0"/>
              <w:rPr>
                <w:sz w:val="14"/>
                <w:szCs w:val="14"/>
                <w:color w:val="auto"/>
              </w:rPr>
            </w:pPr>
          </w:p>
        </w:tc>
        <w:tc>
          <w:tcPr>
            <w:tcW w:w="302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800" w:type="dxa"/>
            <w:vAlign w:val="bottom"/>
            <w:tcBorders>
              <w:bottom w:val="single" w:sz="8" w:color="auto"/>
            </w:tcBorders>
            <w:gridSpan w:val="3"/>
          </w:tcPr>
          <w:p>
            <w:pPr>
              <w:jc w:val="right"/>
              <w:spacing w:after="0"/>
              <w:rPr>
                <w:sz w:val="20"/>
                <w:szCs w:val="20"/>
                <w:color w:val="auto"/>
              </w:rPr>
            </w:pPr>
            <w:r>
              <w:rPr>
                <w:rFonts w:ascii="Arial" w:cs="Arial" w:eastAsia="Arial" w:hAnsi="Arial"/>
                <w:sz w:val="14"/>
                <w:szCs w:val="14"/>
                <w:b w:val="1"/>
                <w:bCs w:val="1"/>
                <w:color w:val="auto"/>
              </w:rPr>
              <w:t>June 30,</w:t>
            </w:r>
          </w:p>
        </w:tc>
        <w:tc>
          <w:tcPr>
            <w:tcW w:w="400" w:type="dxa"/>
            <w:vAlign w:val="bottom"/>
            <w:tcBorders>
              <w:bottom w:val="single" w:sz="8" w:color="auto"/>
            </w:tcBorders>
          </w:tcPr>
          <w:p>
            <w:pPr>
              <w:spacing w:after="0"/>
              <w:rPr>
                <w:sz w:val="14"/>
                <w:szCs w:val="14"/>
                <w:color w:val="auto"/>
              </w:rPr>
            </w:pP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7040" w:type="dxa"/>
            <w:vAlign w:val="bottom"/>
          </w:tcPr>
          <w:p>
            <w:pPr>
              <w:spacing w:after="0" w:line="142" w:lineRule="exact"/>
              <w:rPr>
                <w:sz w:val="20"/>
                <w:szCs w:val="20"/>
                <w:color w:val="auto"/>
              </w:rPr>
            </w:pPr>
            <w:r>
              <w:rPr>
                <w:rFonts w:ascii="Arial" w:cs="Arial" w:eastAsia="Arial" w:hAnsi="Arial"/>
                <w:sz w:val="14"/>
                <w:szCs w:val="14"/>
                <w:b w:val="1"/>
                <w:bCs w:val="1"/>
                <w:color w:val="auto"/>
              </w:rPr>
              <w:t>(in millions of dollars)</w:t>
            </w:r>
          </w:p>
        </w:tc>
        <w:tc>
          <w:tcPr>
            <w:tcW w:w="3020" w:type="dxa"/>
            <w:vAlign w:val="bottom"/>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400" w:type="dxa"/>
            <w:vAlign w:val="bottom"/>
            <w:tcBorders>
              <w:bottom w:val="single" w:sz="8" w:color="auto"/>
            </w:tcBorders>
          </w:tcPr>
          <w:p>
            <w:pPr>
              <w:jc w:val="right"/>
              <w:ind w:right="17"/>
              <w:spacing w:after="0" w:line="142" w:lineRule="exact"/>
              <w:rPr>
                <w:sz w:val="20"/>
                <w:szCs w:val="20"/>
                <w:color w:val="auto"/>
              </w:rPr>
            </w:pPr>
            <w:r>
              <w:rPr>
                <w:rFonts w:ascii="Arial" w:cs="Arial" w:eastAsia="Arial" w:hAnsi="Arial"/>
                <w:sz w:val="14"/>
                <w:szCs w:val="14"/>
                <w:b w:val="1"/>
                <w:bCs w:val="1"/>
                <w:color w:val="auto"/>
                <w:w w:val="89"/>
              </w:rPr>
              <w:t>2008</w:t>
            </w:r>
          </w:p>
        </w:tc>
        <w:tc>
          <w:tcPr>
            <w:tcW w:w="300" w:type="dxa"/>
            <w:vAlign w:val="bottom"/>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400" w:type="dxa"/>
            <w:vAlign w:val="bottom"/>
            <w:tcBorders>
              <w:bottom w:val="single" w:sz="8" w:color="auto"/>
            </w:tcBorders>
          </w:tcPr>
          <w:p>
            <w:pPr>
              <w:jc w:val="right"/>
              <w:ind w:right="34"/>
              <w:spacing w:after="0" w:line="142" w:lineRule="exact"/>
              <w:rPr>
                <w:sz w:val="20"/>
                <w:szCs w:val="20"/>
                <w:color w:val="auto"/>
              </w:rPr>
            </w:pPr>
            <w:r>
              <w:rPr>
                <w:rFonts w:ascii="Arial" w:cs="Arial" w:eastAsia="Arial" w:hAnsi="Arial"/>
                <w:sz w:val="14"/>
                <w:szCs w:val="14"/>
                <w:b w:val="1"/>
                <w:bCs w:val="1"/>
                <w:color w:val="auto"/>
                <w:w w:val="83"/>
              </w:rPr>
              <w:t>2007</w:t>
            </w: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0"/>
        </w:trPr>
        <w:tc>
          <w:tcPr>
            <w:tcW w:w="7040" w:type="dxa"/>
            <w:vAlign w:val="bottom"/>
            <w:shd w:val="clear" w:color="auto" w:fill="CCEEFF"/>
          </w:tcPr>
          <w:p>
            <w:pPr>
              <w:spacing w:after="0"/>
              <w:rPr>
                <w:sz w:val="20"/>
                <w:szCs w:val="20"/>
                <w:color w:val="auto"/>
              </w:rPr>
            </w:pPr>
            <w:r>
              <w:rPr>
                <w:rFonts w:ascii="Arial" w:cs="Arial" w:eastAsia="Arial" w:hAnsi="Arial"/>
                <w:sz w:val="18"/>
                <w:szCs w:val="18"/>
                <w:color w:val="auto"/>
              </w:rPr>
              <w:t>Fixed Charges:</w:t>
            </w:r>
          </w:p>
        </w:tc>
        <w:tc>
          <w:tcPr>
            <w:tcW w:w="30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040" w:type="dxa"/>
            <w:vAlign w:val="bottom"/>
          </w:tcPr>
          <w:p>
            <w:pPr>
              <w:ind w:left="440"/>
              <w:spacing w:after="0" w:line="217" w:lineRule="exact"/>
              <w:rPr>
                <w:sz w:val="20"/>
                <w:szCs w:val="20"/>
                <w:color w:val="auto"/>
              </w:rPr>
            </w:pPr>
            <w:r>
              <w:rPr>
                <w:rFonts w:ascii="Arial" w:cs="Arial" w:eastAsia="Arial" w:hAnsi="Arial"/>
                <w:sz w:val="18"/>
                <w:szCs w:val="18"/>
                <w:color w:val="auto"/>
              </w:rPr>
              <w:t>Interest expense</w:t>
            </w:r>
            <w:r>
              <w:rPr>
                <w:rFonts w:ascii="Arial" w:cs="Arial" w:eastAsia="Arial" w:hAnsi="Arial"/>
                <w:sz w:val="22"/>
                <w:szCs w:val="22"/>
                <w:color w:val="auto"/>
                <w:vertAlign w:val="superscript"/>
              </w:rPr>
              <w:t>1</w:t>
            </w:r>
          </w:p>
        </w:tc>
        <w:tc>
          <w:tcPr>
            <w:tcW w:w="31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700" w:type="dxa"/>
            <w:vAlign w:val="bottom"/>
            <w:gridSpan w:val="2"/>
          </w:tcPr>
          <w:p>
            <w:pPr>
              <w:jc w:val="right"/>
              <w:ind w:right="300"/>
              <w:spacing w:after="0"/>
              <w:rPr>
                <w:sz w:val="20"/>
                <w:szCs w:val="20"/>
                <w:color w:val="auto"/>
              </w:rPr>
            </w:pPr>
            <w:r>
              <w:rPr>
                <w:rFonts w:ascii="Arial" w:cs="Arial" w:eastAsia="Arial" w:hAnsi="Arial"/>
                <w:sz w:val="18"/>
                <w:szCs w:val="18"/>
                <w:color w:val="auto"/>
              </w:rPr>
              <w:t>341</w:t>
            </w: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400" w:type="dxa"/>
            <w:vAlign w:val="bottom"/>
          </w:tcPr>
          <w:p>
            <w:pPr>
              <w:jc w:val="right"/>
              <w:spacing w:after="0"/>
              <w:rPr>
                <w:sz w:val="20"/>
                <w:szCs w:val="20"/>
                <w:color w:val="auto"/>
              </w:rPr>
            </w:pPr>
            <w:r>
              <w:rPr>
                <w:rFonts w:ascii="Arial" w:cs="Arial" w:eastAsia="Arial" w:hAnsi="Arial"/>
                <w:sz w:val="18"/>
                <w:szCs w:val="18"/>
                <w:color w:val="auto"/>
              </w:rPr>
              <w:t>313</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040" w:type="dxa"/>
            <w:vAlign w:val="bottom"/>
            <w:shd w:val="clear" w:color="auto" w:fill="CCEEFF"/>
          </w:tcPr>
          <w:p>
            <w:pPr>
              <w:ind w:left="440"/>
              <w:spacing w:after="0"/>
              <w:rPr>
                <w:sz w:val="20"/>
                <w:szCs w:val="20"/>
                <w:color w:val="auto"/>
              </w:rPr>
            </w:pPr>
            <w:r>
              <w:rPr>
                <w:rFonts w:ascii="Arial" w:cs="Arial" w:eastAsia="Arial" w:hAnsi="Arial"/>
                <w:sz w:val="18"/>
                <w:szCs w:val="18"/>
                <w:color w:val="auto"/>
              </w:rPr>
              <w:t>Interest capitalized</w:t>
            </w:r>
          </w:p>
        </w:tc>
        <w:tc>
          <w:tcPr>
            <w:tcW w:w="30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10</w:t>
            </w:r>
          </w:p>
        </w:tc>
        <w:tc>
          <w:tcPr>
            <w:tcW w:w="100" w:type="dxa"/>
            <w:vAlign w:val="bottom"/>
            <w:shd w:val="clear" w:color="auto" w:fill="CCEEFF"/>
          </w:tcPr>
          <w:p>
            <w:pPr>
              <w:spacing w:after="0"/>
              <w:rPr>
                <w:sz w:val="18"/>
                <w:szCs w:val="18"/>
                <w:color w:val="auto"/>
              </w:rPr>
            </w:pPr>
          </w:p>
        </w:tc>
        <w:tc>
          <w:tcPr>
            <w:tcW w:w="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040" w:type="dxa"/>
            <w:vAlign w:val="bottom"/>
          </w:tcPr>
          <w:p>
            <w:pPr>
              <w:ind w:left="440"/>
              <w:spacing w:after="0" w:line="217" w:lineRule="exact"/>
              <w:rPr>
                <w:sz w:val="20"/>
                <w:szCs w:val="20"/>
                <w:color w:val="auto"/>
              </w:rPr>
            </w:pPr>
            <w:r>
              <w:rPr>
                <w:rFonts w:ascii="Arial" w:cs="Arial" w:eastAsia="Arial" w:hAnsi="Arial"/>
                <w:sz w:val="18"/>
                <w:szCs w:val="18"/>
                <w:color w:val="auto"/>
              </w:rPr>
              <w:t>One-third of rents</w:t>
            </w:r>
            <w:r>
              <w:rPr>
                <w:rFonts w:ascii="Arial" w:cs="Arial" w:eastAsia="Arial" w:hAnsi="Arial"/>
                <w:sz w:val="22"/>
                <w:szCs w:val="22"/>
                <w:color w:val="auto"/>
                <w:vertAlign w:val="superscript"/>
              </w:rPr>
              <w:t>2</w:t>
            </w:r>
          </w:p>
        </w:tc>
        <w:tc>
          <w:tcPr>
            <w:tcW w:w="30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00" w:type="dxa"/>
            <w:vAlign w:val="bottom"/>
            <w:gridSpan w:val="2"/>
          </w:tcPr>
          <w:p>
            <w:pPr>
              <w:jc w:val="right"/>
              <w:ind w:right="300"/>
              <w:spacing w:after="0"/>
              <w:rPr>
                <w:sz w:val="20"/>
                <w:szCs w:val="20"/>
                <w:color w:val="auto"/>
              </w:rPr>
            </w:pPr>
            <w:r>
              <w:rPr>
                <w:rFonts w:ascii="Arial" w:cs="Arial" w:eastAsia="Arial" w:hAnsi="Arial"/>
                <w:sz w:val="18"/>
                <w:szCs w:val="18"/>
                <w:color w:val="auto"/>
              </w:rPr>
              <w:t>67</w:t>
            </w:r>
          </w:p>
        </w:tc>
        <w:tc>
          <w:tcPr>
            <w:tcW w:w="100" w:type="dxa"/>
            <w:vAlign w:val="bottom"/>
          </w:tcPr>
          <w:p>
            <w:pPr>
              <w:spacing w:after="0"/>
              <w:rPr>
                <w:sz w:val="18"/>
                <w:szCs w:val="18"/>
                <w:color w:val="auto"/>
              </w:rPr>
            </w:pPr>
          </w:p>
        </w:tc>
        <w:tc>
          <w:tcPr>
            <w:tcW w:w="400" w:type="dxa"/>
            <w:vAlign w:val="bottom"/>
          </w:tcPr>
          <w:p>
            <w:pPr>
              <w:jc w:val="right"/>
              <w:spacing w:after="0"/>
              <w:rPr>
                <w:sz w:val="20"/>
                <w:szCs w:val="20"/>
                <w:color w:val="auto"/>
              </w:rPr>
            </w:pPr>
            <w:r>
              <w:rPr>
                <w:rFonts w:ascii="Arial" w:cs="Arial" w:eastAsia="Arial" w:hAnsi="Arial"/>
                <w:sz w:val="18"/>
                <w:szCs w:val="18"/>
                <w:color w:val="auto"/>
              </w:rPr>
              <w:t>54</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7"/>
        </w:trPr>
        <w:tc>
          <w:tcPr>
            <w:tcW w:w="7040" w:type="dxa"/>
            <w:vAlign w:val="bottom"/>
          </w:tcPr>
          <w:p>
            <w:pPr>
              <w:spacing w:after="0"/>
              <w:rPr>
                <w:sz w:val="2"/>
                <w:szCs w:val="2"/>
                <w:color w:val="auto"/>
              </w:rPr>
            </w:pPr>
          </w:p>
        </w:tc>
        <w:tc>
          <w:tcPr>
            <w:tcW w:w="302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400" w:type="dxa"/>
            <w:vAlign w:val="bottom"/>
            <w:shd w:val="clear" w:color="auto" w:fill="000000"/>
          </w:tcPr>
          <w:p>
            <w:pPr>
              <w:spacing w:after="0"/>
              <w:rPr>
                <w:sz w:val="2"/>
                <w:szCs w:val="2"/>
                <w:color w:val="auto"/>
              </w:rPr>
            </w:pPr>
          </w:p>
        </w:tc>
        <w:tc>
          <w:tcPr>
            <w:tcW w:w="30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400" w:type="dxa"/>
            <w:vAlign w:val="bottom"/>
            <w:shd w:val="clear" w:color="auto" w:fill="000000"/>
          </w:tcPr>
          <w:p>
            <w:pPr>
              <w:spacing w:after="0"/>
              <w:rPr>
                <w:sz w:val="2"/>
                <w:szCs w:val="2"/>
                <w:color w:val="auto"/>
              </w:rPr>
            </w:pPr>
          </w:p>
        </w:tc>
        <w:tc>
          <w:tcPr>
            <w:tcW w:w="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7040" w:type="dxa"/>
            <w:vAlign w:val="bottom"/>
            <w:shd w:val="clear" w:color="auto" w:fill="CCEEFF"/>
          </w:tcPr>
          <w:p>
            <w:pPr>
              <w:ind w:left="440"/>
              <w:spacing w:after="0"/>
              <w:rPr>
                <w:sz w:val="20"/>
                <w:szCs w:val="20"/>
                <w:color w:val="auto"/>
              </w:rPr>
            </w:pPr>
            <w:r>
              <w:rPr>
                <w:rFonts w:ascii="Arial" w:cs="Arial" w:eastAsia="Arial" w:hAnsi="Arial"/>
                <w:sz w:val="18"/>
                <w:szCs w:val="18"/>
                <w:color w:val="auto"/>
              </w:rPr>
              <w:t>Total fixed charges</w:t>
            </w:r>
          </w:p>
        </w:tc>
        <w:tc>
          <w:tcPr>
            <w:tcW w:w="302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70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418</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375</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7040" w:type="dxa"/>
            <w:vAlign w:val="bottom"/>
            <w:vMerge w:val="restart"/>
          </w:tcPr>
          <w:p>
            <w:pPr>
              <w:spacing w:after="0"/>
              <w:rPr>
                <w:sz w:val="20"/>
                <w:szCs w:val="20"/>
                <w:color w:val="auto"/>
              </w:rPr>
            </w:pPr>
            <w:r>
              <w:rPr>
                <w:rFonts w:ascii="Arial" w:cs="Arial" w:eastAsia="Arial" w:hAnsi="Arial"/>
                <w:sz w:val="18"/>
                <w:szCs w:val="18"/>
                <w:color w:val="auto"/>
              </w:rPr>
              <w:t>Earnings:</w:t>
            </w:r>
          </w:p>
        </w:tc>
        <w:tc>
          <w:tcPr>
            <w:tcW w:w="30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17"/>
        </w:trPr>
        <w:tc>
          <w:tcPr>
            <w:tcW w:w="7040" w:type="dxa"/>
            <w:vAlign w:val="bottom"/>
            <w:vMerge w:val="continue"/>
          </w:tcPr>
          <w:p>
            <w:pPr>
              <w:spacing w:after="0"/>
              <w:rPr>
                <w:sz w:val="24"/>
                <w:szCs w:val="24"/>
                <w:color w:val="auto"/>
              </w:rPr>
            </w:pPr>
          </w:p>
        </w:tc>
        <w:tc>
          <w:tcPr>
            <w:tcW w:w="30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7"/>
        </w:trPr>
        <w:tc>
          <w:tcPr>
            <w:tcW w:w="7040" w:type="dxa"/>
            <w:vAlign w:val="bottom"/>
            <w:shd w:val="clear" w:color="auto" w:fill="CCEEFF"/>
          </w:tcPr>
          <w:p>
            <w:pPr>
              <w:ind w:left="440"/>
              <w:spacing w:after="0"/>
              <w:rPr>
                <w:sz w:val="20"/>
                <w:szCs w:val="20"/>
                <w:color w:val="auto"/>
              </w:rPr>
            </w:pPr>
            <w:r>
              <w:rPr>
                <w:rFonts w:ascii="Arial" w:cs="Arial" w:eastAsia="Arial" w:hAnsi="Arial"/>
                <w:sz w:val="18"/>
                <w:szCs w:val="18"/>
                <w:color w:val="auto"/>
              </w:rPr>
              <w:t>Income before income taxes and minority interests</w:t>
            </w:r>
          </w:p>
        </w:tc>
        <w:tc>
          <w:tcPr>
            <w:tcW w:w="31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0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w w:val="84"/>
              </w:rPr>
              <w:t>3,432</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4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4"/>
              </w:rPr>
              <w:t>3,056</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040" w:type="dxa"/>
            <w:vAlign w:val="bottom"/>
          </w:tcPr>
          <w:p>
            <w:pPr>
              <w:ind w:left="440"/>
              <w:spacing w:after="0"/>
              <w:rPr>
                <w:sz w:val="20"/>
                <w:szCs w:val="20"/>
                <w:color w:val="auto"/>
              </w:rPr>
            </w:pPr>
            <w:r>
              <w:rPr>
                <w:rFonts w:ascii="Arial" w:cs="Arial" w:eastAsia="Arial" w:hAnsi="Arial"/>
                <w:sz w:val="18"/>
                <w:szCs w:val="18"/>
                <w:color w:val="auto"/>
              </w:rPr>
              <w:t>Fixed charges per above</w:t>
            </w:r>
          </w:p>
        </w:tc>
        <w:tc>
          <w:tcPr>
            <w:tcW w:w="30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00" w:type="dxa"/>
            <w:vAlign w:val="bottom"/>
            <w:gridSpan w:val="2"/>
          </w:tcPr>
          <w:p>
            <w:pPr>
              <w:jc w:val="right"/>
              <w:ind w:right="300"/>
              <w:spacing w:after="0"/>
              <w:rPr>
                <w:sz w:val="20"/>
                <w:szCs w:val="20"/>
                <w:color w:val="auto"/>
              </w:rPr>
            </w:pPr>
            <w:r>
              <w:rPr>
                <w:rFonts w:ascii="Arial" w:cs="Arial" w:eastAsia="Arial" w:hAnsi="Arial"/>
                <w:sz w:val="18"/>
                <w:szCs w:val="18"/>
                <w:color w:val="auto"/>
              </w:rPr>
              <w:t>418</w:t>
            </w:r>
          </w:p>
        </w:tc>
        <w:tc>
          <w:tcPr>
            <w:tcW w:w="100" w:type="dxa"/>
            <w:vAlign w:val="bottom"/>
          </w:tcPr>
          <w:p>
            <w:pPr>
              <w:spacing w:after="0"/>
              <w:rPr>
                <w:sz w:val="18"/>
                <w:szCs w:val="18"/>
                <w:color w:val="auto"/>
              </w:rPr>
            </w:pPr>
          </w:p>
        </w:tc>
        <w:tc>
          <w:tcPr>
            <w:tcW w:w="400" w:type="dxa"/>
            <w:vAlign w:val="bottom"/>
          </w:tcPr>
          <w:p>
            <w:pPr>
              <w:jc w:val="right"/>
              <w:spacing w:after="0"/>
              <w:rPr>
                <w:sz w:val="20"/>
                <w:szCs w:val="20"/>
                <w:color w:val="auto"/>
              </w:rPr>
            </w:pPr>
            <w:r>
              <w:rPr>
                <w:rFonts w:ascii="Arial" w:cs="Arial" w:eastAsia="Arial" w:hAnsi="Arial"/>
                <w:sz w:val="18"/>
                <w:szCs w:val="18"/>
                <w:color w:val="auto"/>
              </w:rPr>
              <w:t>375</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040" w:type="dxa"/>
            <w:vAlign w:val="bottom"/>
            <w:shd w:val="clear" w:color="auto" w:fill="CCEEFF"/>
          </w:tcPr>
          <w:p>
            <w:pPr>
              <w:ind w:left="440"/>
              <w:spacing w:after="0"/>
              <w:rPr>
                <w:sz w:val="20"/>
                <w:szCs w:val="20"/>
                <w:color w:val="auto"/>
              </w:rPr>
            </w:pPr>
            <w:r>
              <w:rPr>
                <w:rFonts w:ascii="Arial" w:cs="Arial" w:eastAsia="Arial" w:hAnsi="Arial"/>
                <w:sz w:val="18"/>
                <w:szCs w:val="18"/>
                <w:color w:val="auto"/>
              </w:rPr>
              <w:t>Less: interest capitalized</w:t>
            </w:r>
          </w:p>
        </w:tc>
        <w:tc>
          <w:tcPr>
            <w:tcW w:w="30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(10)</w:t>
            </w:r>
          </w:p>
        </w:tc>
        <w:tc>
          <w:tcPr>
            <w:tcW w:w="100" w:type="dxa"/>
            <w:vAlign w:val="bottom"/>
            <w:shd w:val="clear" w:color="auto" w:fill="CCEEFF"/>
          </w:tcPr>
          <w:p>
            <w:pPr>
              <w:spacing w:after="0"/>
              <w:rPr>
                <w:sz w:val="18"/>
                <w:szCs w:val="18"/>
                <w:color w:val="auto"/>
              </w:rPr>
            </w:pPr>
          </w:p>
        </w:tc>
        <w:tc>
          <w:tcPr>
            <w:tcW w:w="4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(8)</w:t>
            </w:r>
          </w:p>
        </w:tc>
        <w:tc>
          <w:tcPr>
            <w:tcW w:w="0" w:type="dxa"/>
            <w:vAlign w:val="bottom"/>
          </w:tcPr>
          <w:p>
            <w:pPr>
              <w:spacing w:after="0"/>
              <w:rPr>
                <w:sz w:val="1"/>
                <w:szCs w:val="1"/>
                <w:color w:val="auto"/>
              </w:rPr>
            </w:pPr>
          </w:p>
        </w:tc>
      </w:tr>
      <w:tr>
        <w:trPr>
          <w:trHeight w:val="20"/>
        </w:trPr>
        <w:tc>
          <w:tcPr>
            <w:tcW w:w="7040" w:type="dxa"/>
            <w:vAlign w:val="bottom"/>
          </w:tcPr>
          <w:p>
            <w:pPr>
              <w:spacing w:after="0" w:line="20" w:lineRule="exact"/>
              <w:rPr>
                <w:sz w:val="1"/>
                <w:szCs w:val="1"/>
                <w:color w:val="auto"/>
              </w:rPr>
            </w:pPr>
          </w:p>
        </w:tc>
        <w:tc>
          <w:tcPr>
            <w:tcW w:w="302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2"/>
        </w:trPr>
        <w:tc>
          <w:tcPr>
            <w:tcW w:w="7040" w:type="dxa"/>
            <w:vAlign w:val="bottom"/>
          </w:tcPr>
          <w:p>
            <w:pPr>
              <w:spacing w:after="0"/>
              <w:rPr>
                <w:sz w:val="19"/>
                <w:szCs w:val="19"/>
                <w:color w:val="auto"/>
              </w:rPr>
            </w:pPr>
          </w:p>
        </w:tc>
        <w:tc>
          <w:tcPr>
            <w:tcW w:w="30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700" w:type="dxa"/>
            <w:vAlign w:val="bottom"/>
            <w:gridSpan w:val="2"/>
          </w:tcPr>
          <w:p>
            <w:pPr>
              <w:jc w:val="right"/>
              <w:ind w:right="300"/>
              <w:spacing w:after="0"/>
              <w:rPr>
                <w:sz w:val="20"/>
                <w:szCs w:val="20"/>
                <w:color w:val="auto"/>
              </w:rPr>
            </w:pPr>
            <w:r>
              <w:rPr>
                <w:rFonts w:ascii="Arial" w:cs="Arial" w:eastAsia="Arial" w:hAnsi="Arial"/>
                <w:sz w:val="18"/>
                <w:szCs w:val="18"/>
                <w:color w:val="auto"/>
              </w:rPr>
              <w:t>408</w:t>
            </w:r>
          </w:p>
        </w:tc>
        <w:tc>
          <w:tcPr>
            <w:tcW w:w="100" w:type="dxa"/>
            <w:vAlign w:val="bottom"/>
          </w:tcPr>
          <w:p>
            <w:pPr>
              <w:spacing w:after="0"/>
              <w:rPr>
                <w:sz w:val="19"/>
                <w:szCs w:val="19"/>
                <w:color w:val="auto"/>
              </w:rPr>
            </w:pPr>
          </w:p>
        </w:tc>
        <w:tc>
          <w:tcPr>
            <w:tcW w:w="400" w:type="dxa"/>
            <w:vAlign w:val="bottom"/>
          </w:tcPr>
          <w:p>
            <w:pPr>
              <w:jc w:val="right"/>
              <w:spacing w:after="0"/>
              <w:rPr>
                <w:sz w:val="20"/>
                <w:szCs w:val="20"/>
                <w:color w:val="auto"/>
              </w:rPr>
            </w:pPr>
            <w:r>
              <w:rPr>
                <w:rFonts w:ascii="Arial" w:cs="Arial" w:eastAsia="Arial" w:hAnsi="Arial"/>
                <w:sz w:val="18"/>
                <w:szCs w:val="18"/>
                <w:color w:val="auto"/>
              </w:rPr>
              <w:t>367</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8"/>
        </w:trPr>
        <w:tc>
          <w:tcPr>
            <w:tcW w:w="7040" w:type="dxa"/>
            <w:vAlign w:val="bottom"/>
          </w:tcPr>
          <w:p>
            <w:pPr>
              <w:spacing w:after="0"/>
              <w:rPr>
                <w:sz w:val="2"/>
                <w:szCs w:val="2"/>
                <w:color w:val="auto"/>
              </w:rPr>
            </w:pPr>
          </w:p>
        </w:tc>
        <w:tc>
          <w:tcPr>
            <w:tcW w:w="302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400" w:type="dxa"/>
            <w:vAlign w:val="bottom"/>
            <w:shd w:val="clear" w:color="auto" w:fill="000000"/>
          </w:tcPr>
          <w:p>
            <w:pPr>
              <w:spacing w:after="0"/>
              <w:rPr>
                <w:sz w:val="2"/>
                <w:szCs w:val="2"/>
                <w:color w:val="auto"/>
              </w:rPr>
            </w:pPr>
          </w:p>
        </w:tc>
        <w:tc>
          <w:tcPr>
            <w:tcW w:w="30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400" w:type="dxa"/>
            <w:vAlign w:val="bottom"/>
            <w:shd w:val="clear" w:color="auto" w:fill="000000"/>
          </w:tcPr>
          <w:p>
            <w:pPr>
              <w:spacing w:after="0"/>
              <w:rPr>
                <w:sz w:val="2"/>
                <w:szCs w:val="2"/>
                <w:color w:val="auto"/>
              </w:rPr>
            </w:pPr>
          </w:p>
        </w:tc>
        <w:tc>
          <w:tcPr>
            <w:tcW w:w="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7040" w:type="dxa"/>
            <w:vAlign w:val="bottom"/>
            <w:shd w:val="clear" w:color="auto" w:fill="CCEEFF"/>
          </w:tcPr>
          <w:p>
            <w:pPr>
              <w:ind w:left="440"/>
              <w:spacing w:after="0"/>
              <w:rPr>
                <w:sz w:val="20"/>
                <w:szCs w:val="20"/>
                <w:color w:val="auto"/>
              </w:rPr>
            </w:pPr>
            <w:r>
              <w:rPr>
                <w:rFonts w:ascii="Arial" w:cs="Arial" w:eastAsia="Arial" w:hAnsi="Arial"/>
                <w:sz w:val="18"/>
                <w:szCs w:val="18"/>
                <w:color w:val="auto"/>
              </w:rPr>
              <w:t>Amortization of interest capitalized</w:t>
            </w:r>
          </w:p>
        </w:tc>
        <w:tc>
          <w:tcPr>
            <w:tcW w:w="30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5</w:t>
            </w:r>
          </w:p>
        </w:tc>
        <w:tc>
          <w:tcPr>
            <w:tcW w:w="100" w:type="dxa"/>
            <w:vAlign w:val="bottom"/>
            <w:shd w:val="clear" w:color="auto" w:fill="CCEEFF"/>
          </w:tcPr>
          <w:p>
            <w:pPr>
              <w:spacing w:after="0"/>
              <w:rPr>
                <w:sz w:val="18"/>
                <w:szCs w:val="18"/>
                <w:color w:val="auto"/>
              </w:rPr>
            </w:pPr>
          </w:p>
        </w:tc>
        <w:tc>
          <w:tcPr>
            <w:tcW w:w="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7040" w:type="dxa"/>
            <w:vAlign w:val="bottom"/>
            <w:vMerge w:val="restart"/>
          </w:tcPr>
          <w:p>
            <w:pPr>
              <w:ind w:left="440"/>
              <w:spacing w:after="0"/>
              <w:rPr>
                <w:sz w:val="20"/>
                <w:szCs w:val="20"/>
                <w:color w:val="auto"/>
              </w:rPr>
            </w:pPr>
            <w:r>
              <w:rPr>
                <w:rFonts w:ascii="Arial" w:cs="Arial" w:eastAsia="Arial" w:hAnsi="Arial"/>
                <w:sz w:val="18"/>
                <w:szCs w:val="18"/>
                <w:color w:val="auto"/>
              </w:rPr>
              <w:t>Total earnings</w:t>
            </w:r>
          </w:p>
        </w:tc>
        <w:tc>
          <w:tcPr>
            <w:tcW w:w="302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2"/>
        </w:trPr>
        <w:tc>
          <w:tcPr>
            <w:tcW w:w="7040" w:type="dxa"/>
            <w:vAlign w:val="bottom"/>
            <w:vMerge w:val="continue"/>
          </w:tcPr>
          <w:p>
            <w:pPr>
              <w:spacing w:after="0"/>
              <w:rPr>
                <w:sz w:val="19"/>
                <w:szCs w:val="19"/>
                <w:color w:val="auto"/>
              </w:rPr>
            </w:pPr>
          </w:p>
        </w:tc>
        <w:tc>
          <w:tcPr>
            <w:tcW w:w="3020" w:type="dxa"/>
            <w:vAlign w:val="bottom"/>
          </w:tcPr>
          <w:p>
            <w:pPr>
              <w:spacing w:after="0"/>
              <w:rPr>
                <w:sz w:val="19"/>
                <w:szCs w:val="19"/>
                <w:color w:val="auto"/>
              </w:rPr>
            </w:pPr>
          </w:p>
        </w:tc>
        <w:tc>
          <w:tcPr>
            <w:tcW w:w="100" w:type="dxa"/>
            <w:vAlign w:val="bottom"/>
          </w:tcPr>
          <w:p>
            <w:pPr>
              <w:jc w:val="right"/>
              <w:spacing w:after="0"/>
              <w:rPr>
                <w:sz w:val="20"/>
                <w:szCs w:val="20"/>
                <w:color w:val="auto"/>
              </w:rPr>
            </w:pPr>
            <w:r>
              <w:rPr>
                <w:rFonts w:ascii="Arial" w:cs="Arial" w:eastAsia="Arial" w:hAnsi="Arial"/>
                <w:sz w:val="18"/>
                <w:szCs w:val="18"/>
                <w:u w:val="single" w:color="auto"/>
                <w:color w:val="auto"/>
                <w:w w:val="79"/>
              </w:rPr>
              <w:t>$</w:t>
            </w:r>
          </w:p>
        </w:tc>
        <w:tc>
          <w:tcPr>
            <w:tcW w:w="700" w:type="dxa"/>
            <w:vAlign w:val="bottom"/>
            <w:gridSpan w:val="2"/>
          </w:tcPr>
          <w:p>
            <w:pPr>
              <w:jc w:val="right"/>
              <w:ind w:right="300"/>
              <w:spacing w:after="0"/>
              <w:rPr>
                <w:sz w:val="20"/>
                <w:szCs w:val="20"/>
                <w:color w:val="auto"/>
              </w:rPr>
            </w:pPr>
            <w:r>
              <w:rPr>
                <w:rFonts w:ascii="Arial" w:cs="Arial" w:eastAsia="Arial" w:hAnsi="Arial"/>
                <w:sz w:val="18"/>
                <w:szCs w:val="18"/>
                <w:color w:val="auto"/>
                <w:w w:val="84"/>
              </w:rPr>
              <w:t>3,845</w:t>
            </w:r>
          </w:p>
        </w:tc>
        <w:tc>
          <w:tcPr>
            <w:tcW w:w="100" w:type="dxa"/>
            <w:vAlign w:val="bottom"/>
          </w:tcPr>
          <w:p>
            <w:pPr>
              <w:jc w:val="right"/>
              <w:spacing w:after="0"/>
              <w:rPr>
                <w:sz w:val="20"/>
                <w:szCs w:val="20"/>
                <w:color w:val="auto"/>
              </w:rPr>
            </w:pPr>
            <w:r>
              <w:rPr>
                <w:rFonts w:ascii="Arial" w:cs="Arial" w:eastAsia="Arial" w:hAnsi="Arial"/>
                <w:sz w:val="15"/>
                <w:szCs w:val="15"/>
                <w:u w:val="single" w:color="auto"/>
                <w:color w:val="auto"/>
                <w:w w:val="71"/>
              </w:rPr>
              <w:t>$</w:t>
            </w:r>
          </w:p>
        </w:tc>
        <w:tc>
          <w:tcPr>
            <w:tcW w:w="400" w:type="dxa"/>
            <w:vAlign w:val="bottom"/>
          </w:tcPr>
          <w:p>
            <w:pPr>
              <w:jc w:val="right"/>
              <w:spacing w:after="0"/>
              <w:rPr>
                <w:sz w:val="20"/>
                <w:szCs w:val="20"/>
                <w:color w:val="auto"/>
              </w:rPr>
            </w:pPr>
            <w:r>
              <w:rPr>
                <w:rFonts w:ascii="Arial" w:cs="Arial" w:eastAsia="Arial" w:hAnsi="Arial"/>
                <w:sz w:val="18"/>
                <w:szCs w:val="18"/>
                <w:color w:val="auto"/>
                <w:w w:val="84"/>
              </w:rPr>
              <w:t>3,427</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7040" w:type="dxa"/>
            <w:vAlign w:val="bottom"/>
          </w:tcPr>
          <w:p>
            <w:pPr>
              <w:spacing w:after="0" w:line="20" w:lineRule="exact"/>
              <w:rPr>
                <w:sz w:val="1"/>
                <w:szCs w:val="1"/>
                <w:color w:val="auto"/>
              </w:rPr>
            </w:pPr>
          </w:p>
        </w:tc>
        <w:tc>
          <w:tcPr>
            <w:tcW w:w="30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1"/>
        </w:trPr>
        <w:tc>
          <w:tcPr>
            <w:tcW w:w="7040" w:type="dxa"/>
            <w:vAlign w:val="bottom"/>
            <w:shd w:val="clear" w:color="auto" w:fill="CCEEFF"/>
          </w:tcPr>
          <w:p>
            <w:pPr>
              <w:spacing w:after="0"/>
              <w:rPr>
                <w:sz w:val="20"/>
                <w:szCs w:val="20"/>
                <w:color w:val="auto"/>
              </w:rPr>
            </w:pPr>
            <w:r>
              <w:rPr>
                <w:rFonts w:ascii="Arial" w:cs="Arial" w:eastAsia="Arial" w:hAnsi="Arial"/>
                <w:sz w:val="18"/>
                <w:szCs w:val="18"/>
                <w:color w:val="auto"/>
              </w:rPr>
              <w:t>Ratio of earnings to fixed charges</w:t>
            </w:r>
          </w:p>
        </w:tc>
        <w:tc>
          <w:tcPr>
            <w:tcW w:w="30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9.20</w:t>
            </w:r>
          </w:p>
        </w:tc>
        <w:tc>
          <w:tcPr>
            <w:tcW w:w="100" w:type="dxa"/>
            <w:vAlign w:val="bottom"/>
            <w:shd w:val="clear" w:color="auto" w:fill="CCEEFF"/>
          </w:tcPr>
          <w:p>
            <w:pPr>
              <w:spacing w:after="0"/>
              <w:rPr>
                <w:sz w:val="18"/>
                <w:szCs w:val="18"/>
                <w:color w:val="auto"/>
              </w:rPr>
            </w:pPr>
          </w:p>
        </w:tc>
        <w:tc>
          <w:tcPr>
            <w:tcW w:w="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9.14</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7040" w:type="dxa"/>
            <w:vAlign w:val="bottom"/>
          </w:tcPr>
          <w:p>
            <w:pPr>
              <w:spacing w:after="0" w:line="20" w:lineRule="exact"/>
              <w:rPr>
                <w:sz w:val="1"/>
                <w:szCs w:val="1"/>
                <w:color w:val="auto"/>
              </w:rPr>
            </w:pPr>
          </w:p>
        </w:tc>
        <w:tc>
          <w:tcPr>
            <w:tcW w:w="30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77470</wp:posOffset>
            </wp:positionV>
            <wp:extent cx="728980" cy="8890"/>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728980" cy="8890"/>
                    </a:xfrm>
                    <a:prstGeom prst="rect">
                      <a:avLst/>
                    </a:prstGeom>
                    <a:noFill/>
                  </pic:spPr>
                </pic:pic>
              </a:graphicData>
            </a:graphic>
          </wp:anchor>
        </w:drawing>
      </w:r>
    </w:p>
    <w:p>
      <w:pPr>
        <w:sectPr>
          <w:pgSz w:w="11900" w:h="16838" w:orient="portrait"/>
          <w:cols w:equalWidth="0" w:num="1">
            <w:col w:w="11420"/>
          </w:cols>
          <w:pgMar w:left="240" w:top="125" w:right="239" w:bottom="1440" w:gutter="0" w:footer="0" w:header="0"/>
        </w:sectPr>
      </w:pPr>
    </w:p>
    <w:p>
      <w:pPr>
        <w:spacing w:after="0" w:line="160" w:lineRule="exact"/>
        <w:rPr>
          <w:sz w:val="20"/>
          <w:szCs w:val="20"/>
          <w:color w:val="auto"/>
        </w:rPr>
      </w:pPr>
    </w:p>
    <w:p>
      <w:pPr>
        <w:spacing w:after="0"/>
        <w:rPr>
          <w:sz w:val="20"/>
          <w:szCs w:val="20"/>
          <w:color w:val="auto"/>
        </w:rPr>
      </w:pPr>
      <w:r>
        <w:rPr>
          <w:rFonts w:ascii="Arial" w:cs="Arial" w:eastAsia="Arial" w:hAnsi="Arial"/>
          <w:sz w:val="10"/>
          <w:szCs w:val="10"/>
          <w:color w:val="auto"/>
        </w:rPr>
        <w:t>1</w:t>
      </w:r>
    </w:p>
    <w:p>
      <w:pPr>
        <w:spacing w:after="0" w:line="200" w:lineRule="exact"/>
        <w:rPr>
          <w:sz w:val="20"/>
          <w:szCs w:val="20"/>
          <w:color w:val="auto"/>
        </w:rPr>
      </w:pPr>
    </w:p>
    <w:p>
      <w:pPr>
        <w:spacing w:after="0" w:line="200" w:lineRule="exact"/>
        <w:rPr>
          <w:sz w:val="20"/>
          <w:szCs w:val="20"/>
          <w:color w:val="auto"/>
        </w:rPr>
      </w:pPr>
    </w:p>
    <w:p>
      <w:pPr>
        <w:spacing w:after="0" w:line="268" w:lineRule="exact"/>
        <w:rPr>
          <w:sz w:val="20"/>
          <w:szCs w:val="20"/>
          <w:color w:val="auto"/>
        </w:rPr>
      </w:pPr>
    </w:p>
    <w:p>
      <w:pPr>
        <w:spacing w:after="0"/>
        <w:rPr>
          <w:sz w:val="20"/>
          <w:szCs w:val="20"/>
          <w:color w:val="auto"/>
        </w:rPr>
      </w:pPr>
      <w:r>
        <w:rPr>
          <w:rFonts w:ascii="Arial" w:cs="Arial" w:eastAsia="Arial" w:hAnsi="Arial"/>
          <w:sz w:val="10"/>
          <w:szCs w:val="10"/>
          <w:color w:val="auto"/>
        </w:rPr>
        <w:t>2</w:t>
      </w:r>
    </w:p>
    <w:p>
      <w:pPr>
        <w:spacing w:after="0" w:line="20" w:lineRule="exact"/>
        <w:rPr>
          <w:sz w:val="20"/>
          <w:szCs w:val="20"/>
          <w:color w:val="auto"/>
        </w:rPr>
      </w:pPr>
      <w:r>
        <w:rPr>
          <w:sz w:val="20"/>
          <w:szCs w:val="20"/>
          <w:color w:val="auto"/>
        </w:rPr>
        <w:br w:type="column"/>
      </w:r>
    </w:p>
    <w:p>
      <w:pPr>
        <w:spacing w:after="0" w:line="107" w:lineRule="exact"/>
        <w:rPr>
          <w:sz w:val="20"/>
          <w:szCs w:val="20"/>
          <w:color w:val="auto"/>
        </w:rPr>
      </w:pPr>
    </w:p>
    <w:p>
      <w:pPr>
        <w:ind w:right="60"/>
        <w:spacing w:after="0" w:line="231" w:lineRule="auto"/>
        <w:rPr>
          <w:sz w:val="20"/>
          <w:szCs w:val="20"/>
          <w:color w:val="auto"/>
        </w:rPr>
      </w:pPr>
      <w:r>
        <w:rPr>
          <w:rFonts w:ascii="Arial" w:cs="Arial" w:eastAsia="Arial" w:hAnsi="Arial"/>
          <w:sz w:val="18"/>
          <w:szCs w:val="18"/>
          <w:color w:val="auto"/>
        </w:rPr>
        <w:t>Effective January 1, 2007, we adopted the provisions of Financial Accounting Standards Board Interpretation No. 48, “Accounting for Uncertainty in Income Taxes.” Interest related to unrecognized tax benefits was approximately $11 million for the six months ended June 30, 2008 and 2007, respectively. The ratio of earnings to fixed charges would have been 9.45 and 9.41 for the six months ended June 30, 2008 and 2007, respectively, if such interest were excluded from the calculation.</w:t>
      </w:r>
    </w:p>
    <w:p>
      <w:pPr>
        <w:spacing w:after="0"/>
        <w:rPr>
          <w:sz w:val="20"/>
          <w:szCs w:val="20"/>
          <w:color w:val="auto"/>
        </w:rPr>
      </w:pPr>
      <w:r>
        <w:rPr>
          <w:rFonts w:ascii="Arial" w:cs="Arial" w:eastAsia="Arial" w:hAnsi="Arial"/>
          <w:sz w:val="18"/>
          <w:szCs w:val="18"/>
          <w:color w:val="auto"/>
        </w:rPr>
        <w:t>Reasonable approximation of the interest factor.</w:t>
      </w:r>
    </w:p>
    <w:p>
      <w:pPr>
        <w:sectPr>
          <w:pgSz w:w="11900" w:h="16838" w:orient="portrait"/>
          <w:cols w:equalWidth="0" w:num="2">
            <w:col w:w="60" w:space="400"/>
            <w:col w:w="10960"/>
          </w:cols>
          <w:pgMar w:left="240" w:top="125" w:right="239" w:bottom="1440" w:gutter="0" w:footer="0" w:header="0"/>
          <w:type w:val="continuous"/>
        </w:sectPr>
      </w:pPr>
    </w:p>
    <w:bookmarkStart w:id="57" w:name="page58"/>
    <w:bookmarkEnd w:id="57"/>
    <w:p>
      <w:pPr>
        <w:jc w:val="right"/>
        <w:spacing w:after="0"/>
        <w:rPr>
          <w:sz w:val="20"/>
          <w:szCs w:val="20"/>
          <w:color w:val="auto"/>
        </w:rPr>
      </w:pPr>
      <w:r>
        <w:rPr>
          <w:rFonts w:ascii="Arial" w:cs="Arial" w:eastAsia="Arial" w:hAnsi="Arial"/>
          <w:sz w:val="18"/>
          <w:szCs w:val="18"/>
          <w:b w:val="1"/>
          <w:bCs w:val="1"/>
          <w:color w:val="auto"/>
        </w:rPr>
        <w:t>Exhibit 15</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color w:val="auto"/>
        </w:rPr>
        <w:t>July 22, 2008</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color w:val="auto"/>
        </w:rPr>
        <w:t>Securities and Exchange Commission</w:t>
      </w:r>
    </w:p>
    <w:p>
      <w:pPr>
        <w:spacing w:after="0" w:line="15" w:lineRule="exact"/>
        <w:rPr>
          <w:sz w:val="20"/>
          <w:szCs w:val="20"/>
          <w:color w:val="auto"/>
        </w:rPr>
      </w:pPr>
    </w:p>
    <w:p>
      <w:pPr>
        <w:spacing w:after="0"/>
        <w:rPr>
          <w:sz w:val="20"/>
          <w:szCs w:val="20"/>
          <w:color w:val="auto"/>
        </w:rPr>
      </w:pPr>
      <w:r>
        <w:rPr>
          <w:rFonts w:ascii="Arial" w:cs="Arial" w:eastAsia="Arial" w:hAnsi="Arial"/>
          <w:sz w:val="18"/>
          <w:szCs w:val="18"/>
          <w:color w:val="auto"/>
        </w:rPr>
        <w:t>100 F Street, N.E.</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Washington, DC 20549</w:t>
      </w:r>
    </w:p>
    <w:p>
      <w:pPr>
        <w:spacing w:after="0" w:line="165" w:lineRule="exact"/>
        <w:rPr>
          <w:sz w:val="20"/>
          <w:szCs w:val="20"/>
          <w:color w:val="auto"/>
        </w:rPr>
      </w:pPr>
    </w:p>
    <w:p>
      <w:pPr>
        <w:spacing w:after="0"/>
        <w:rPr>
          <w:sz w:val="20"/>
          <w:szCs w:val="20"/>
          <w:color w:val="auto"/>
        </w:rPr>
      </w:pPr>
      <w:r>
        <w:rPr>
          <w:rFonts w:ascii="Arial" w:cs="Arial" w:eastAsia="Arial" w:hAnsi="Arial"/>
          <w:sz w:val="18"/>
          <w:szCs w:val="18"/>
          <w:color w:val="auto"/>
        </w:rPr>
        <w:t>Commissioners:</w:t>
      </w:r>
    </w:p>
    <w:p>
      <w:pPr>
        <w:spacing w:after="0" w:line="90" w:lineRule="exact"/>
        <w:rPr>
          <w:sz w:val="20"/>
          <w:szCs w:val="20"/>
          <w:color w:val="auto"/>
        </w:rPr>
      </w:pPr>
    </w:p>
    <w:p>
      <w:pPr>
        <w:ind w:right="20"/>
        <w:spacing w:after="0" w:line="254" w:lineRule="auto"/>
        <w:rPr>
          <w:sz w:val="20"/>
          <w:szCs w:val="20"/>
          <w:color w:val="auto"/>
        </w:rPr>
      </w:pPr>
      <w:r>
        <w:rPr>
          <w:rFonts w:ascii="Arial" w:cs="Arial" w:eastAsia="Arial" w:hAnsi="Arial"/>
          <w:sz w:val="18"/>
          <w:szCs w:val="18"/>
          <w:color w:val="auto"/>
        </w:rPr>
        <w:t>We are aware that our report dated July 22, 2008 on our review of interim financial information of United Technologies Corporation (the “Corporation”) for the three and six-month periods ended June 30, 2008 and 2007 and included in the Corporation’s quarterly report on Form 10-Q for the quarter ended June 30, 2008 is incorporated by reference in its Registration Statement on Form S-3 (No. 333-144830), in the Registration Statement on Form S-4 (No. 333-77991) as amended by Post-Effective Amendment No. 1 on Form S-8 (No. 333-77991) and in the Registration Statements on Form S-8 (Nos. 333-150643, 333-150640, 333-150639, 333-125478, 333-125476, 333-125293, 333-110020, 333-100724, 333-100723, 333-100718, 333-82911, 333-77817, 333-21853, 333-21851, 033-58937, 033-57769 and 033-51385).</w:t>
      </w:r>
    </w:p>
    <w:p>
      <w:pPr>
        <w:spacing w:after="0" w:line="185" w:lineRule="exact"/>
        <w:rPr>
          <w:sz w:val="20"/>
          <w:szCs w:val="20"/>
          <w:color w:val="auto"/>
        </w:rPr>
      </w:pPr>
    </w:p>
    <w:p>
      <w:pPr>
        <w:spacing w:after="0"/>
        <w:rPr>
          <w:sz w:val="20"/>
          <w:szCs w:val="20"/>
          <w:color w:val="auto"/>
        </w:rPr>
      </w:pPr>
      <w:r>
        <w:rPr>
          <w:rFonts w:ascii="Arial" w:cs="Arial" w:eastAsia="Arial" w:hAnsi="Arial"/>
          <w:sz w:val="18"/>
          <w:szCs w:val="18"/>
          <w:color w:val="auto"/>
        </w:rPr>
        <w:t>Very truly yours,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/s/ PricewaterhouseCoopers LLP</w:t>
      </w:r>
    </w:p>
    <w:p>
      <w:pPr>
        <w:spacing w:after="0" w:line="15" w:lineRule="exact"/>
        <w:rPr>
          <w:sz w:val="20"/>
          <w:szCs w:val="20"/>
          <w:color w:val="auto"/>
        </w:rPr>
      </w:pPr>
    </w:p>
    <w:p>
      <w:pPr>
        <w:spacing w:after="0"/>
        <w:rPr>
          <w:sz w:val="20"/>
          <w:szCs w:val="20"/>
          <w:color w:val="auto"/>
        </w:rPr>
      </w:pPr>
      <w:r>
        <w:rPr>
          <w:rFonts w:ascii="Arial" w:cs="Arial" w:eastAsia="Arial" w:hAnsi="Arial"/>
          <w:sz w:val="18"/>
          <w:szCs w:val="18"/>
          <w:color w:val="auto"/>
        </w:rPr>
        <w:t>PricewaterhouseCoopers LLP</w:t>
      </w:r>
    </w:p>
    <w:p>
      <w:pPr>
        <w:sectPr>
          <w:pgSz w:w="11900" w:h="16838" w:orient="portrait"/>
          <w:cols w:equalWidth="0" w:num="1">
            <w:col w:w="11420"/>
          </w:cols>
          <w:pgMar w:left="240" w:top="125" w:right="239" w:bottom="1440" w:gutter="0" w:footer="0" w:header="0"/>
        </w:sectPr>
      </w:pPr>
    </w:p>
    <w:bookmarkStart w:id="58" w:name="page59"/>
    <w:bookmarkEnd w:id="58"/>
    <w:p>
      <w:pPr>
        <w:jc w:val="right"/>
        <w:spacing w:after="0"/>
        <w:rPr>
          <w:sz w:val="20"/>
          <w:szCs w:val="20"/>
          <w:color w:val="auto"/>
        </w:rPr>
      </w:pPr>
      <w:r>
        <w:rPr>
          <w:rFonts w:ascii="Arial" w:cs="Arial" w:eastAsia="Arial" w:hAnsi="Arial"/>
          <w:sz w:val="18"/>
          <w:szCs w:val="18"/>
          <w:b w:val="1"/>
          <w:bCs w:val="1"/>
          <w:color w:val="auto"/>
        </w:rPr>
        <w:t>Exhibit 31.1</w:t>
      </w:r>
    </w:p>
    <w:p>
      <w:pPr>
        <w:spacing w:after="0" w:line="17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CERTIFICATION</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color w:val="auto"/>
        </w:rPr>
        <w:t>I, Louis Chênevert, certify that:</w:t>
      </w:r>
    </w:p>
    <w:p>
      <w:pPr>
        <w:spacing w:after="0" w:line="90" w:lineRule="exact"/>
        <w:rPr>
          <w:sz w:val="20"/>
          <w:szCs w:val="20"/>
          <w:color w:val="auto"/>
        </w:rPr>
      </w:pPr>
    </w:p>
    <w:p>
      <w:pPr>
        <w:ind w:left="460" w:hanging="452"/>
        <w:spacing w:after="0"/>
        <w:tabs>
          <w:tab w:leader="none" w:pos="460" w:val="left"/>
        </w:tabs>
        <w:numPr>
          <w:ilvl w:val="0"/>
          <w:numId w:val="21"/>
        </w:numPr>
        <w:rPr>
          <w:rFonts w:ascii="Arial" w:cs="Arial" w:eastAsia="Arial" w:hAnsi="Arial"/>
          <w:sz w:val="18"/>
          <w:szCs w:val="18"/>
          <w:color w:val="auto"/>
        </w:rPr>
      </w:pPr>
      <w:r>
        <w:rPr>
          <w:rFonts w:ascii="Arial" w:cs="Arial" w:eastAsia="Arial" w:hAnsi="Arial"/>
          <w:sz w:val="18"/>
          <w:szCs w:val="18"/>
          <w:color w:val="auto"/>
        </w:rPr>
        <w:t>I have reviewed this quarterly report on Form 10-Q of United Technologies Corporation;</w:t>
      </w:r>
    </w:p>
    <w:p>
      <w:pPr>
        <w:spacing w:after="0" w:line="90" w:lineRule="exact"/>
        <w:rPr>
          <w:rFonts w:ascii="Arial" w:cs="Arial" w:eastAsia="Arial" w:hAnsi="Arial"/>
          <w:sz w:val="18"/>
          <w:szCs w:val="18"/>
          <w:color w:val="auto"/>
        </w:rPr>
      </w:pPr>
    </w:p>
    <w:p>
      <w:pPr>
        <w:ind w:left="460" w:right="260" w:hanging="452"/>
        <w:spacing w:after="0" w:line="357" w:lineRule="auto"/>
        <w:tabs>
          <w:tab w:leader="none" w:pos="460" w:val="left"/>
        </w:tabs>
        <w:numPr>
          <w:ilvl w:val="0"/>
          <w:numId w:val="21"/>
        </w:numPr>
        <w:rPr>
          <w:rFonts w:ascii="Arial" w:cs="Arial" w:eastAsia="Arial" w:hAnsi="Arial"/>
          <w:sz w:val="15"/>
          <w:szCs w:val="15"/>
          <w:color w:val="auto"/>
        </w:rPr>
      </w:pPr>
      <w:r>
        <w:rPr>
          <w:rFonts w:ascii="Arial" w:cs="Arial" w:eastAsia="Arial" w:hAnsi="Arial"/>
          <w:sz w:val="15"/>
          <w:szCs w:val="15"/>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ind w:left="460" w:right="60" w:hanging="452"/>
        <w:spacing w:after="0" w:line="268" w:lineRule="auto"/>
        <w:tabs>
          <w:tab w:leader="none" w:pos="460" w:val="left"/>
        </w:tabs>
        <w:numPr>
          <w:ilvl w:val="0"/>
          <w:numId w:val="21"/>
        </w:numPr>
        <w:rPr>
          <w:rFonts w:ascii="Arial" w:cs="Arial" w:eastAsia="Arial" w:hAnsi="Arial"/>
          <w:sz w:val="18"/>
          <w:szCs w:val="18"/>
          <w:color w:val="auto"/>
        </w:rPr>
      </w:pPr>
      <w:r>
        <w:rPr>
          <w:rFonts w:ascii="Arial" w:cs="Arial" w:eastAsia="Arial" w:hAnsi="Arial"/>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50" w:lineRule="exact"/>
        <w:rPr>
          <w:rFonts w:ascii="Arial" w:cs="Arial" w:eastAsia="Arial" w:hAnsi="Arial"/>
          <w:sz w:val="18"/>
          <w:szCs w:val="18"/>
          <w:color w:val="auto"/>
        </w:rPr>
      </w:pPr>
    </w:p>
    <w:p>
      <w:pPr>
        <w:ind w:left="460" w:right="20" w:hanging="452"/>
        <w:spacing w:after="0" w:line="259" w:lineRule="auto"/>
        <w:tabs>
          <w:tab w:leader="none" w:pos="460" w:val="left"/>
        </w:tabs>
        <w:numPr>
          <w:ilvl w:val="0"/>
          <w:numId w:val="21"/>
        </w:numPr>
        <w:rPr>
          <w:rFonts w:ascii="Arial" w:cs="Arial" w:eastAsia="Arial" w:hAnsi="Arial"/>
          <w:sz w:val="18"/>
          <w:szCs w:val="18"/>
          <w:color w:val="auto"/>
        </w:rPr>
      </w:pPr>
      <w:r>
        <w:rPr>
          <w:rFonts w:ascii="Arial" w:cs="Arial" w:eastAsia="Arial" w:hAnsi="Arial"/>
          <w:sz w:val="18"/>
          <w:szCs w:val="18"/>
          <w:color w:val="auto"/>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59" w:lineRule="exact"/>
        <w:rPr>
          <w:rFonts w:ascii="Arial" w:cs="Arial" w:eastAsia="Arial" w:hAnsi="Arial"/>
          <w:sz w:val="18"/>
          <w:szCs w:val="18"/>
          <w:color w:val="auto"/>
        </w:rPr>
      </w:pPr>
    </w:p>
    <w:p>
      <w:pPr>
        <w:ind w:left="1480" w:right="160" w:hanging="567"/>
        <w:spacing w:after="0" w:line="259" w:lineRule="auto"/>
        <w:tabs>
          <w:tab w:leader="none" w:pos="1480" w:val="left"/>
        </w:tabs>
        <w:numPr>
          <w:ilvl w:val="1"/>
          <w:numId w:val="21"/>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59" w:lineRule="exact"/>
        <w:rPr>
          <w:rFonts w:ascii="Arial" w:cs="Arial" w:eastAsia="Arial" w:hAnsi="Arial"/>
          <w:sz w:val="18"/>
          <w:szCs w:val="18"/>
          <w:color w:val="auto"/>
        </w:rPr>
      </w:pPr>
    </w:p>
    <w:p>
      <w:pPr>
        <w:ind w:left="1480" w:right="280" w:hanging="567"/>
        <w:spacing w:after="0" w:line="259" w:lineRule="auto"/>
        <w:tabs>
          <w:tab w:leader="none" w:pos="1480" w:val="left"/>
        </w:tabs>
        <w:numPr>
          <w:ilvl w:val="1"/>
          <w:numId w:val="21"/>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59" w:lineRule="exact"/>
        <w:rPr>
          <w:rFonts w:ascii="Arial" w:cs="Arial" w:eastAsia="Arial" w:hAnsi="Arial"/>
          <w:sz w:val="18"/>
          <w:szCs w:val="18"/>
          <w:color w:val="auto"/>
        </w:rPr>
      </w:pPr>
    </w:p>
    <w:p>
      <w:pPr>
        <w:jc w:val="both"/>
        <w:ind w:left="1480" w:right="440" w:hanging="567"/>
        <w:spacing w:after="0" w:line="357" w:lineRule="auto"/>
        <w:tabs>
          <w:tab w:leader="none" w:pos="1480" w:val="left"/>
        </w:tabs>
        <w:numPr>
          <w:ilvl w:val="1"/>
          <w:numId w:val="21"/>
        </w:numPr>
        <w:rPr>
          <w:rFonts w:ascii="Arial" w:cs="Arial" w:eastAsia="Arial" w:hAnsi="Arial"/>
          <w:sz w:val="15"/>
          <w:szCs w:val="15"/>
          <w:color w:val="auto"/>
        </w:rPr>
      </w:pPr>
      <w:r>
        <w:rPr>
          <w:rFonts w:ascii="Arial" w:cs="Arial" w:eastAsia="Arial" w:hAnsi="Arial"/>
          <w:sz w:val="15"/>
          <w:szCs w:val="15"/>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ind w:left="1480" w:right="160" w:hanging="567"/>
        <w:spacing w:after="0" w:line="259" w:lineRule="auto"/>
        <w:tabs>
          <w:tab w:leader="none" w:pos="1480" w:val="left"/>
        </w:tabs>
        <w:numPr>
          <w:ilvl w:val="1"/>
          <w:numId w:val="21"/>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59" w:lineRule="exact"/>
        <w:rPr>
          <w:rFonts w:ascii="Arial" w:cs="Arial" w:eastAsia="Arial" w:hAnsi="Arial"/>
          <w:sz w:val="18"/>
          <w:szCs w:val="18"/>
          <w:color w:val="auto"/>
        </w:rPr>
      </w:pPr>
    </w:p>
    <w:p>
      <w:pPr>
        <w:ind w:left="460" w:right="460" w:hanging="452"/>
        <w:spacing w:after="0" w:line="332" w:lineRule="auto"/>
        <w:tabs>
          <w:tab w:leader="none" w:pos="460" w:val="left"/>
        </w:tabs>
        <w:numPr>
          <w:ilvl w:val="0"/>
          <w:numId w:val="21"/>
        </w:numPr>
        <w:rPr>
          <w:rFonts w:ascii="Arial" w:cs="Arial" w:eastAsia="Arial" w:hAnsi="Arial"/>
          <w:sz w:val="16"/>
          <w:szCs w:val="16"/>
          <w:color w:val="auto"/>
        </w:rPr>
      </w:pPr>
      <w:r>
        <w:rPr>
          <w:rFonts w:ascii="Arial" w:cs="Arial" w:eastAsia="Arial" w:hAnsi="Arial"/>
          <w:sz w:val="16"/>
          <w:szCs w:val="16"/>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4" w:lineRule="exact"/>
        <w:rPr>
          <w:rFonts w:ascii="Arial" w:cs="Arial" w:eastAsia="Arial" w:hAnsi="Arial"/>
          <w:sz w:val="16"/>
          <w:szCs w:val="16"/>
          <w:color w:val="auto"/>
        </w:rPr>
      </w:pPr>
    </w:p>
    <w:p>
      <w:pPr>
        <w:ind w:left="1480" w:right="680" w:hanging="567"/>
        <w:spacing w:after="0" w:line="332" w:lineRule="auto"/>
        <w:tabs>
          <w:tab w:leader="none" w:pos="1480" w:val="left"/>
        </w:tabs>
        <w:numPr>
          <w:ilvl w:val="1"/>
          <w:numId w:val="21"/>
        </w:numPr>
        <w:rPr>
          <w:rFonts w:ascii="Arial" w:cs="Arial" w:eastAsia="Arial" w:hAnsi="Arial"/>
          <w:sz w:val="16"/>
          <w:szCs w:val="16"/>
          <w:color w:val="auto"/>
        </w:rPr>
      </w:pPr>
      <w:r>
        <w:rPr>
          <w:rFonts w:ascii="Arial" w:cs="Arial" w:eastAsia="Arial" w:hAnsi="Arial"/>
          <w:sz w:val="16"/>
          <w:szCs w:val="16"/>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4" w:lineRule="exact"/>
        <w:rPr>
          <w:rFonts w:ascii="Arial" w:cs="Arial" w:eastAsia="Arial" w:hAnsi="Arial"/>
          <w:sz w:val="16"/>
          <w:szCs w:val="16"/>
          <w:color w:val="auto"/>
        </w:rPr>
      </w:pPr>
    </w:p>
    <w:p>
      <w:pPr>
        <w:ind w:left="1480" w:right="380" w:hanging="567"/>
        <w:spacing w:after="0" w:line="268" w:lineRule="auto"/>
        <w:tabs>
          <w:tab w:leader="none" w:pos="1480" w:val="left"/>
        </w:tabs>
        <w:numPr>
          <w:ilvl w:val="1"/>
          <w:numId w:val="21"/>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172" w:lineRule="exact"/>
        <w:rPr>
          <w:sz w:val="20"/>
          <w:szCs w:val="20"/>
          <w:color w:val="auto"/>
        </w:rPr>
      </w:pPr>
    </w:p>
    <w:tbl>
      <w:tblPr>
        <w:tblLayout w:type="fixed"/>
        <w:tblInd w:w="0" w:type="dxa"/>
        <w:tblCellMar>
          <w:top w:w="0" w:type="dxa"/>
          <w:left w:w="0" w:type="dxa"/>
          <w:bottom w:w="0" w:type="dxa"/>
          <w:right w:w="0" w:type="dxa"/>
        </w:tblCellMar>
      </w:tblPr>
      <w:tr>
        <w:trPr>
          <w:trHeight w:val="222"/>
        </w:trPr>
        <w:tc>
          <w:tcPr>
            <w:tcW w:w="5820" w:type="dxa"/>
            <w:vAlign w:val="bottom"/>
          </w:tcPr>
          <w:p>
            <w:pPr>
              <w:spacing w:after="0"/>
              <w:rPr>
                <w:sz w:val="19"/>
                <w:szCs w:val="19"/>
                <w:color w:val="auto"/>
              </w:rPr>
            </w:pPr>
          </w:p>
        </w:tc>
        <w:tc>
          <w:tcPr>
            <w:tcW w:w="560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Louis R. Chênevert</w:t>
            </w:r>
          </w:p>
        </w:tc>
      </w:tr>
      <w:tr>
        <w:trPr>
          <w:trHeight w:val="217"/>
        </w:trPr>
        <w:tc>
          <w:tcPr>
            <w:tcW w:w="5820" w:type="dxa"/>
            <w:vAlign w:val="bottom"/>
          </w:tcPr>
          <w:p>
            <w:pPr>
              <w:spacing w:after="0"/>
              <w:rPr>
                <w:sz w:val="20"/>
                <w:szCs w:val="20"/>
                <w:color w:val="auto"/>
              </w:rPr>
            </w:pPr>
            <w:r>
              <w:rPr>
                <w:rFonts w:ascii="Arial" w:cs="Arial" w:eastAsia="Arial" w:hAnsi="Arial"/>
                <w:sz w:val="18"/>
                <w:szCs w:val="18"/>
                <w:color w:val="auto"/>
              </w:rPr>
              <w:t>Date: July 22, 2008</w:t>
            </w:r>
          </w:p>
        </w:tc>
        <w:tc>
          <w:tcPr>
            <w:tcW w:w="5600" w:type="dxa"/>
            <w:vAlign w:val="bottom"/>
          </w:tcPr>
          <w:p>
            <w:pPr>
              <w:spacing w:after="0"/>
              <w:rPr>
                <w:sz w:val="20"/>
                <w:szCs w:val="20"/>
                <w:color w:val="auto"/>
              </w:rPr>
            </w:pPr>
            <w:r>
              <w:rPr>
                <w:rFonts w:ascii="Arial" w:cs="Arial" w:eastAsia="Arial" w:hAnsi="Arial"/>
                <w:sz w:val="18"/>
                <w:szCs w:val="18"/>
                <w:color w:val="auto"/>
              </w:rPr>
              <w:t>Louis R. Chênevert</w:t>
            </w:r>
          </w:p>
        </w:tc>
      </w:tr>
      <w:tr>
        <w:trPr>
          <w:trHeight w:val="222"/>
        </w:trPr>
        <w:tc>
          <w:tcPr>
            <w:tcW w:w="5820" w:type="dxa"/>
            <w:vAlign w:val="bottom"/>
          </w:tcPr>
          <w:p>
            <w:pPr>
              <w:spacing w:after="0"/>
              <w:rPr>
                <w:sz w:val="19"/>
                <w:szCs w:val="19"/>
                <w:color w:val="auto"/>
              </w:rPr>
            </w:pPr>
          </w:p>
        </w:tc>
        <w:tc>
          <w:tcPr>
            <w:tcW w:w="5600" w:type="dxa"/>
            <w:vAlign w:val="bottom"/>
          </w:tcPr>
          <w:p>
            <w:pPr>
              <w:spacing w:after="0"/>
              <w:rPr>
                <w:sz w:val="20"/>
                <w:szCs w:val="20"/>
                <w:color w:val="auto"/>
              </w:rPr>
            </w:pPr>
            <w:r>
              <w:rPr>
                <w:rFonts w:ascii="Arial" w:cs="Arial" w:eastAsia="Arial" w:hAnsi="Arial"/>
                <w:sz w:val="18"/>
                <w:szCs w:val="18"/>
                <w:color w:val="auto"/>
              </w:rPr>
              <w:t>President and Chief Executive Officer</w:t>
            </w:r>
          </w:p>
        </w:tc>
      </w:tr>
    </w:tbl>
    <w:p>
      <w:pPr>
        <w:sectPr>
          <w:pgSz w:w="11900" w:h="16838" w:orient="portrait"/>
          <w:cols w:equalWidth="0" w:num="1">
            <w:col w:w="11420"/>
          </w:cols>
          <w:pgMar w:left="240" w:top="125" w:right="239" w:bottom="1440" w:gutter="0" w:footer="0" w:header="0"/>
        </w:sectPr>
      </w:pPr>
    </w:p>
    <w:bookmarkStart w:id="59" w:name="page60"/>
    <w:bookmarkEnd w:id="59"/>
    <w:p>
      <w:pPr>
        <w:jc w:val="right"/>
        <w:spacing w:after="0"/>
        <w:rPr>
          <w:sz w:val="20"/>
          <w:szCs w:val="20"/>
          <w:color w:val="auto"/>
        </w:rPr>
      </w:pPr>
      <w:r>
        <w:rPr>
          <w:rFonts w:ascii="Arial" w:cs="Arial" w:eastAsia="Arial" w:hAnsi="Arial"/>
          <w:sz w:val="18"/>
          <w:szCs w:val="18"/>
          <w:b w:val="1"/>
          <w:bCs w:val="1"/>
          <w:color w:val="auto"/>
        </w:rPr>
        <w:t>Exhibit 31.2</w:t>
      </w:r>
    </w:p>
    <w:p>
      <w:pPr>
        <w:spacing w:after="0" w:line="17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CERTIFICATION</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color w:val="auto"/>
        </w:rPr>
        <w:t>I, James E. Geisler, certify that:</w:t>
      </w:r>
    </w:p>
    <w:p>
      <w:pPr>
        <w:spacing w:after="0" w:line="90" w:lineRule="exact"/>
        <w:rPr>
          <w:sz w:val="20"/>
          <w:szCs w:val="20"/>
          <w:color w:val="auto"/>
        </w:rPr>
      </w:pPr>
    </w:p>
    <w:p>
      <w:pPr>
        <w:ind w:left="460" w:hanging="452"/>
        <w:spacing w:after="0"/>
        <w:tabs>
          <w:tab w:leader="none" w:pos="460" w:val="left"/>
        </w:tabs>
        <w:numPr>
          <w:ilvl w:val="0"/>
          <w:numId w:val="22"/>
        </w:numPr>
        <w:rPr>
          <w:rFonts w:ascii="Arial" w:cs="Arial" w:eastAsia="Arial" w:hAnsi="Arial"/>
          <w:sz w:val="18"/>
          <w:szCs w:val="18"/>
          <w:color w:val="auto"/>
        </w:rPr>
      </w:pPr>
      <w:r>
        <w:rPr>
          <w:rFonts w:ascii="Arial" w:cs="Arial" w:eastAsia="Arial" w:hAnsi="Arial"/>
          <w:sz w:val="18"/>
          <w:szCs w:val="18"/>
          <w:color w:val="auto"/>
        </w:rPr>
        <w:t>I have reviewed this quarterly report on Form 10-Q of United Technologies Corporation;</w:t>
      </w:r>
    </w:p>
    <w:p>
      <w:pPr>
        <w:spacing w:after="0" w:line="90" w:lineRule="exact"/>
        <w:rPr>
          <w:rFonts w:ascii="Arial" w:cs="Arial" w:eastAsia="Arial" w:hAnsi="Arial"/>
          <w:sz w:val="18"/>
          <w:szCs w:val="18"/>
          <w:color w:val="auto"/>
        </w:rPr>
      </w:pPr>
    </w:p>
    <w:p>
      <w:pPr>
        <w:ind w:left="460" w:right="260" w:hanging="452"/>
        <w:spacing w:after="0" w:line="357" w:lineRule="auto"/>
        <w:tabs>
          <w:tab w:leader="none" w:pos="460" w:val="left"/>
        </w:tabs>
        <w:numPr>
          <w:ilvl w:val="0"/>
          <w:numId w:val="22"/>
        </w:numPr>
        <w:rPr>
          <w:rFonts w:ascii="Arial" w:cs="Arial" w:eastAsia="Arial" w:hAnsi="Arial"/>
          <w:sz w:val="15"/>
          <w:szCs w:val="15"/>
          <w:color w:val="auto"/>
        </w:rPr>
      </w:pPr>
      <w:r>
        <w:rPr>
          <w:rFonts w:ascii="Arial" w:cs="Arial" w:eastAsia="Arial" w:hAnsi="Arial"/>
          <w:sz w:val="15"/>
          <w:szCs w:val="15"/>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ind w:left="460" w:right="60" w:hanging="452"/>
        <w:spacing w:after="0" w:line="268" w:lineRule="auto"/>
        <w:tabs>
          <w:tab w:leader="none" w:pos="460" w:val="left"/>
        </w:tabs>
        <w:numPr>
          <w:ilvl w:val="0"/>
          <w:numId w:val="22"/>
        </w:numPr>
        <w:rPr>
          <w:rFonts w:ascii="Arial" w:cs="Arial" w:eastAsia="Arial" w:hAnsi="Arial"/>
          <w:sz w:val="18"/>
          <w:szCs w:val="18"/>
          <w:color w:val="auto"/>
        </w:rPr>
      </w:pPr>
      <w:r>
        <w:rPr>
          <w:rFonts w:ascii="Arial" w:cs="Arial" w:eastAsia="Arial" w:hAnsi="Arial"/>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50" w:lineRule="exact"/>
        <w:rPr>
          <w:rFonts w:ascii="Arial" w:cs="Arial" w:eastAsia="Arial" w:hAnsi="Arial"/>
          <w:sz w:val="18"/>
          <w:szCs w:val="18"/>
          <w:color w:val="auto"/>
        </w:rPr>
      </w:pPr>
    </w:p>
    <w:p>
      <w:pPr>
        <w:ind w:left="460" w:right="20" w:hanging="452"/>
        <w:spacing w:after="0" w:line="259" w:lineRule="auto"/>
        <w:tabs>
          <w:tab w:leader="none" w:pos="460" w:val="left"/>
        </w:tabs>
        <w:numPr>
          <w:ilvl w:val="0"/>
          <w:numId w:val="22"/>
        </w:numPr>
        <w:rPr>
          <w:rFonts w:ascii="Arial" w:cs="Arial" w:eastAsia="Arial" w:hAnsi="Arial"/>
          <w:sz w:val="18"/>
          <w:szCs w:val="18"/>
          <w:color w:val="auto"/>
        </w:rPr>
      </w:pPr>
      <w:r>
        <w:rPr>
          <w:rFonts w:ascii="Arial" w:cs="Arial" w:eastAsia="Arial" w:hAnsi="Arial"/>
          <w:sz w:val="18"/>
          <w:szCs w:val="18"/>
          <w:color w:val="auto"/>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59" w:lineRule="exact"/>
        <w:rPr>
          <w:rFonts w:ascii="Arial" w:cs="Arial" w:eastAsia="Arial" w:hAnsi="Arial"/>
          <w:sz w:val="18"/>
          <w:szCs w:val="18"/>
          <w:color w:val="auto"/>
        </w:rPr>
      </w:pPr>
    </w:p>
    <w:p>
      <w:pPr>
        <w:ind w:left="1480" w:right="160" w:hanging="567"/>
        <w:spacing w:after="0" w:line="259" w:lineRule="auto"/>
        <w:tabs>
          <w:tab w:leader="none" w:pos="1480" w:val="left"/>
        </w:tabs>
        <w:numPr>
          <w:ilvl w:val="1"/>
          <w:numId w:val="22"/>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59" w:lineRule="exact"/>
        <w:rPr>
          <w:rFonts w:ascii="Arial" w:cs="Arial" w:eastAsia="Arial" w:hAnsi="Arial"/>
          <w:sz w:val="18"/>
          <w:szCs w:val="18"/>
          <w:color w:val="auto"/>
        </w:rPr>
      </w:pPr>
    </w:p>
    <w:p>
      <w:pPr>
        <w:ind w:left="1480" w:right="280" w:hanging="567"/>
        <w:spacing w:after="0" w:line="259" w:lineRule="auto"/>
        <w:tabs>
          <w:tab w:leader="none" w:pos="1480" w:val="left"/>
        </w:tabs>
        <w:numPr>
          <w:ilvl w:val="1"/>
          <w:numId w:val="22"/>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59" w:lineRule="exact"/>
        <w:rPr>
          <w:rFonts w:ascii="Arial" w:cs="Arial" w:eastAsia="Arial" w:hAnsi="Arial"/>
          <w:sz w:val="18"/>
          <w:szCs w:val="18"/>
          <w:color w:val="auto"/>
        </w:rPr>
      </w:pPr>
    </w:p>
    <w:p>
      <w:pPr>
        <w:jc w:val="both"/>
        <w:ind w:left="1480" w:right="440" w:hanging="567"/>
        <w:spacing w:after="0" w:line="357" w:lineRule="auto"/>
        <w:tabs>
          <w:tab w:leader="none" w:pos="1480" w:val="left"/>
        </w:tabs>
        <w:numPr>
          <w:ilvl w:val="1"/>
          <w:numId w:val="22"/>
        </w:numPr>
        <w:rPr>
          <w:rFonts w:ascii="Arial" w:cs="Arial" w:eastAsia="Arial" w:hAnsi="Arial"/>
          <w:sz w:val="15"/>
          <w:szCs w:val="15"/>
          <w:color w:val="auto"/>
        </w:rPr>
      </w:pPr>
      <w:r>
        <w:rPr>
          <w:rFonts w:ascii="Arial" w:cs="Arial" w:eastAsia="Arial" w:hAnsi="Arial"/>
          <w:sz w:val="15"/>
          <w:szCs w:val="15"/>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ind w:left="1480" w:right="160" w:hanging="567"/>
        <w:spacing w:after="0" w:line="259" w:lineRule="auto"/>
        <w:tabs>
          <w:tab w:leader="none" w:pos="1480" w:val="left"/>
        </w:tabs>
        <w:numPr>
          <w:ilvl w:val="1"/>
          <w:numId w:val="22"/>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59" w:lineRule="exact"/>
        <w:rPr>
          <w:rFonts w:ascii="Arial" w:cs="Arial" w:eastAsia="Arial" w:hAnsi="Arial"/>
          <w:sz w:val="18"/>
          <w:szCs w:val="18"/>
          <w:color w:val="auto"/>
        </w:rPr>
      </w:pPr>
    </w:p>
    <w:p>
      <w:pPr>
        <w:ind w:left="460" w:right="460" w:hanging="452"/>
        <w:spacing w:after="0" w:line="332" w:lineRule="auto"/>
        <w:tabs>
          <w:tab w:leader="none" w:pos="460" w:val="left"/>
        </w:tabs>
        <w:numPr>
          <w:ilvl w:val="0"/>
          <w:numId w:val="22"/>
        </w:numPr>
        <w:rPr>
          <w:rFonts w:ascii="Arial" w:cs="Arial" w:eastAsia="Arial" w:hAnsi="Arial"/>
          <w:sz w:val="16"/>
          <w:szCs w:val="16"/>
          <w:color w:val="auto"/>
        </w:rPr>
      </w:pPr>
      <w:r>
        <w:rPr>
          <w:rFonts w:ascii="Arial" w:cs="Arial" w:eastAsia="Arial" w:hAnsi="Arial"/>
          <w:sz w:val="16"/>
          <w:szCs w:val="16"/>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4" w:lineRule="exact"/>
        <w:rPr>
          <w:rFonts w:ascii="Arial" w:cs="Arial" w:eastAsia="Arial" w:hAnsi="Arial"/>
          <w:sz w:val="16"/>
          <w:szCs w:val="16"/>
          <w:color w:val="auto"/>
        </w:rPr>
      </w:pPr>
    </w:p>
    <w:p>
      <w:pPr>
        <w:ind w:left="1480" w:right="680" w:hanging="567"/>
        <w:spacing w:after="0" w:line="332" w:lineRule="auto"/>
        <w:tabs>
          <w:tab w:leader="none" w:pos="1480" w:val="left"/>
        </w:tabs>
        <w:numPr>
          <w:ilvl w:val="1"/>
          <w:numId w:val="22"/>
        </w:numPr>
        <w:rPr>
          <w:rFonts w:ascii="Arial" w:cs="Arial" w:eastAsia="Arial" w:hAnsi="Arial"/>
          <w:sz w:val="16"/>
          <w:szCs w:val="16"/>
          <w:color w:val="auto"/>
        </w:rPr>
      </w:pPr>
      <w:r>
        <w:rPr>
          <w:rFonts w:ascii="Arial" w:cs="Arial" w:eastAsia="Arial" w:hAnsi="Arial"/>
          <w:sz w:val="16"/>
          <w:szCs w:val="16"/>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4" w:lineRule="exact"/>
        <w:rPr>
          <w:rFonts w:ascii="Arial" w:cs="Arial" w:eastAsia="Arial" w:hAnsi="Arial"/>
          <w:sz w:val="16"/>
          <w:szCs w:val="16"/>
          <w:color w:val="auto"/>
        </w:rPr>
      </w:pPr>
    </w:p>
    <w:p>
      <w:pPr>
        <w:ind w:left="1480" w:right="380" w:hanging="567"/>
        <w:spacing w:after="0" w:line="268" w:lineRule="auto"/>
        <w:tabs>
          <w:tab w:leader="none" w:pos="1480" w:val="left"/>
        </w:tabs>
        <w:numPr>
          <w:ilvl w:val="1"/>
          <w:numId w:val="22"/>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172" w:lineRule="exact"/>
        <w:rPr>
          <w:sz w:val="20"/>
          <w:szCs w:val="20"/>
          <w:color w:val="auto"/>
        </w:rPr>
      </w:pPr>
    </w:p>
    <w:tbl>
      <w:tblPr>
        <w:tblLayout w:type="fixed"/>
        <w:tblInd w:w="0" w:type="dxa"/>
        <w:tblCellMar>
          <w:top w:w="0" w:type="dxa"/>
          <w:left w:w="0" w:type="dxa"/>
          <w:bottom w:w="0" w:type="dxa"/>
          <w:right w:w="0" w:type="dxa"/>
        </w:tblCellMar>
      </w:tblPr>
      <w:tr>
        <w:trPr>
          <w:trHeight w:val="222"/>
        </w:trPr>
        <w:tc>
          <w:tcPr>
            <w:tcW w:w="5820" w:type="dxa"/>
            <w:vAlign w:val="bottom"/>
          </w:tcPr>
          <w:p>
            <w:pPr>
              <w:spacing w:after="0"/>
              <w:rPr>
                <w:sz w:val="19"/>
                <w:szCs w:val="19"/>
                <w:color w:val="auto"/>
              </w:rPr>
            </w:pPr>
          </w:p>
        </w:tc>
        <w:tc>
          <w:tcPr>
            <w:tcW w:w="560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James E. Geisler</w:t>
            </w:r>
          </w:p>
        </w:tc>
      </w:tr>
      <w:tr>
        <w:trPr>
          <w:trHeight w:val="217"/>
        </w:trPr>
        <w:tc>
          <w:tcPr>
            <w:tcW w:w="5820" w:type="dxa"/>
            <w:vAlign w:val="bottom"/>
          </w:tcPr>
          <w:p>
            <w:pPr>
              <w:spacing w:after="0"/>
              <w:rPr>
                <w:sz w:val="20"/>
                <w:szCs w:val="20"/>
                <w:color w:val="auto"/>
              </w:rPr>
            </w:pPr>
            <w:r>
              <w:rPr>
                <w:rFonts w:ascii="Arial" w:cs="Arial" w:eastAsia="Arial" w:hAnsi="Arial"/>
                <w:sz w:val="18"/>
                <w:szCs w:val="18"/>
                <w:color w:val="auto"/>
              </w:rPr>
              <w:t>Date: July 22, 2008</w:t>
            </w:r>
          </w:p>
        </w:tc>
        <w:tc>
          <w:tcPr>
            <w:tcW w:w="5600" w:type="dxa"/>
            <w:vAlign w:val="bottom"/>
          </w:tcPr>
          <w:p>
            <w:pPr>
              <w:spacing w:after="0"/>
              <w:rPr>
                <w:sz w:val="20"/>
                <w:szCs w:val="20"/>
                <w:color w:val="auto"/>
              </w:rPr>
            </w:pPr>
            <w:r>
              <w:rPr>
                <w:rFonts w:ascii="Arial" w:cs="Arial" w:eastAsia="Arial" w:hAnsi="Arial"/>
                <w:sz w:val="18"/>
                <w:szCs w:val="18"/>
                <w:color w:val="auto"/>
              </w:rPr>
              <w:t>James E. Geisler</w:t>
            </w:r>
          </w:p>
        </w:tc>
      </w:tr>
      <w:tr>
        <w:trPr>
          <w:trHeight w:val="222"/>
        </w:trPr>
        <w:tc>
          <w:tcPr>
            <w:tcW w:w="5820" w:type="dxa"/>
            <w:vAlign w:val="bottom"/>
          </w:tcPr>
          <w:p>
            <w:pPr>
              <w:spacing w:after="0"/>
              <w:rPr>
                <w:sz w:val="19"/>
                <w:szCs w:val="19"/>
                <w:color w:val="auto"/>
              </w:rPr>
            </w:pPr>
          </w:p>
        </w:tc>
        <w:tc>
          <w:tcPr>
            <w:tcW w:w="5600" w:type="dxa"/>
            <w:vAlign w:val="bottom"/>
          </w:tcPr>
          <w:p>
            <w:pPr>
              <w:spacing w:after="0"/>
              <w:rPr>
                <w:sz w:val="20"/>
                <w:szCs w:val="20"/>
                <w:color w:val="auto"/>
              </w:rPr>
            </w:pPr>
            <w:r>
              <w:rPr>
                <w:rFonts w:ascii="Arial" w:cs="Arial" w:eastAsia="Arial" w:hAnsi="Arial"/>
                <w:sz w:val="18"/>
                <w:szCs w:val="18"/>
                <w:color w:val="auto"/>
              </w:rPr>
              <w:t>Vice President, Finance</w:t>
            </w:r>
          </w:p>
        </w:tc>
      </w:tr>
    </w:tbl>
    <w:p>
      <w:pPr>
        <w:sectPr>
          <w:pgSz w:w="11900" w:h="16838" w:orient="portrait"/>
          <w:cols w:equalWidth="0" w:num="1">
            <w:col w:w="11420"/>
          </w:cols>
          <w:pgMar w:left="240" w:top="125" w:right="239" w:bottom="1440" w:gutter="0" w:footer="0" w:header="0"/>
        </w:sectPr>
      </w:pPr>
    </w:p>
    <w:bookmarkStart w:id="60" w:name="page61"/>
    <w:bookmarkEnd w:id="60"/>
    <w:p>
      <w:pPr>
        <w:jc w:val="right"/>
        <w:spacing w:after="0"/>
        <w:rPr>
          <w:sz w:val="20"/>
          <w:szCs w:val="20"/>
          <w:color w:val="auto"/>
        </w:rPr>
      </w:pPr>
      <w:r>
        <w:rPr>
          <w:rFonts w:ascii="Arial" w:cs="Arial" w:eastAsia="Arial" w:hAnsi="Arial"/>
          <w:sz w:val="18"/>
          <w:szCs w:val="18"/>
          <w:b w:val="1"/>
          <w:bCs w:val="1"/>
          <w:color w:val="auto"/>
        </w:rPr>
        <w:t>Exhibit 31.3</w:t>
      </w:r>
    </w:p>
    <w:p>
      <w:pPr>
        <w:spacing w:after="0" w:line="17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CERTIFICATION</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color w:val="auto"/>
        </w:rPr>
        <w:t>I, Gregory J. Hayes, certify that:</w:t>
      </w:r>
    </w:p>
    <w:p>
      <w:pPr>
        <w:spacing w:after="0" w:line="90" w:lineRule="exact"/>
        <w:rPr>
          <w:sz w:val="20"/>
          <w:szCs w:val="20"/>
          <w:color w:val="auto"/>
        </w:rPr>
      </w:pPr>
    </w:p>
    <w:p>
      <w:pPr>
        <w:ind w:left="460" w:hanging="452"/>
        <w:spacing w:after="0"/>
        <w:tabs>
          <w:tab w:leader="none" w:pos="460" w:val="left"/>
        </w:tabs>
        <w:numPr>
          <w:ilvl w:val="0"/>
          <w:numId w:val="23"/>
        </w:numPr>
        <w:rPr>
          <w:rFonts w:ascii="Arial" w:cs="Arial" w:eastAsia="Arial" w:hAnsi="Arial"/>
          <w:sz w:val="18"/>
          <w:szCs w:val="18"/>
          <w:color w:val="auto"/>
        </w:rPr>
      </w:pPr>
      <w:r>
        <w:rPr>
          <w:rFonts w:ascii="Arial" w:cs="Arial" w:eastAsia="Arial" w:hAnsi="Arial"/>
          <w:sz w:val="18"/>
          <w:szCs w:val="18"/>
          <w:color w:val="auto"/>
        </w:rPr>
        <w:t>I have reviewed this quarterly report on Form 10-Q of United Technologies Corporation;</w:t>
      </w:r>
    </w:p>
    <w:p>
      <w:pPr>
        <w:spacing w:after="0" w:line="90" w:lineRule="exact"/>
        <w:rPr>
          <w:rFonts w:ascii="Arial" w:cs="Arial" w:eastAsia="Arial" w:hAnsi="Arial"/>
          <w:sz w:val="18"/>
          <w:szCs w:val="18"/>
          <w:color w:val="auto"/>
        </w:rPr>
      </w:pPr>
    </w:p>
    <w:p>
      <w:pPr>
        <w:ind w:left="460" w:right="260" w:hanging="452"/>
        <w:spacing w:after="0" w:line="357" w:lineRule="auto"/>
        <w:tabs>
          <w:tab w:leader="none" w:pos="460" w:val="left"/>
        </w:tabs>
        <w:numPr>
          <w:ilvl w:val="0"/>
          <w:numId w:val="23"/>
        </w:numPr>
        <w:rPr>
          <w:rFonts w:ascii="Arial" w:cs="Arial" w:eastAsia="Arial" w:hAnsi="Arial"/>
          <w:sz w:val="15"/>
          <w:szCs w:val="15"/>
          <w:color w:val="auto"/>
        </w:rPr>
      </w:pPr>
      <w:r>
        <w:rPr>
          <w:rFonts w:ascii="Arial" w:cs="Arial" w:eastAsia="Arial" w:hAnsi="Arial"/>
          <w:sz w:val="15"/>
          <w:szCs w:val="15"/>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ind w:left="460" w:right="60" w:hanging="452"/>
        <w:spacing w:after="0" w:line="268" w:lineRule="auto"/>
        <w:tabs>
          <w:tab w:leader="none" w:pos="460" w:val="left"/>
        </w:tabs>
        <w:numPr>
          <w:ilvl w:val="0"/>
          <w:numId w:val="23"/>
        </w:numPr>
        <w:rPr>
          <w:rFonts w:ascii="Arial" w:cs="Arial" w:eastAsia="Arial" w:hAnsi="Arial"/>
          <w:sz w:val="18"/>
          <w:szCs w:val="18"/>
          <w:color w:val="auto"/>
        </w:rPr>
      </w:pPr>
      <w:r>
        <w:rPr>
          <w:rFonts w:ascii="Arial" w:cs="Arial" w:eastAsia="Arial" w:hAnsi="Arial"/>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50" w:lineRule="exact"/>
        <w:rPr>
          <w:rFonts w:ascii="Arial" w:cs="Arial" w:eastAsia="Arial" w:hAnsi="Arial"/>
          <w:sz w:val="18"/>
          <w:szCs w:val="18"/>
          <w:color w:val="auto"/>
        </w:rPr>
      </w:pPr>
    </w:p>
    <w:p>
      <w:pPr>
        <w:ind w:left="460" w:right="20" w:hanging="452"/>
        <w:spacing w:after="0" w:line="259" w:lineRule="auto"/>
        <w:tabs>
          <w:tab w:leader="none" w:pos="460" w:val="left"/>
        </w:tabs>
        <w:numPr>
          <w:ilvl w:val="0"/>
          <w:numId w:val="23"/>
        </w:numPr>
        <w:rPr>
          <w:rFonts w:ascii="Arial" w:cs="Arial" w:eastAsia="Arial" w:hAnsi="Arial"/>
          <w:sz w:val="18"/>
          <w:szCs w:val="18"/>
          <w:color w:val="auto"/>
        </w:rPr>
      </w:pPr>
      <w:r>
        <w:rPr>
          <w:rFonts w:ascii="Arial" w:cs="Arial" w:eastAsia="Arial" w:hAnsi="Arial"/>
          <w:sz w:val="18"/>
          <w:szCs w:val="18"/>
          <w:color w:val="auto"/>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59" w:lineRule="exact"/>
        <w:rPr>
          <w:rFonts w:ascii="Arial" w:cs="Arial" w:eastAsia="Arial" w:hAnsi="Arial"/>
          <w:sz w:val="18"/>
          <w:szCs w:val="18"/>
          <w:color w:val="auto"/>
        </w:rPr>
      </w:pPr>
    </w:p>
    <w:p>
      <w:pPr>
        <w:ind w:left="1480" w:right="160" w:hanging="567"/>
        <w:spacing w:after="0" w:line="259" w:lineRule="auto"/>
        <w:tabs>
          <w:tab w:leader="none" w:pos="1480" w:val="left"/>
        </w:tabs>
        <w:numPr>
          <w:ilvl w:val="1"/>
          <w:numId w:val="23"/>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59" w:lineRule="exact"/>
        <w:rPr>
          <w:rFonts w:ascii="Arial" w:cs="Arial" w:eastAsia="Arial" w:hAnsi="Arial"/>
          <w:sz w:val="18"/>
          <w:szCs w:val="18"/>
          <w:color w:val="auto"/>
        </w:rPr>
      </w:pPr>
    </w:p>
    <w:p>
      <w:pPr>
        <w:ind w:left="1480" w:right="280" w:hanging="567"/>
        <w:spacing w:after="0" w:line="259" w:lineRule="auto"/>
        <w:tabs>
          <w:tab w:leader="none" w:pos="1480" w:val="left"/>
        </w:tabs>
        <w:numPr>
          <w:ilvl w:val="1"/>
          <w:numId w:val="23"/>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59" w:lineRule="exact"/>
        <w:rPr>
          <w:rFonts w:ascii="Arial" w:cs="Arial" w:eastAsia="Arial" w:hAnsi="Arial"/>
          <w:sz w:val="18"/>
          <w:szCs w:val="18"/>
          <w:color w:val="auto"/>
        </w:rPr>
      </w:pPr>
    </w:p>
    <w:p>
      <w:pPr>
        <w:jc w:val="both"/>
        <w:ind w:left="1480" w:right="440" w:hanging="567"/>
        <w:spacing w:after="0" w:line="357" w:lineRule="auto"/>
        <w:tabs>
          <w:tab w:leader="none" w:pos="1480" w:val="left"/>
        </w:tabs>
        <w:numPr>
          <w:ilvl w:val="1"/>
          <w:numId w:val="23"/>
        </w:numPr>
        <w:rPr>
          <w:rFonts w:ascii="Arial" w:cs="Arial" w:eastAsia="Arial" w:hAnsi="Arial"/>
          <w:sz w:val="15"/>
          <w:szCs w:val="15"/>
          <w:color w:val="auto"/>
        </w:rPr>
      </w:pPr>
      <w:r>
        <w:rPr>
          <w:rFonts w:ascii="Arial" w:cs="Arial" w:eastAsia="Arial" w:hAnsi="Arial"/>
          <w:sz w:val="15"/>
          <w:szCs w:val="15"/>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ind w:left="1480" w:right="160" w:hanging="567"/>
        <w:spacing w:after="0" w:line="259" w:lineRule="auto"/>
        <w:tabs>
          <w:tab w:leader="none" w:pos="1480" w:val="left"/>
        </w:tabs>
        <w:numPr>
          <w:ilvl w:val="1"/>
          <w:numId w:val="23"/>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59" w:lineRule="exact"/>
        <w:rPr>
          <w:rFonts w:ascii="Arial" w:cs="Arial" w:eastAsia="Arial" w:hAnsi="Arial"/>
          <w:sz w:val="18"/>
          <w:szCs w:val="18"/>
          <w:color w:val="auto"/>
        </w:rPr>
      </w:pPr>
    </w:p>
    <w:p>
      <w:pPr>
        <w:ind w:left="460" w:right="460" w:hanging="452"/>
        <w:spacing w:after="0" w:line="332" w:lineRule="auto"/>
        <w:tabs>
          <w:tab w:leader="none" w:pos="460" w:val="left"/>
        </w:tabs>
        <w:numPr>
          <w:ilvl w:val="0"/>
          <w:numId w:val="23"/>
        </w:numPr>
        <w:rPr>
          <w:rFonts w:ascii="Arial" w:cs="Arial" w:eastAsia="Arial" w:hAnsi="Arial"/>
          <w:sz w:val="16"/>
          <w:szCs w:val="16"/>
          <w:color w:val="auto"/>
        </w:rPr>
      </w:pPr>
      <w:r>
        <w:rPr>
          <w:rFonts w:ascii="Arial" w:cs="Arial" w:eastAsia="Arial" w:hAnsi="Arial"/>
          <w:sz w:val="16"/>
          <w:szCs w:val="16"/>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4" w:lineRule="exact"/>
        <w:rPr>
          <w:rFonts w:ascii="Arial" w:cs="Arial" w:eastAsia="Arial" w:hAnsi="Arial"/>
          <w:sz w:val="16"/>
          <w:szCs w:val="16"/>
          <w:color w:val="auto"/>
        </w:rPr>
      </w:pPr>
    </w:p>
    <w:p>
      <w:pPr>
        <w:ind w:left="1480" w:right="680" w:hanging="567"/>
        <w:spacing w:after="0" w:line="332" w:lineRule="auto"/>
        <w:tabs>
          <w:tab w:leader="none" w:pos="1480" w:val="left"/>
        </w:tabs>
        <w:numPr>
          <w:ilvl w:val="1"/>
          <w:numId w:val="23"/>
        </w:numPr>
        <w:rPr>
          <w:rFonts w:ascii="Arial" w:cs="Arial" w:eastAsia="Arial" w:hAnsi="Arial"/>
          <w:sz w:val="16"/>
          <w:szCs w:val="16"/>
          <w:color w:val="auto"/>
        </w:rPr>
      </w:pPr>
      <w:r>
        <w:rPr>
          <w:rFonts w:ascii="Arial" w:cs="Arial" w:eastAsia="Arial" w:hAnsi="Arial"/>
          <w:sz w:val="16"/>
          <w:szCs w:val="16"/>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4" w:lineRule="exact"/>
        <w:rPr>
          <w:rFonts w:ascii="Arial" w:cs="Arial" w:eastAsia="Arial" w:hAnsi="Arial"/>
          <w:sz w:val="16"/>
          <w:szCs w:val="16"/>
          <w:color w:val="auto"/>
        </w:rPr>
      </w:pPr>
    </w:p>
    <w:p>
      <w:pPr>
        <w:ind w:left="1480" w:right="380" w:hanging="567"/>
        <w:spacing w:after="0" w:line="268" w:lineRule="auto"/>
        <w:tabs>
          <w:tab w:leader="none" w:pos="1480" w:val="left"/>
        </w:tabs>
        <w:numPr>
          <w:ilvl w:val="1"/>
          <w:numId w:val="23"/>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172" w:lineRule="exact"/>
        <w:rPr>
          <w:sz w:val="20"/>
          <w:szCs w:val="20"/>
          <w:color w:val="auto"/>
        </w:rPr>
      </w:pPr>
    </w:p>
    <w:tbl>
      <w:tblPr>
        <w:tblLayout w:type="fixed"/>
        <w:tblInd w:w="0" w:type="dxa"/>
        <w:tblCellMar>
          <w:top w:w="0" w:type="dxa"/>
          <w:left w:w="0" w:type="dxa"/>
          <w:bottom w:w="0" w:type="dxa"/>
          <w:right w:w="0" w:type="dxa"/>
        </w:tblCellMar>
      </w:tblPr>
      <w:tr>
        <w:trPr>
          <w:trHeight w:val="222"/>
        </w:trPr>
        <w:tc>
          <w:tcPr>
            <w:tcW w:w="5820" w:type="dxa"/>
            <w:vAlign w:val="bottom"/>
          </w:tcPr>
          <w:p>
            <w:pPr>
              <w:spacing w:after="0"/>
              <w:rPr>
                <w:sz w:val="19"/>
                <w:szCs w:val="19"/>
                <w:color w:val="auto"/>
              </w:rPr>
            </w:pPr>
          </w:p>
        </w:tc>
        <w:tc>
          <w:tcPr>
            <w:tcW w:w="560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Gregory J. Hayes</w:t>
            </w:r>
          </w:p>
        </w:tc>
      </w:tr>
      <w:tr>
        <w:trPr>
          <w:trHeight w:val="217"/>
        </w:trPr>
        <w:tc>
          <w:tcPr>
            <w:tcW w:w="5820" w:type="dxa"/>
            <w:vAlign w:val="bottom"/>
          </w:tcPr>
          <w:p>
            <w:pPr>
              <w:spacing w:after="0"/>
              <w:rPr>
                <w:sz w:val="20"/>
                <w:szCs w:val="20"/>
                <w:color w:val="auto"/>
              </w:rPr>
            </w:pPr>
            <w:r>
              <w:rPr>
                <w:rFonts w:ascii="Arial" w:cs="Arial" w:eastAsia="Arial" w:hAnsi="Arial"/>
                <w:sz w:val="18"/>
                <w:szCs w:val="18"/>
                <w:color w:val="auto"/>
              </w:rPr>
              <w:t>Date: July 22, 2008</w:t>
            </w:r>
          </w:p>
        </w:tc>
        <w:tc>
          <w:tcPr>
            <w:tcW w:w="5600" w:type="dxa"/>
            <w:vAlign w:val="bottom"/>
          </w:tcPr>
          <w:p>
            <w:pPr>
              <w:spacing w:after="0"/>
              <w:rPr>
                <w:sz w:val="20"/>
                <w:szCs w:val="20"/>
                <w:color w:val="auto"/>
              </w:rPr>
            </w:pPr>
            <w:r>
              <w:rPr>
                <w:rFonts w:ascii="Arial" w:cs="Arial" w:eastAsia="Arial" w:hAnsi="Arial"/>
                <w:sz w:val="18"/>
                <w:szCs w:val="18"/>
                <w:color w:val="auto"/>
              </w:rPr>
              <w:t>Gregory J. Hayes</w:t>
            </w:r>
          </w:p>
        </w:tc>
      </w:tr>
      <w:tr>
        <w:trPr>
          <w:trHeight w:val="222"/>
        </w:trPr>
        <w:tc>
          <w:tcPr>
            <w:tcW w:w="5820" w:type="dxa"/>
            <w:vAlign w:val="bottom"/>
          </w:tcPr>
          <w:p>
            <w:pPr>
              <w:spacing w:after="0"/>
              <w:rPr>
                <w:sz w:val="19"/>
                <w:szCs w:val="19"/>
                <w:color w:val="auto"/>
              </w:rPr>
            </w:pPr>
          </w:p>
        </w:tc>
        <w:tc>
          <w:tcPr>
            <w:tcW w:w="5600" w:type="dxa"/>
            <w:vAlign w:val="bottom"/>
          </w:tcPr>
          <w:p>
            <w:pPr>
              <w:spacing w:after="0"/>
              <w:rPr>
                <w:sz w:val="20"/>
                <w:szCs w:val="20"/>
                <w:color w:val="auto"/>
              </w:rPr>
            </w:pPr>
            <w:r>
              <w:rPr>
                <w:rFonts w:ascii="Arial" w:cs="Arial" w:eastAsia="Arial" w:hAnsi="Arial"/>
                <w:sz w:val="18"/>
                <w:szCs w:val="18"/>
                <w:color w:val="auto"/>
              </w:rPr>
              <w:t>Vice President, Accounting and Finance</w:t>
            </w:r>
          </w:p>
        </w:tc>
      </w:tr>
    </w:tbl>
    <w:p>
      <w:pPr>
        <w:sectPr>
          <w:pgSz w:w="11900" w:h="16838" w:orient="portrait"/>
          <w:cols w:equalWidth="0" w:num="1">
            <w:col w:w="11420"/>
          </w:cols>
          <w:pgMar w:left="240" w:top="125" w:right="239" w:bottom="1440" w:gutter="0" w:footer="0" w:header="0"/>
        </w:sectPr>
      </w:pPr>
    </w:p>
    <w:bookmarkStart w:id="61" w:name="page62"/>
    <w:bookmarkEnd w:id="61"/>
    <w:p>
      <w:pPr>
        <w:jc w:val="right"/>
        <w:spacing w:after="0"/>
        <w:rPr>
          <w:sz w:val="20"/>
          <w:szCs w:val="20"/>
          <w:color w:val="auto"/>
        </w:rPr>
      </w:pPr>
      <w:r>
        <w:rPr>
          <w:rFonts w:ascii="Arial" w:cs="Arial" w:eastAsia="Arial" w:hAnsi="Arial"/>
          <w:sz w:val="18"/>
          <w:szCs w:val="18"/>
          <w:b w:val="1"/>
          <w:bCs w:val="1"/>
          <w:color w:val="auto"/>
        </w:rPr>
        <w:t>Exhibit 31.4</w:t>
      </w:r>
    </w:p>
    <w:p>
      <w:pPr>
        <w:spacing w:after="0" w:line="17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CERTIFICATION</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color w:val="auto"/>
        </w:rPr>
        <w:t>I, Margaret M. Smyth, certify that:</w:t>
      </w:r>
    </w:p>
    <w:p>
      <w:pPr>
        <w:spacing w:after="0" w:line="90" w:lineRule="exact"/>
        <w:rPr>
          <w:sz w:val="20"/>
          <w:szCs w:val="20"/>
          <w:color w:val="auto"/>
        </w:rPr>
      </w:pPr>
    </w:p>
    <w:p>
      <w:pPr>
        <w:ind w:left="460" w:hanging="452"/>
        <w:spacing w:after="0"/>
        <w:tabs>
          <w:tab w:leader="none" w:pos="460" w:val="left"/>
        </w:tabs>
        <w:numPr>
          <w:ilvl w:val="0"/>
          <w:numId w:val="24"/>
        </w:numPr>
        <w:rPr>
          <w:rFonts w:ascii="Arial" w:cs="Arial" w:eastAsia="Arial" w:hAnsi="Arial"/>
          <w:sz w:val="18"/>
          <w:szCs w:val="18"/>
          <w:color w:val="auto"/>
        </w:rPr>
      </w:pPr>
      <w:r>
        <w:rPr>
          <w:rFonts w:ascii="Arial" w:cs="Arial" w:eastAsia="Arial" w:hAnsi="Arial"/>
          <w:sz w:val="18"/>
          <w:szCs w:val="18"/>
          <w:color w:val="auto"/>
        </w:rPr>
        <w:t>I have reviewed this quarterly report on Form 10-Q of United Technologies Corporation;</w:t>
      </w:r>
    </w:p>
    <w:p>
      <w:pPr>
        <w:spacing w:after="0" w:line="90" w:lineRule="exact"/>
        <w:rPr>
          <w:rFonts w:ascii="Arial" w:cs="Arial" w:eastAsia="Arial" w:hAnsi="Arial"/>
          <w:sz w:val="18"/>
          <w:szCs w:val="18"/>
          <w:color w:val="auto"/>
        </w:rPr>
      </w:pPr>
    </w:p>
    <w:p>
      <w:pPr>
        <w:ind w:left="460" w:right="260" w:hanging="452"/>
        <w:spacing w:after="0" w:line="357" w:lineRule="auto"/>
        <w:tabs>
          <w:tab w:leader="none" w:pos="460" w:val="left"/>
        </w:tabs>
        <w:numPr>
          <w:ilvl w:val="0"/>
          <w:numId w:val="24"/>
        </w:numPr>
        <w:rPr>
          <w:rFonts w:ascii="Arial" w:cs="Arial" w:eastAsia="Arial" w:hAnsi="Arial"/>
          <w:sz w:val="15"/>
          <w:szCs w:val="15"/>
          <w:color w:val="auto"/>
        </w:rPr>
      </w:pPr>
      <w:r>
        <w:rPr>
          <w:rFonts w:ascii="Arial" w:cs="Arial" w:eastAsia="Arial" w:hAnsi="Arial"/>
          <w:sz w:val="15"/>
          <w:szCs w:val="15"/>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ind w:left="460" w:right="60" w:hanging="452"/>
        <w:spacing w:after="0" w:line="268" w:lineRule="auto"/>
        <w:tabs>
          <w:tab w:leader="none" w:pos="460" w:val="left"/>
        </w:tabs>
        <w:numPr>
          <w:ilvl w:val="0"/>
          <w:numId w:val="24"/>
        </w:numPr>
        <w:rPr>
          <w:rFonts w:ascii="Arial" w:cs="Arial" w:eastAsia="Arial" w:hAnsi="Arial"/>
          <w:sz w:val="18"/>
          <w:szCs w:val="18"/>
          <w:color w:val="auto"/>
        </w:rPr>
      </w:pPr>
      <w:r>
        <w:rPr>
          <w:rFonts w:ascii="Arial" w:cs="Arial" w:eastAsia="Arial" w:hAnsi="Arial"/>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50" w:lineRule="exact"/>
        <w:rPr>
          <w:rFonts w:ascii="Arial" w:cs="Arial" w:eastAsia="Arial" w:hAnsi="Arial"/>
          <w:sz w:val="18"/>
          <w:szCs w:val="18"/>
          <w:color w:val="auto"/>
        </w:rPr>
      </w:pPr>
    </w:p>
    <w:p>
      <w:pPr>
        <w:ind w:left="460" w:right="20" w:hanging="452"/>
        <w:spacing w:after="0" w:line="259" w:lineRule="auto"/>
        <w:tabs>
          <w:tab w:leader="none" w:pos="460" w:val="left"/>
        </w:tabs>
        <w:numPr>
          <w:ilvl w:val="0"/>
          <w:numId w:val="24"/>
        </w:numPr>
        <w:rPr>
          <w:rFonts w:ascii="Arial" w:cs="Arial" w:eastAsia="Arial" w:hAnsi="Arial"/>
          <w:sz w:val="18"/>
          <w:szCs w:val="18"/>
          <w:color w:val="auto"/>
        </w:rPr>
      </w:pPr>
      <w:r>
        <w:rPr>
          <w:rFonts w:ascii="Arial" w:cs="Arial" w:eastAsia="Arial" w:hAnsi="Arial"/>
          <w:sz w:val="18"/>
          <w:szCs w:val="18"/>
          <w:color w:val="auto"/>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59" w:lineRule="exact"/>
        <w:rPr>
          <w:rFonts w:ascii="Arial" w:cs="Arial" w:eastAsia="Arial" w:hAnsi="Arial"/>
          <w:sz w:val="18"/>
          <w:szCs w:val="18"/>
          <w:color w:val="auto"/>
        </w:rPr>
      </w:pPr>
    </w:p>
    <w:p>
      <w:pPr>
        <w:ind w:left="1480" w:right="160" w:hanging="567"/>
        <w:spacing w:after="0" w:line="259" w:lineRule="auto"/>
        <w:tabs>
          <w:tab w:leader="none" w:pos="1480" w:val="left"/>
        </w:tabs>
        <w:numPr>
          <w:ilvl w:val="1"/>
          <w:numId w:val="24"/>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59" w:lineRule="exact"/>
        <w:rPr>
          <w:rFonts w:ascii="Arial" w:cs="Arial" w:eastAsia="Arial" w:hAnsi="Arial"/>
          <w:sz w:val="18"/>
          <w:szCs w:val="18"/>
          <w:color w:val="auto"/>
        </w:rPr>
      </w:pPr>
    </w:p>
    <w:p>
      <w:pPr>
        <w:ind w:left="1480" w:right="280" w:hanging="567"/>
        <w:spacing w:after="0" w:line="259" w:lineRule="auto"/>
        <w:tabs>
          <w:tab w:leader="none" w:pos="1480" w:val="left"/>
        </w:tabs>
        <w:numPr>
          <w:ilvl w:val="1"/>
          <w:numId w:val="24"/>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59" w:lineRule="exact"/>
        <w:rPr>
          <w:rFonts w:ascii="Arial" w:cs="Arial" w:eastAsia="Arial" w:hAnsi="Arial"/>
          <w:sz w:val="18"/>
          <w:szCs w:val="18"/>
          <w:color w:val="auto"/>
        </w:rPr>
      </w:pPr>
    </w:p>
    <w:p>
      <w:pPr>
        <w:jc w:val="both"/>
        <w:ind w:left="1480" w:right="440" w:hanging="567"/>
        <w:spacing w:after="0" w:line="357" w:lineRule="auto"/>
        <w:tabs>
          <w:tab w:leader="none" w:pos="1480" w:val="left"/>
        </w:tabs>
        <w:numPr>
          <w:ilvl w:val="1"/>
          <w:numId w:val="24"/>
        </w:numPr>
        <w:rPr>
          <w:rFonts w:ascii="Arial" w:cs="Arial" w:eastAsia="Arial" w:hAnsi="Arial"/>
          <w:sz w:val="15"/>
          <w:szCs w:val="15"/>
          <w:color w:val="auto"/>
        </w:rPr>
      </w:pPr>
      <w:r>
        <w:rPr>
          <w:rFonts w:ascii="Arial" w:cs="Arial" w:eastAsia="Arial" w:hAnsi="Arial"/>
          <w:sz w:val="15"/>
          <w:szCs w:val="15"/>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ind w:left="1480" w:right="160" w:hanging="567"/>
        <w:spacing w:after="0" w:line="259" w:lineRule="auto"/>
        <w:tabs>
          <w:tab w:leader="none" w:pos="1480" w:val="left"/>
        </w:tabs>
        <w:numPr>
          <w:ilvl w:val="1"/>
          <w:numId w:val="24"/>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59" w:lineRule="exact"/>
        <w:rPr>
          <w:rFonts w:ascii="Arial" w:cs="Arial" w:eastAsia="Arial" w:hAnsi="Arial"/>
          <w:sz w:val="18"/>
          <w:szCs w:val="18"/>
          <w:color w:val="auto"/>
        </w:rPr>
      </w:pPr>
    </w:p>
    <w:p>
      <w:pPr>
        <w:ind w:left="460" w:right="460" w:hanging="452"/>
        <w:spacing w:after="0" w:line="332" w:lineRule="auto"/>
        <w:tabs>
          <w:tab w:leader="none" w:pos="460" w:val="left"/>
        </w:tabs>
        <w:numPr>
          <w:ilvl w:val="0"/>
          <w:numId w:val="24"/>
        </w:numPr>
        <w:rPr>
          <w:rFonts w:ascii="Arial" w:cs="Arial" w:eastAsia="Arial" w:hAnsi="Arial"/>
          <w:sz w:val="16"/>
          <w:szCs w:val="16"/>
          <w:color w:val="auto"/>
        </w:rPr>
      </w:pPr>
      <w:r>
        <w:rPr>
          <w:rFonts w:ascii="Arial" w:cs="Arial" w:eastAsia="Arial" w:hAnsi="Arial"/>
          <w:sz w:val="16"/>
          <w:szCs w:val="16"/>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4" w:lineRule="exact"/>
        <w:rPr>
          <w:rFonts w:ascii="Arial" w:cs="Arial" w:eastAsia="Arial" w:hAnsi="Arial"/>
          <w:sz w:val="16"/>
          <w:szCs w:val="16"/>
          <w:color w:val="auto"/>
        </w:rPr>
      </w:pPr>
    </w:p>
    <w:p>
      <w:pPr>
        <w:ind w:left="1480" w:right="680" w:hanging="567"/>
        <w:spacing w:after="0" w:line="332" w:lineRule="auto"/>
        <w:tabs>
          <w:tab w:leader="none" w:pos="1480" w:val="left"/>
        </w:tabs>
        <w:numPr>
          <w:ilvl w:val="1"/>
          <w:numId w:val="24"/>
        </w:numPr>
        <w:rPr>
          <w:rFonts w:ascii="Arial" w:cs="Arial" w:eastAsia="Arial" w:hAnsi="Arial"/>
          <w:sz w:val="16"/>
          <w:szCs w:val="16"/>
          <w:color w:val="auto"/>
        </w:rPr>
      </w:pPr>
      <w:r>
        <w:rPr>
          <w:rFonts w:ascii="Arial" w:cs="Arial" w:eastAsia="Arial" w:hAnsi="Arial"/>
          <w:sz w:val="16"/>
          <w:szCs w:val="16"/>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4" w:lineRule="exact"/>
        <w:rPr>
          <w:rFonts w:ascii="Arial" w:cs="Arial" w:eastAsia="Arial" w:hAnsi="Arial"/>
          <w:sz w:val="16"/>
          <w:szCs w:val="16"/>
          <w:color w:val="auto"/>
        </w:rPr>
      </w:pPr>
    </w:p>
    <w:p>
      <w:pPr>
        <w:ind w:left="1480" w:right="380" w:hanging="567"/>
        <w:spacing w:after="0" w:line="268" w:lineRule="auto"/>
        <w:tabs>
          <w:tab w:leader="none" w:pos="1480" w:val="left"/>
        </w:tabs>
        <w:numPr>
          <w:ilvl w:val="1"/>
          <w:numId w:val="24"/>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172" w:lineRule="exact"/>
        <w:rPr>
          <w:sz w:val="20"/>
          <w:szCs w:val="20"/>
          <w:color w:val="auto"/>
        </w:rPr>
      </w:pPr>
    </w:p>
    <w:tbl>
      <w:tblPr>
        <w:tblLayout w:type="fixed"/>
        <w:tblInd w:w="0" w:type="dxa"/>
        <w:tblCellMar>
          <w:top w:w="0" w:type="dxa"/>
          <w:left w:w="0" w:type="dxa"/>
          <w:bottom w:w="0" w:type="dxa"/>
          <w:right w:w="0" w:type="dxa"/>
        </w:tblCellMar>
      </w:tblPr>
      <w:tr>
        <w:trPr>
          <w:trHeight w:val="222"/>
        </w:trPr>
        <w:tc>
          <w:tcPr>
            <w:tcW w:w="5820" w:type="dxa"/>
            <w:vAlign w:val="bottom"/>
          </w:tcPr>
          <w:p>
            <w:pPr>
              <w:spacing w:after="0"/>
              <w:rPr>
                <w:sz w:val="19"/>
                <w:szCs w:val="19"/>
                <w:color w:val="auto"/>
              </w:rPr>
            </w:pPr>
          </w:p>
        </w:tc>
        <w:tc>
          <w:tcPr>
            <w:tcW w:w="560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Margaret M. Smyth</w:t>
            </w:r>
          </w:p>
        </w:tc>
      </w:tr>
      <w:tr>
        <w:trPr>
          <w:trHeight w:val="217"/>
        </w:trPr>
        <w:tc>
          <w:tcPr>
            <w:tcW w:w="5820" w:type="dxa"/>
            <w:vAlign w:val="bottom"/>
          </w:tcPr>
          <w:p>
            <w:pPr>
              <w:spacing w:after="0"/>
              <w:rPr>
                <w:sz w:val="20"/>
                <w:szCs w:val="20"/>
                <w:color w:val="auto"/>
              </w:rPr>
            </w:pPr>
            <w:r>
              <w:rPr>
                <w:rFonts w:ascii="Arial" w:cs="Arial" w:eastAsia="Arial" w:hAnsi="Arial"/>
                <w:sz w:val="18"/>
                <w:szCs w:val="18"/>
                <w:color w:val="auto"/>
              </w:rPr>
              <w:t>Date: July 22, 2008</w:t>
            </w:r>
          </w:p>
        </w:tc>
        <w:tc>
          <w:tcPr>
            <w:tcW w:w="5600" w:type="dxa"/>
            <w:vAlign w:val="bottom"/>
          </w:tcPr>
          <w:p>
            <w:pPr>
              <w:spacing w:after="0"/>
              <w:rPr>
                <w:sz w:val="20"/>
                <w:szCs w:val="20"/>
                <w:color w:val="auto"/>
              </w:rPr>
            </w:pPr>
            <w:r>
              <w:rPr>
                <w:rFonts w:ascii="Arial" w:cs="Arial" w:eastAsia="Arial" w:hAnsi="Arial"/>
                <w:sz w:val="18"/>
                <w:szCs w:val="18"/>
                <w:color w:val="auto"/>
              </w:rPr>
              <w:t>Margaret M. Smyth</w:t>
            </w:r>
          </w:p>
        </w:tc>
      </w:tr>
      <w:tr>
        <w:trPr>
          <w:trHeight w:val="222"/>
        </w:trPr>
        <w:tc>
          <w:tcPr>
            <w:tcW w:w="5820" w:type="dxa"/>
            <w:vAlign w:val="bottom"/>
          </w:tcPr>
          <w:p>
            <w:pPr>
              <w:spacing w:after="0"/>
              <w:rPr>
                <w:sz w:val="19"/>
                <w:szCs w:val="19"/>
                <w:color w:val="auto"/>
              </w:rPr>
            </w:pPr>
          </w:p>
        </w:tc>
        <w:tc>
          <w:tcPr>
            <w:tcW w:w="5600" w:type="dxa"/>
            <w:vAlign w:val="bottom"/>
          </w:tcPr>
          <w:p>
            <w:pPr>
              <w:spacing w:after="0"/>
              <w:rPr>
                <w:sz w:val="20"/>
                <w:szCs w:val="20"/>
                <w:color w:val="auto"/>
              </w:rPr>
            </w:pPr>
            <w:r>
              <w:rPr>
                <w:rFonts w:ascii="Arial" w:cs="Arial" w:eastAsia="Arial" w:hAnsi="Arial"/>
                <w:sz w:val="18"/>
                <w:szCs w:val="18"/>
                <w:color w:val="auto"/>
              </w:rPr>
              <w:t>Vice President, Controller</w:t>
            </w:r>
          </w:p>
        </w:tc>
      </w:tr>
    </w:tbl>
    <w:p>
      <w:pPr>
        <w:sectPr>
          <w:pgSz w:w="11900" w:h="16838" w:orient="portrait"/>
          <w:cols w:equalWidth="0" w:num="1">
            <w:col w:w="11420"/>
          </w:cols>
          <w:pgMar w:left="240" w:top="125" w:right="239" w:bottom="1440" w:gutter="0" w:footer="0" w:header="0"/>
        </w:sectPr>
      </w:pPr>
    </w:p>
    <w:bookmarkStart w:id="62" w:name="page63"/>
    <w:bookmarkEnd w:id="62"/>
    <w:p>
      <w:pPr>
        <w:jc w:val="right"/>
        <w:spacing w:after="0"/>
        <w:rPr>
          <w:sz w:val="20"/>
          <w:szCs w:val="20"/>
          <w:color w:val="auto"/>
        </w:rPr>
      </w:pPr>
      <w:r>
        <w:rPr>
          <w:rFonts w:ascii="Arial" w:cs="Arial" w:eastAsia="Arial" w:hAnsi="Arial"/>
          <w:sz w:val="18"/>
          <w:szCs w:val="18"/>
          <w:b w:val="1"/>
          <w:bCs w:val="1"/>
          <w:color w:val="auto"/>
        </w:rPr>
        <w:t>Exhibit 32</w:t>
      </w:r>
    </w:p>
    <w:p>
      <w:pPr>
        <w:spacing w:after="0" w:line="17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Section 1350 Certifications</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Pursuant to Section 906 of the Sarbanes-Oxley Act of 2002</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(Subsections (a) and (b) of Section 1350, Chapter 63 of Title 18, United States Code)</w:t>
      </w:r>
    </w:p>
    <w:p>
      <w:pPr>
        <w:spacing w:after="0" w:line="165" w:lineRule="exact"/>
        <w:rPr>
          <w:sz w:val="20"/>
          <w:szCs w:val="20"/>
          <w:color w:val="auto"/>
        </w:rPr>
      </w:pPr>
    </w:p>
    <w:p>
      <w:pPr>
        <w:ind w:right="80" w:firstLine="456"/>
        <w:spacing w:after="0" w:line="332" w:lineRule="auto"/>
        <w:rPr>
          <w:sz w:val="20"/>
          <w:szCs w:val="20"/>
          <w:color w:val="auto"/>
        </w:rPr>
      </w:pPr>
      <w:r>
        <w:rPr>
          <w:rFonts w:ascii="Arial" w:cs="Arial" w:eastAsia="Arial" w:hAnsi="Arial"/>
          <w:sz w:val="16"/>
          <w:szCs w:val="16"/>
          <w:color w:val="auto"/>
        </w:rPr>
        <w:t>Pursuant to section 906 of the Sarbanes-Oxley Act of 2002 (subsections (a) and (b) of section 1350, chapter 63 of title 18, United States Code), each of the undersigned officers of United Technologies Corporation, a Delaware corporation (the “</w:t>
      </w:r>
      <w:r>
        <w:rPr>
          <w:rFonts w:ascii="Arial" w:cs="Arial" w:eastAsia="Arial" w:hAnsi="Arial"/>
          <w:sz w:val="16"/>
          <w:szCs w:val="16"/>
          <w:u w:val="single" w:color="auto"/>
          <w:color w:val="auto"/>
        </w:rPr>
        <w:t>Corporation</w:t>
      </w:r>
      <w:r>
        <w:rPr>
          <w:rFonts w:ascii="Arial" w:cs="Arial" w:eastAsia="Arial" w:hAnsi="Arial"/>
          <w:sz w:val="16"/>
          <w:szCs w:val="16"/>
          <w:color w:val="auto"/>
        </w:rPr>
        <w:t>”), does hereby certify that:</w:t>
      </w:r>
    </w:p>
    <w:p>
      <w:pPr>
        <w:spacing w:after="0" w:line="4" w:lineRule="exact"/>
        <w:rPr>
          <w:sz w:val="20"/>
          <w:szCs w:val="20"/>
          <w:color w:val="auto"/>
        </w:rPr>
      </w:pPr>
    </w:p>
    <w:p>
      <w:pPr>
        <w:ind w:right="240" w:firstLine="456"/>
        <w:spacing w:after="0" w:line="259" w:lineRule="auto"/>
        <w:rPr>
          <w:sz w:val="20"/>
          <w:szCs w:val="20"/>
          <w:color w:val="auto"/>
        </w:rPr>
      </w:pPr>
      <w:r>
        <w:rPr>
          <w:rFonts w:ascii="Arial" w:cs="Arial" w:eastAsia="Arial" w:hAnsi="Arial"/>
          <w:sz w:val="18"/>
          <w:szCs w:val="18"/>
          <w:color w:val="auto"/>
        </w:rPr>
        <w:t>The Quarterly Report on Form 10-Q for the quarter ended June 30, 2008 (the “</w:t>
      </w:r>
      <w:r>
        <w:rPr>
          <w:rFonts w:ascii="Arial" w:cs="Arial" w:eastAsia="Arial" w:hAnsi="Arial"/>
          <w:sz w:val="18"/>
          <w:szCs w:val="18"/>
          <w:u w:val="single" w:color="auto"/>
          <w:color w:val="auto"/>
        </w:rPr>
        <w:t>Form 10-Q</w:t>
      </w:r>
      <w:r>
        <w:rPr>
          <w:rFonts w:ascii="Arial" w:cs="Arial" w:eastAsia="Arial" w:hAnsi="Arial"/>
          <w:sz w:val="18"/>
          <w:szCs w:val="18"/>
          <w:color w:val="auto"/>
        </w:rPr>
        <w:t>”) of the Corporation fully complies with the requirements of section 13(a) or 15(d) of the Securities Exchange Act of 1934 and information contained in the Form 10-Q fairly presents, in all material respects, the financial condition and results of operations of the Corporation.</w:t>
      </w:r>
    </w:p>
    <w:p>
      <w:pPr>
        <w:spacing w:after="0" w:line="181" w:lineRule="exact"/>
        <w:rPr>
          <w:sz w:val="20"/>
          <w:szCs w:val="20"/>
          <w:color w:val="auto"/>
        </w:rPr>
      </w:pPr>
    </w:p>
    <w:p>
      <w:pPr>
        <w:spacing w:after="0"/>
        <w:tabs>
          <w:tab w:leader="none" w:pos="2160" w:val="left"/>
        </w:tabs>
        <w:rPr>
          <w:sz w:val="20"/>
          <w:szCs w:val="20"/>
          <w:color w:val="auto"/>
        </w:rPr>
      </w:pPr>
      <w:r>
        <w:rPr>
          <w:rFonts w:ascii="Arial" w:cs="Arial" w:eastAsia="Arial" w:hAnsi="Arial"/>
          <w:sz w:val="18"/>
          <w:szCs w:val="18"/>
          <w:color w:val="auto"/>
        </w:rPr>
        <w:t>Date: July 22, 2008</w:t>
      </w:r>
      <w:r>
        <w:rPr>
          <w:sz w:val="20"/>
          <w:szCs w:val="20"/>
          <w:color w:val="auto"/>
        </w:rPr>
        <w:tab/>
      </w:r>
      <w:r>
        <w:rPr>
          <w:rFonts w:ascii="Arial" w:cs="Arial" w:eastAsia="Arial" w:hAnsi="Arial"/>
          <w:sz w:val="15"/>
          <w:szCs w:val="15"/>
          <w:color w:val="auto"/>
        </w:rPr>
        <w:t>/s/ Louis R. Chênevert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1385570</wp:posOffset>
            </wp:positionH>
            <wp:positionV relativeFrom="paragraph">
              <wp:posOffset>10795</wp:posOffset>
            </wp:positionV>
            <wp:extent cx="2898775" cy="8890"/>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2898775" cy="8890"/>
                    </a:xfrm>
                    <a:prstGeom prst="rect">
                      <a:avLst/>
                    </a:prstGeom>
                    <a:noFill/>
                  </pic:spPr>
                </pic:pic>
              </a:graphicData>
            </a:graphic>
          </wp:anchor>
        </w:drawing>
      </w:r>
    </w:p>
    <w:p>
      <w:pPr>
        <w:spacing w:after="0" w:line="22" w:lineRule="exact"/>
        <w:rPr>
          <w:sz w:val="20"/>
          <w:szCs w:val="20"/>
          <w:color w:val="auto"/>
        </w:rPr>
      </w:pPr>
    </w:p>
    <w:p>
      <w:pPr>
        <w:ind w:left="2180"/>
        <w:spacing w:after="0"/>
        <w:rPr>
          <w:sz w:val="20"/>
          <w:szCs w:val="20"/>
          <w:color w:val="auto"/>
        </w:rPr>
      </w:pPr>
      <w:r>
        <w:rPr>
          <w:rFonts w:ascii="Arial" w:cs="Arial" w:eastAsia="Arial" w:hAnsi="Arial"/>
          <w:sz w:val="18"/>
          <w:szCs w:val="18"/>
          <w:color w:val="auto"/>
        </w:rPr>
        <w:t>Louis R. Chênevert</w:t>
      </w:r>
    </w:p>
    <w:p>
      <w:pPr>
        <w:spacing w:after="0" w:line="9" w:lineRule="exact"/>
        <w:rPr>
          <w:sz w:val="20"/>
          <w:szCs w:val="20"/>
          <w:color w:val="auto"/>
        </w:rPr>
      </w:pPr>
    </w:p>
    <w:p>
      <w:pPr>
        <w:ind w:left="2180"/>
        <w:spacing w:after="0"/>
        <w:rPr>
          <w:sz w:val="20"/>
          <w:szCs w:val="20"/>
          <w:color w:val="auto"/>
        </w:rPr>
      </w:pPr>
      <w:r>
        <w:rPr>
          <w:rFonts w:ascii="Arial" w:cs="Arial" w:eastAsia="Arial" w:hAnsi="Arial"/>
          <w:sz w:val="18"/>
          <w:szCs w:val="18"/>
          <w:color w:val="auto"/>
        </w:rPr>
        <w:t>President and Chief Executive Officer</w:t>
      </w:r>
    </w:p>
    <w:p>
      <w:pPr>
        <w:spacing w:after="0" w:line="219" w:lineRule="exact"/>
        <w:rPr>
          <w:sz w:val="20"/>
          <w:szCs w:val="20"/>
          <w:color w:val="auto"/>
        </w:rPr>
      </w:pPr>
    </w:p>
    <w:p>
      <w:pPr>
        <w:spacing w:after="0"/>
        <w:tabs>
          <w:tab w:leader="none" w:pos="2160" w:val="left"/>
        </w:tabs>
        <w:rPr>
          <w:sz w:val="20"/>
          <w:szCs w:val="20"/>
          <w:color w:val="auto"/>
        </w:rPr>
      </w:pPr>
      <w:r>
        <w:rPr>
          <w:rFonts w:ascii="Arial" w:cs="Arial" w:eastAsia="Arial" w:hAnsi="Arial"/>
          <w:sz w:val="18"/>
          <w:szCs w:val="18"/>
          <w:color w:val="auto"/>
        </w:rPr>
        <w:t>Date: July 22, 2008</w:t>
      </w:r>
      <w:r>
        <w:rPr>
          <w:sz w:val="20"/>
          <w:szCs w:val="20"/>
          <w:color w:val="auto"/>
        </w:rPr>
        <w:tab/>
      </w:r>
      <w:r>
        <w:rPr>
          <w:rFonts w:ascii="Arial" w:cs="Arial" w:eastAsia="Arial" w:hAnsi="Arial"/>
          <w:sz w:val="15"/>
          <w:szCs w:val="15"/>
          <w:color w:val="auto"/>
        </w:rPr>
        <w:t>/s/ James E. Geisler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1385570</wp:posOffset>
            </wp:positionH>
            <wp:positionV relativeFrom="paragraph">
              <wp:posOffset>10795</wp:posOffset>
            </wp:positionV>
            <wp:extent cx="2898775" cy="8890"/>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2898775" cy="8890"/>
                    </a:xfrm>
                    <a:prstGeom prst="rect">
                      <a:avLst/>
                    </a:prstGeom>
                    <a:noFill/>
                  </pic:spPr>
                </pic:pic>
              </a:graphicData>
            </a:graphic>
          </wp:anchor>
        </w:drawing>
      </w:r>
    </w:p>
    <w:p>
      <w:pPr>
        <w:spacing w:after="0" w:line="16" w:lineRule="exact"/>
        <w:rPr>
          <w:sz w:val="20"/>
          <w:szCs w:val="20"/>
          <w:color w:val="auto"/>
        </w:rPr>
      </w:pPr>
    </w:p>
    <w:p>
      <w:pPr>
        <w:ind w:left="2180"/>
        <w:spacing w:after="0"/>
        <w:rPr>
          <w:sz w:val="20"/>
          <w:szCs w:val="20"/>
          <w:color w:val="auto"/>
        </w:rPr>
      </w:pPr>
      <w:r>
        <w:rPr>
          <w:rFonts w:ascii="Arial" w:cs="Arial" w:eastAsia="Arial" w:hAnsi="Arial"/>
          <w:sz w:val="18"/>
          <w:szCs w:val="18"/>
          <w:color w:val="auto"/>
        </w:rPr>
        <w:t>James E. Geisler</w:t>
      </w:r>
    </w:p>
    <w:p>
      <w:pPr>
        <w:spacing w:after="0" w:line="15" w:lineRule="exact"/>
        <w:rPr>
          <w:sz w:val="20"/>
          <w:szCs w:val="20"/>
          <w:color w:val="auto"/>
        </w:rPr>
      </w:pPr>
    </w:p>
    <w:p>
      <w:pPr>
        <w:ind w:left="2180"/>
        <w:spacing w:after="0"/>
        <w:rPr>
          <w:sz w:val="20"/>
          <w:szCs w:val="20"/>
          <w:color w:val="auto"/>
        </w:rPr>
      </w:pPr>
      <w:r>
        <w:rPr>
          <w:rFonts w:ascii="Arial" w:cs="Arial" w:eastAsia="Arial" w:hAnsi="Arial"/>
          <w:sz w:val="18"/>
          <w:szCs w:val="18"/>
          <w:color w:val="auto"/>
        </w:rPr>
        <w:t>Vice President, Finance</w:t>
      </w:r>
    </w:p>
    <w:p>
      <w:pPr>
        <w:spacing w:after="0" w:line="219" w:lineRule="exact"/>
        <w:rPr>
          <w:sz w:val="20"/>
          <w:szCs w:val="20"/>
          <w:color w:val="auto"/>
        </w:rPr>
      </w:pPr>
    </w:p>
    <w:p>
      <w:pPr>
        <w:spacing w:after="0"/>
        <w:tabs>
          <w:tab w:leader="none" w:pos="2160" w:val="left"/>
        </w:tabs>
        <w:rPr>
          <w:sz w:val="20"/>
          <w:szCs w:val="20"/>
          <w:color w:val="auto"/>
        </w:rPr>
      </w:pPr>
      <w:r>
        <w:rPr>
          <w:rFonts w:ascii="Arial" w:cs="Arial" w:eastAsia="Arial" w:hAnsi="Arial"/>
          <w:sz w:val="18"/>
          <w:szCs w:val="18"/>
          <w:color w:val="auto"/>
        </w:rPr>
        <w:t>Date: July 22, 2008</w:t>
      </w:r>
      <w:r>
        <w:rPr>
          <w:sz w:val="20"/>
          <w:szCs w:val="20"/>
          <w:color w:val="auto"/>
        </w:rPr>
        <w:tab/>
      </w:r>
      <w:r>
        <w:rPr>
          <w:rFonts w:ascii="Arial" w:cs="Arial" w:eastAsia="Arial" w:hAnsi="Arial"/>
          <w:sz w:val="15"/>
          <w:szCs w:val="15"/>
          <w:color w:val="auto"/>
        </w:rPr>
        <w:t>/s/ Gregory J. Hayes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1385570</wp:posOffset>
            </wp:positionH>
            <wp:positionV relativeFrom="paragraph">
              <wp:posOffset>10795</wp:posOffset>
            </wp:positionV>
            <wp:extent cx="2898775" cy="8890"/>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2898775" cy="8890"/>
                    </a:xfrm>
                    <a:prstGeom prst="rect">
                      <a:avLst/>
                    </a:prstGeom>
                    <a:noFill/>
                  </pic:spPr>
                </pic:pic>
              </a:graphicData>
            </a:graphic>
          </wp:anchor>
        </w:drawing>
      </w:r>
    </w:p>
    <w:p>
      <w:pPr>
        <w:spacing w:after="0" w:line="16" w:lineRule="exact"/>
        <w:rPr>
          <w:sz w:val="20"/>
          <w:szCs w:val="20"/>
          <w:color w:val="auto"/>
        </w:rPr>
      </w:pPr>
    </w:p>
    <w:p>
      <w:pPr>
        <w:ind w:left="2180"/>
        <w:spacing w:after="0"/>
        <w:rPr>
          <w:sz w:val="20"/>
          <w:szCs w:val="20"/>
          <w:color w:val="auto"/>
        </w:rPr>
      </w:pPr>
      <w:r>
        <w:rPr>
          <w:rFonts w:ascii="Arial" w:cs="Arial" w:eastAsia="Arial" w:hAnsi="Arial"/>
          <w:sz w:val="18"/>
          <w:szCs w:val="18"/>
          <w:color w:val="auto"/>
        </w:rPr>
        <w:t>Gregory J. Hayes</w:t>
      </w:r>
    </w:p>
    <w:p>
      <w:pPr>
        <w:spacing w:after="0" w:line="15" w:lineRule="exact"/>
        <w:rPr>
          <w:sz w:val="20"/>
          <w:szCs w:val="20"/>
          <w:color w:val="auto"/>
        </w:rPr>
      </w:pPr>
    </w:p>
    <w:p>
      <w:pPr>
        <w:ind w:left="2180"/>
        <w:spacing w:after="0"/>
        <w:rPr>
          <w:sz w:val="20"/>
          <w:szCs w:val="20"/>
          <w:color w:val="auto"/>
        </w:rPr>
      </w:pPr>
      <w:r>
        <w:rPr>
          <w:rFonts w:ascii="Arial" w:cs="Arial" w:eastAsia="Arial" w:hAnsi="Arial"/>
          <w:sz w:val="18"/>
          <w:szCs w:val="18"/>
          <w:color w:val="auto"/>
        </w:rPr>
        <w:t>Vice President, Accounting and Finance</w:t>
      </w:r>
    </w:p>
    <w:p>
      <w:pPr>
        <w:spacing w:after="0" w:line="219" w:lineRule="exact"/>
        <w:rPr>
          <w:sz w:val="20"/>
          <w:szCs w:val="20"/>
          <w:color w:val="auto"/>
        </w:rPr>
      </w:pPr>
    </w:p>
    <w:p>
      <w:pPr>
        <w:spacing w:after="0"/>
        <w:tabs>
          <w:tab w:leader="none" w:pos="2160" w:val="left"/>
        </w:tabs>
        <w:rPr>
          <w:sz w:val="20"/>
          <w:szCs w:val="20"/>
          <w:color w:val="auto"/>
        </w:rPr>
      </w:pPr>
      <w:r>
        <w:rPr>
          <w:rFonts w:ascii="Arial" w:cs="Arial" w:eastAsia="Arial" w:hAnsi="Arial"/>
          <w:sz w:val="18"/>
          <w:szCs w:val="18"/>
          <w:color w:val="auto"/>
        </w:rPr>
        <w:t>Date: July 22, 2008</w:t>
      </w:r>
      <w:r>
        <w:rPr>
          <w:sz w:val="20"/>
          <w:szCs w:val="20"/>
          <w:color w:val="auto"/>
        </w:rPr>
        <w:tab/>
      </w:r>
      <w:r>
        <w:rPr>
          <w:rFonts w:ascii="Arial" w:cs="Arial" w:eastAsia="Arial" w:hAnsi="Arial"/>
          <w:sz w:val="16"/>
          <w:szCs w:val="16"/>
          <w:color w:val="auto"/>
        </w:rPr>
        <w:t>/s/ Margaret M. Smyth</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1385570</wp:posOffset>
            </wp:positionH>
            <wp:positionV relativeFrom="paragraph">
              <wp:posOffset>10795</wp:posOffset>
            </wp:positionV>
            <wp:extent cx="2898775" cy="8890"/>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2898775" cy="8890"/>
                    </a:xfrm>
                    <a:prstGeom prst="rect">
                      <a:avLst/>
                    </a:prstGeom>
                    <a:noFill/>
                  </pic:spPr>
                </pic:pic>
              </a:graphicData>
            </a:graphic>
          </wp:anchor>
        </w:drawing>
      </w:r>
    </w:p>
    <w:p>
      <w:pPr>
        <w:spacing w:after="0" w:line="16" w:lineRule="exact"/>
        <w:rPr>
          <w:sz w:val="20"/>
          <w:szCs w:val="20"/>
          <w:color w:val="auto"/>
        </w:rPr>
      </w:pPr>
    </w:p>
    <w:p>
      <w:pPr>
        <w:ind w:left="2180"/>
        <w:spacing w:after="0"/>
        <w:rPr>
          <w:sz w:val="20"/>
          <w:szCs w:val="20"/>
          <w:color w:val="auto"/>
        </w:rPr>
      </w:pPr>
      <w:r>
        <w:rPr>
          <w:rFonts w:ascii="Arial" w:cs="Arial" w:eastAsia="Arial" w:hAnsi="Arial"/>
          <w:sz w:val="18"/>
          <w:szCs w:val="18"/>
          <w:color w:val="auto"/>
        </w:rPr>
        <w:t>Margaret M. Smyth</w:t>
      </w:r>
    </w:p>
    <w:p>
      <w:pPr>
        <w:spacing w:after="0" w:line="15" w:lineRule="exact"/>
        <w:rPr>
          <w:sz w:val="20"/>
          <w:szCs w:val="20"/>
          <w:color w:val="auto"/>
        </w:rPr>
      </w:pPr>
    </w:p>
    <w:p>
      <w:pPr>
        <w:ind w:left="2180"/>
        <w:spacing w:after="0"/>
        <w:rPr>
          <w:sz w:val="20"/>
          <w:szCs w:val="20"/>
          <w:color w:val="auto"/>
        </w:rPr>
      </w:pPr>
      <w:r>
        <w:rPr>
          <w:rFonts w:ascii="Arial" w:cs="Arial" w:eastAsia="Arial" w:hAnsi="Arial"/>
          <w:sz w:val="18"/>
          <w:szCs w:val="18"/>
          <w:color w:val="auto"/>
        </w:rPr>
        <w:t>Vice President, Controller</w:t>
      </w:r>
    </w:p>
    <w:sectPr>
      <w:pgSz w:w="11900" w:h="16838" w:orient="portrait"/>
      <w:cols w:equalWidth="0" w:num="1">
        <w:col w:w="11420"/>
      </w:cols>
      <w:pgMar w:left="240" w:top="125" w:right="2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140E0F76"/>
    <w:multiLevelType w:val="hybridMultilevel"/>
    <w:lvl w:ilvl="0">
      <w:lvlJc w:val="left"/>
      <w:lvlText w:val="☒"/>
      <w:numFmt w:val="bullet"/>
      <w:start w:val="1"/>
    </w:lvl>
  </w:abstractNum>
  <w:abstractNum w:abstractNumId="1">
    <w:nsid w:val="3352255A"/>
    <w:multiLevelType w:val="hybridMultilevel"/>
    <w:lvl w:ilvl="0">
      <w:lvlJc w:val="left"/>
      <w:lvlText w:val="☐"/>
      <w:numFmt w:val="bullet"/>
      <w:start w:val="1"/>
    </w:lvl>
  </w:abstractNum>
  <w:abstractNum w:abstractNumId="2">
    <w:nsid w:val="109CF92E"/>
    <w:multiLevelType w:val="hybridMultilevel"/>
    <w:lvl w:ilvl="0">
      <w:lvlJc w:val="left"/>
      <w:lvlText w:val="•"/>
      <w:numFmt w:val="bullet"/>
      <w:start w:val="1"/>
    </w:lvl>
  </w:abstractNum>
  <w:abstractNum w:abstractNumId="3">
    <w:nsid w:val="DED7263"/>
    <w:multiLevelType w:val="hybridMultilevel"/>
    <w:lvl w:ilvl="0">
      <w:lvlJc w:val="left"/>
      <w:lvlText w:val="*"/>
      <w:numFmt w:val="bullet"/>
      <w:start w:val="1"/>
    </w:lvl>
  </w:abstractNum>
  <w:abstractNum w:abstractNumId="4">
    <w:nsid w:val="7FDCC233"/>
    <w:multiLevelType w:val="hybridMultilevel"/>
    <w:lvl w:ilvl="0">
      <w:lvlJc w:val="left"/>
      <w:lvlText w:val="%1"/>
      <w:numFmt w:val="decimal"/>
      <w:start w:val="31"/>
    </w:lvl>
  </w:abstractNum>
  <w:abstractNum w:abstractNumId="5">
    <w:nsid w:val="1BEFD79F"/>
    <w:multiLevelType w:val="hybridMultilevel"/>
    <w:lvl w:ilvl="0">
      <w:lvlJc w:val="left"/>
      <w:lvlText w:val="%1"/>
      <w:numFmt w:val="decimal"/>
      <w:start w:val="31"/>
    </w:lvl>
  </w:abstractNum>
  <w:abstractNum w:abstractNumId="6">
    <w:nsid w:val="41A7C4C9"/>
    <w:multiLevelType w:val="hybridMultilevel"/>
    <w:lvl w:ilvl="0">
      <w:lvlJc w:val="left"/>
      <w:lvlText w:val="%1."/>
      <w:numFmt w:val="decimal"/>
      <w:start w:val="1"/>
    </w:lvl>
    <w:lvl w:ilvl="1">
      <w:lvlJc w:val="left"/>
      <w:lvlText w:val="(%2)"/>
      <w:numFmt w:val="lowerLetter"/>
      <w:start w:val="3"/>
    </w:lvl>
  </w:abstractNum>
  <w:abstractNum w:abstractNumId="7">
    <w:nsid w:val="6B68079A"/>
    <w:multiLevelType w:val="hybridMultilevel"/>
    <w:lvl w:ilvl="0">
      <w:lvlJc w:val="left"/>
      <w:lvlText w:val="(%1)"/>
      <w:numFmt w:val="lowerRoman"/>
      <w:start w:val="1"/>
    </w:lvl>
  </w:abstractNum>
  <w:abstractNum w:abstractNumId="8">
    <w:nsid w:val="4E6AFB66"/>
    <w:multiLevelType w:val="hybridMultilevel"/>
    <w:lvl w:ilvl="0">
      <w:lvlJc w:val="left"/>
      <w:lvlText w:val="%1."/>
      <w:numFmt w:val="decimal"/>
      <w:start w:val="3"/>
    </w:lvl>
  </w:abstractNum>
  <w:abstractNum w:abstractNumId="9">
    <w:nsid w:val="25E45D32"/>
    <w:multiLevelType w:val="hybridMultilevel"/>
    <w:lvl w:ilvl="0">
      <w:lvlJc w:val="left"/>
      <w:lvlText w:val="%1."/>
      <w:numFmt w:val="upperLetter"/>
      <w:start w:val="1"/>
    </w:lvl>
  </w:abstractNum>
  <w:abstractNum w:abstractNumId="10">
    <w:nsid w:val="519B500D"/>
    <w:multiLevelType w:val="hybridMultilevel"/>
    <w:lvl w:ilvl="0">
      <w:lvlJc w:val="left"/>
      <w:lvlText w:val="%1."/>
      <w:numFmt w:val="upperLetter"/>
      <w:start w:val="2"/>
    </w:lvl>
    <w:lvl w:ilvl="1">
      <w:lvlJc w:val="left"/>
      <w:lvlText w:val="(%2)"/>
      <w:numFmt w:val="lowerRoman"/>
      <w:start w:val="1"/>
    </w:lvl>
  </w:abstractNum>
  <w:abstractNum w:abstractNumId="11">
    <w:nsid w:val="431BD7B7"/>
    <w:multiLevelType w:val="hybridMultilevel"/>
    <w:lvl w:ilvl="0">
      <w:lvlJc w:val="left"/>
      <w:lvlText w:val="(%1)"/>
      <w:numFmt w:val="lowerRoman"/>
      <w:start w:val="2"/>
    </w:lvl>
  </w:abstractNum>
  <w:abstractNum w:abstractNumId="12">
    <w:nsid w:val="3F2DBA31"/>
    <w:multiLevelType w:val="hybridMultilevel"/>
    <w:lvl w:ilvl="0">
      <w:lvlJc w:val="left"/>
      <w:lvlText w:val="(%1)"/>
      <w:numFmt w:val="lowerLetter"/>
      <w:start w:val="61"/>
    </w:lvl>
    <w:lvl w:ilvl="1">
      <w:lvlJc w:val="left"/>
      <w:lvlText w:val="(%2)"/>
      <w:numFmt w:val="lowerLetter"/>
      <w:start w:val="1"/>
    </w:lvl>
  </w:abstractNum>
  <w:abstractNum w:abstractNumId="13">
    <w:nsid w:val="7C83E458"/>
    <w:multiLevelType w:val="hybridMultilevel"/>
    <w:lvl w:ilvl="0">
      <w:lvlJc w:val="left"/>
      <w:lvlText w:val="(%1)"/>
      <w:numFmt w:val="lowerLetter"/>
      <w:start w:val="3"/>
    </w:lvl>
  </w:abstractNum>
  <w:abstractNum w:abstractNumId="14">
    <w:nsid w:val="257130A3"/>
    <w:multiLevelType w:val="hybridMultilevel"/>
    <w:lvl w:ilvl="0">
      <w:lvlJc w:val="left"/>
      <w:lvlText w:val="(%1)"/>
      <w:numFmt w:val="lowerRoman"/>
      <w:start w:val="4"/>
    </w:lvl>
  </w:abstractNum>
  <w:abstractNum w:abstractNumId="15">
    <w:nsid w:val="62BBD95A"/>
    <w:multiLevelType w:val="hybridMultilevel"/>
    <w:lvl w:ilvl="0">
      <w:lvlJc w:val="left"/>
      <w:lvlText w:val="%1."/>
      <w:numFmt w:val="upperLetter"/>
      <w:start w:val="3"/>
    </w:lvl>
    <w:lvl w:ilvl="1">
      <w:lvlJc w:val="left"/>
      <w:lvlText w:val="(%2)"/>
      <w:numFmt w:val="lowerRoman"/>
      <w:start w:val="1"/>
    </w:lvl>
  </w:abstractNum>
  <w:abstractNum w:abstractNumId="16">
    <w:nsid w:val="436C6125"/>
    <w:multiLevelType w:val="hybridMultilevel"/>
    <w:lvl w:ilvl="0">
      <w:lvlJc w:val="left"/>
      <w:lvlText w:val="(%1)"/>
      <w:numFmt w:val="lowerRoman"/>
      <w:start w:val="4"/>
    </w:lvl>
  </w:abstractNum>
  <w:abstractNum w:abstractNumId="17">
    <w:nsid w:val="628C895D"/>
    <w:multiLevelType w:val="hybridMultilevel"/>
    <w:lvl w:ilvl="0">
      <w:lvlJc w:val="left"/>
      <w:lvlText w:val="%1."/>
      <w:numFmt w:val="upperLetter"/>
      <w:start w:val="4"/>
    </w:lvl>
    <w:lvl w:ilvl="1">
      <w:lvlJc w:val="left"/>
      <w:lvlText w:val="(%2)"/>
      <w:numFmt w:val="lowerRoman"/>
      <w:start w:val="1"/>
    </w:lvl>
  </w:abstractNum>
  <w:abstractNum w:abstractNumId="18">
    <w:nsid w:val="333AB105"/>
    <w:multiLevelType w:val="hybridMultilevel"/>
    <w:lvl w:ilvl="0">
      <w:lvlJc w:val="left"/>
      <w:lvlText w:val="(%1)"/>
      <w:numFmt w:val="lowerRoman"/>
      <w:start w:val="4"/>
    </w:lvl>
  </w:abstractNum>
  <w:abstractNum w:abstractNumId="19">
    <w:nsid w:val="721DA317"/>
    <w:multiLevelType w:val="hybridMultilevel"/>
    <w:lvl w:ilvl="0">
      <w:lvlJc w:val="left"/>
      <w:lvlText w:val="(%1)"/>
      <w:numFmt w:val="lowerRoman"/>
      <w:start w:val="8"/>
    </w:lvl>
  </w:abstractNum>
  <w:abstractNum w:abstractNumId="20">
    <w:nsid w:val="2443A858"/>
    <w:multiLevelType w:val="hybridMultilevel"/>
    <w:lvl w:ilvl="0">
      <w:lvlJc w:val="left"/>
      <w:lvlText w:val="%1."/>
      <w:numFmt w:val="decimal"/>
      <w:start w:val="1"/>
    </w:lvl>
    <w:lvl w:ilvl="1">
      <w:lvlJc w:val="left"/>
      <w:lvlText w:val="%2."/>
      <w:numFmt w:val="lowerLetter"/>
      <w:start w:val="1"/>
    </w:lvl>
  </w:abstractNum>
  <w:abstractNum w:abstractNumId="21">
    <w:nsid w:val="2D1D5AE9"/>
    <w:multiLevelType w:val="hybridMultilevel"/>
    <w:lvl w:ilvl="0">
      <w:lvlJc w:val="left"/>
      <w:lvlText w:val="%1."/>
      <w:numFmt w:val="decimal"/>
      <w:start w:val="1"/>
    </w:lvl>
    <w:lvl w:ilvl="1">
      <w:lvlJc w:val="left"/>
      <w:lvlText w:val="%2."/>
      <w:numFmt w:val="lowerLetter"/>
      <w:start w:val="1"/>
    </w:lvl>
  </w:abstractNum>
  <w:abstractNum w:abstractNumId="22">
    <w:nsid w:val="6763845E"/>
    <w:multiLevelType w:val="hybridMultilevel"/>
    <w:lvl w:ilvl="0">
      <w:lvlJc w:val="left"/>
      <w:lvlText w:val="%1."/>
      <w:numFmt w:val="decimal"/>
      <w:start w:val="1"/>
    </w:lvl>
    <w:lvl w:ilvl="1">
      <w:lvlJc w:val="left"/>
      <w:lvlText w:val="%2."/>
      <w:numFmt w:val="lowerLetter"/>
      <w:start w:val="1"/>
    </w:lvl>
  </w:abstractNum>
  <w:abstractNum w:abstractNumId="23">
    <w:nsid w:val="75A2A8D4"/>
    <w:multiLevelType w:val="hybridMultilevel"/>
    <w:lvl w:ilvl="0">
      <w:lvlJc w:val="left"/>
      <w:lvlText w:val="%1."/>
      <w:numFmt w:val="decimal"/>
      <w:start w:val="1"/>
    </w:lvl>
    <w:lvl w:ilvl="1">
      <w:lvlJc w:val="left"/>
      <w:lvlText w:val="%2."/>
      <w:numFmt w:val="lowerLetter"/>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2019-12-11T13:58:40Z</dcterms:created>
  <dcterms:modified xsi:type="dcterms:W3CDTF">2019-12-11T13:58:40Z</dcterms:modified>
</cp:coreProperties>
</file>