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7"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502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r>
        <w:trPr>
          <w:trHeight w:val="380"/>
        </w:trPr>
        <w:tc>
          <w:tcPr>
            <w:tcW w:w="6400" w:type="dxa"/>
            <w:vAlign w:val="bottom"/>
            <w:gridSpan w:val="6"/>
          </w:tcPr>
          <w:p>
            <w:pPr>
              <w:jc w:val="center"/>
              <w:ind w:left="2865"/>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6400" w:type="dxa"/>
            <w:vAlign w:val="bottom"/>
            <w:gridSpan w:val="6"/>
          </w:tcPr>
          <w:p>
            <w:pPr>
              <w:jc w:val="center"/>
              <w:ind w:left="2825"/>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45"/>
        </w:trPr>
        <w:tc>
          <w:tcPr>
            <w:tcW w:w="8720" w:type="dxa"/>
            <w:vAlign w:val="bottom"/>
            <w:gridSpan w:val="8"/>
          </w:tcPr>
          <w:p>
            <w:pPr>
              <w:jc w:val="center"/>
              <w:ind w:left="565"/>
              <w:spacing w:after="0"/>
              <w:rPr>
                <w:sz w:val="20"/>
                <w:szCs w:val="20"/>
                <w:color w:val="auto"/>
              </w:rPr>
            </w:pPr>
            <w:r>
              <w:rPr>
                <w:rFonts w:ascii="Times New Roman" w:cs="Times New Roman" w:eastAsia="Times New Roman" w:hAnsi="Times New Roman"/>
                <w:sz w:val="43"/>
                <w:szCs w:val="43"/>
                <w:b w:val="1"/>
                <w:bCs w:val="1"/>
                <w:color w:val="auto"/>
                <w:w w:val="99"/>
              </w:rPr>
              <w:t>RTX CORPORATION</w:t>
            </w:r>
          </w:p>
        </w:tc>
      </w:tr>
      <w:tr>
        <w:trPr>
          <w:trHeight w:val="237"/>
        </w:trPr>
        <w:tc>
          <w:tcPr>
            <w:tcW w:w="6400" w:type="dxa"/>
            <w:vAlign w:val="bottom"/>
            <w:gridSpan w:val="6"/>
          </w:tcPr>
          <w:p>
            <w:pPr>
              <w:jc w:val="center"/>
              <w:ind w:left="288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8"/>
        </w:trPr>
        <w:tc>
          <w:tcPr>
            <w:tcW w:w="5980" w:type="dxa"/>
            <w:vAlign w:val="bottom"/>
            <w:gridSpan w:val="5"/>
          </w:tcPr>
          <w:p>
            <w:pPr>
              <w:jc w:val="center"/>
              <w:ind w:left="3265"/>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5"/>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90"/>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1"/>
        </w:trPr>
        <w:tc>
          <w:tcPr>
            <w:tcW w:w="41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22209</w:t>
            </w:r>
          </w:p>
        </w:tc>
      </w:tr>
      <w:tr>
        <w:trPr>
          <w:trHeight w:val="190"/>
        </w:trPr>
        <w:tc>
          <w:tcPr>
            <w:tcW w:w="544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6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and “emerging growth company” in Rule 12b-2 of the Exchange Act.</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2025, there were 1,340,771,942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2025</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640" w:type="dxa"/>
            <w:vAlign w:val="bottom"/>
            <w:gridSpan w:val="12"/>
          </w:tcPr>
          <w:p>
            <w:pPr>
              <w:spacing w:after="0"/>
              <w:rPr>
                <w:sz w:val="19"/>
                <w:szCs w:val="19"/>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80" w:type="dxa"/>
            <w:vAlign w:val="bottom"/>
            <w:gridSpan w:val="11"/>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 of Operations for the quarters and nine months ended September 30, 2025 and 2024</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5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quarters and nine months ended September 30, 2025 and 2024</w:t>
            </w:r>
          </w:p>
        </w:tc>
        <w:tc>
          <w:tcPr>
            <w:tcW w:w="72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5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 at September 30, 2025 and December 31, 2024</w:t>
            </w:r>
          </w:p>
        </w:tc>
        <w:tc>
          <w:tcPr>
            <w:tcW w:w="72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7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nine months ended September 30, 2025 and 2024</w:t>
            </w:r>
          </w:p>
        </w:tc>
        <w:tc>
          <w:tcPr>
            <w:tcW w:w="2520" w:type="dxa"/>
            <w:vAlign w:val="bottom"/>
            <w:gridSpan w:val="4"/>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 of Changes in Equity for the quarters and nine months ended September 30, 2025 and 2024</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1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120" w:type="dxa"/>
            <w:vAlign w:val="bottom"/>
            <w:gridSpan w:val="2"/>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480" w:type="dxa"/>
            <w:vAlign w:val="bottom"/>
            <w:gridSpan w:val="5"/>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8160" w:type="dxa"/>
            <w:vAlign w:val="bottom"/>
            <w:gridSpan w:val="14"/>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r>
      <w:tr>
        <w:trPr>
          <w:trHeight w:val="26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40" w:type="dxa"/>
            <w:vAlign w:val="bottom"/>
            <w:tcBorders>
              <w:top w:val="single" w:sz="8" w:color="0000FF"/>
            </w:tcBorders>
            <w:gridSpan w:val="2"/>
          </w:tcPr>
          <w:p>
            <w:pPr>
              <w:spacing w:after="0"/>
              <w:rPr>
                <w:sz w:val="22"/>
                <w:szCs w:val="22"/>
                <w:color w:val="auto"/>
              </w:rPr>
            </w:pPr>
          </w:p>
        </w:tc>
        <w:tc>
          <w:tcPr>
            <w:tcW w:w="7960" w:type="dxa"/>
            <w:vAlign w:val="bottom"/>
            <w:gridSpan w:val="13"/>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900" w:type="dxa"/>
            <w:vAlign w:val="bottom"/>
            <w:gridSpan w:val="17"/>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640" w:type="dxa"/>
            <w:vAlign w:val="bottom"/>
            <w:gridSpan w:val="16"/>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22"/>
                <w:szCs w:val="22"/>
                <w:color w:val="auto"/>
              </w:rPr>
            </w:pPr>
          </w:p>
        </w:tc>
      </w:tr>
      <w:tr>
        <w:trPr>
          <w:trHeight w:val="20"/>
        </w:trPr>
        <w:tc>
          <w:tcPr>
            <w:tcW w:w="14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3"/>
                <w:szCs w:val="13"/>
                <w:color w:val="auto"/>
              </w:rPr>
            </w:pPr>
          </w:p>
        </w:tc>
        <w:tc>
          <w:tcPr>
            <w:tcW w:w="186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Products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16,264</w:t>
            </w:r>
          </w:p>
        </w:tc>
        <w:tc>
          <w:tcPr>
            <w:tcW w:w="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14,708</w:t>
            </w:r>
          </w:p>
        </w:tc>
        <w:tc>
          <w:tcPr>
            <w:tcW w:w="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46,406</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43,573</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Services sales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6,214</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17,959</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15,542</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22,478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20,089</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64,365</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59,115</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sales - products</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13,593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38,865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37,177</w:t>
            </w:r>
          </w:p>
        </w:tc>
        <w:tc>
          <w:tcPr>
            <w:tcW w:w="0" w:type="dxa"/>
            <w:vAlign w:val="bottom"/>
          </w:tcPr>
          <w:p>
            <w:pPr>
              <w:spacing w:after="0"/>
              <w:rPr>
                <w:sz w:val="1"/>
                <w:szCs w:val="1"/>
                <w:color w:val="auto"/>
              </w:rPr>
            </w:pPr>
          </w:p>
        </w:tc>
      </w:tr>
      <w:tr>
        <w:trPr>
          <w:trHeight w:val="231"/>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sales - services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4,305</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12,428</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10,763</w:t>
            </w: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684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1,436</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4,457</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20,018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57,768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54,298</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107</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2,523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6,704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0" w:type="dxa"/>
            <w:vAlign w:val="bottom"/>
          </w:tcPr>
          <w:p>
            <w:pPr>
              <w:spacing w:after="0"/>
              <w:rPr>
                <w:sz w:val="1"/>
                <w:szCs w:val="1"/>
                <w:color w:val="auto"/>
              </w:rPr>
            </w:pPr>
          </w:p>
        </w:tc>
      </w:tr>
      <w:tr>
        <w:trPr>
          <w:trHeight w:val="23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(1,081)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449</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1,349</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net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268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2,438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6,436</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4,185</w:t>
            </w:r>
          </w:p>
        </w:tc>
        <w:tc>
          <w:tcPr>
            <w:tcW w:w="0" w:type="dxa"/>
            <w:vAlign w:val="bottom"/>
          </w:tcPr>
          <w:p>
            <w:pPr>
              <w:spacing w:after="0"/>
              <w:rPr>
                <w:sz w:val="1"/>
                <w:szCs w:val="1"/>
                <w:color w:val="auto"/>
              </w:rPr>
            </w:pPr>
          </w:p>
        </w:tc>
      </w:tr>
      <w:tr>
        <w:trPr>
          <w:trHeight w:val="228"/>
        </w:trPr>
        <w:tc>
          <w:tcPr>
            <w:tcW w:w="6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1,080</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2,006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5,356</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0" w:type="dxa"/>
            <w:vAlign w:val="bottom"/>
          </w:tcPr>
          <w:p>
            <w:pPr>
              <w:spacing w:after="0"/>
              <w:rPr>
                <w:sz w:val="1"/>
                <w:szCs w:val="1"/>
                <w:color w:val="auto"/>
              </w:rPr>
            </w:pPr>
          </w:p>
        </w:tc>
      </w:tr>
      <w:tr>
        <w:trPr>
          <w:trHeight w:val="228"/>
        </w:trPr>
        <w:tc>
          <w:tcPr>
            <w:tcW w:w="6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Noncontrolling interest in subsidiaries’ earnings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246</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1,918</w:t>
            </w:r>
          </w:p>
        </w:tc>
        <w:tc>
          <w:tcPr>
            <w:tcW w:w="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5,110</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shareowners: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1.43</w:t>
            </w:r>
          </w:p>
        </w:tc>
        <w:tc>
          <w:tcPr>
            <w:tcW w:w="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3.81</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238"/>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1.41</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3.77</w:t>
            </w: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5,356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1,965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6,679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1,877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6,433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78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5,966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12,837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10,976</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assets, net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16,604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14,570</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Inventory,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13,806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12,768</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current</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7,905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7,241</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57,118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51,133</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2,071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34,370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32,783</w:t>
            </w:r>
          </w:p>
        </w:tc>
      </w:tr>
      <w:tr>
        <w:trPr>
          <w:trHeight w:val="229"/>
        </w:trPr>
        <w:tc>
          <w:tcPr>
            <w:tcW w:w="62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(18,045)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(16,694)</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Fixed assets,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16,325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1,899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53,311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32,260</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33,443</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5,688</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5,297</w:t>
            </w:r>
          </w:p>
        </w:tc>
      </w:tr>
      <w:tr>
        <w:trPr>
          <w:trHeight w:val="232"/>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168,672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162,861</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borrowings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14,552</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12,897</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2,937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14,835</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14,831</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liabilities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20,111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18,616</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584</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53,234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51,499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38,260</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38,726</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1,650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1,981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7,154</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6,942</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102,279</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100,903</w:t>
            </w:r>
          </w:p>
        </w:tc>
      </w:tr>
      <w:tr>
        <w:trPr>
          <w:trHeight w:val="221"/>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37,869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37,434</w:t>
            </w:r>
          </w:p>
        </w:tc>
      </w:tr>
      <w:tr>
        <w:trPr>
          <w:trHeight w:val="228"/>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w:t>
            </w:r>
          </w:p>
        </w:tc>
        <w:tc>
          <w:tcPr>
            <w:tcW w:w="17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(26,937)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(27,112)</w:t>
            </w:r>
          </w:p>
        </w:tc>
      </w:tr>
      <w:tr>
        <w:trPr>
          <w:trHeight w:val="231"/>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56,014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53,589</w:t>
            </w:r>
          </w:p>
        </w:tc>
      </w:tr>
      <w:tr>
        <w:trPr>
          <w:trHeight w:val="228"/>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(2,432)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(3,755)</w:t>
            </w:r>
          </w:p>
        </w:tc>
      </w:tr>
      <w:tr>
        <w:trPr>
          <w:trHeight w:val="225"/>
        </w:trPr>
        <w:tc>
          <w:tcPr>
            <w:tcW w:w="6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64,514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60,156</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1,845</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equity</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66,359</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61,923</w:t>
            </w:r>
          </w:p>
        </w:tc>
      </w:tr>
      <w:tr>
        <w:trPr>
          <w:trHeight w:val="232"/>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168,672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162,861</w:t>
            </w: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5,356</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flows provided by operating activities: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3,219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598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income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Gain on sale of Cybersecurity, Intelligence and Services (CIS) business, net of transaction costs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26"/>
        </w:trPr>
        <w:tc>
          <w:tcPr>
            <w:tcW w:w="8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(2,124)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(1,015)</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2,096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1,329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6,402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(1,657)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1,188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other intangible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Receipts from settlements of derivative contracts, net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(2,289)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other short-term borrowings, net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(2,660)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(339)</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used in financing activities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(5,332)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(4,749)</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5,606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6,626</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6,004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 current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5,966</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6,682</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40" w:type="dxa"/>
            <w:vAlign w:val="bottom"/>
          </w:tcPr>
          <w:p>
            <w:pPr>
              <w:spacing w:after="0"/>
              <w:rPr>
                <w:sz w:val="16"/>
                <w:szCs w:val="16"/>
                <w:color w:val="auto"/>
              </w:rPr>
            </w:pPr>
          </w:p>
        </w:tc>
        <w:tc>
          <w:tcPr>
            <w:tcW w:w="232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64,206</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60,650</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61,923</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61,410</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37,680</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37,434</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37,055</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225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70</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210</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37,869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37,276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37,869</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37,276</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(26,995)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(27,112)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(26,977)</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58</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225</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(26,937)</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(27,141)</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(26,937)</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(27,141)</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54,104</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53,589</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52,154</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1,918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5,110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(2,543)</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56,014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52,948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56,014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52,948</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(2,391)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(3,755)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1,323</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(2,432)</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(2,432)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1,808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1,767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88</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246</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1,845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1,845</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0" w:type="dxa"/>
            <w:vAlign w:val="bottom"/>
          </w:tcPr>
          <w:p>
            <w:pPr>
              <w:spacing w:after="0"/>
              <w:rPr>
                <w:sz w:val="1"/>
                <w:szCs w:val="1"/>
                <w:color w:val="auto"/>
              </w:rPr>
            </w:pPr>
          </w:p>
        </w:tc>
      </w:tr>
      <w:tr>
        <w:trPr>
          <w:trHeight w:val="232"/>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September 30</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66,359</w:t>
            </w: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62,826</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66,359</w:t>
            </w: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62,826</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1,400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5,838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5,660</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396</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w:t>
            </w:r>
          </w:p>
        </w:tc>
        <w:tc>
          <w:tcPr>
            <w:tcW w:w="0" w:type="dxa"/>
            <w:vAlign w:val="bottom"/>
          </w:tcPr>
          <w:p>
            <w:pPr>
              <w:spacing w:after="0"/>
              <w:rPr>
                <w:sz w:val="1"/>
                <w:szCs w:val="1"/>
                <w:color w:val="auto"/>
              </w:rPr>
            </w:pPr>
          </w:p>
        </w:tc>
      </w:tr>
      <w:tr>
        <w:trPr>
          <w:trHeight w:val="228"/>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shares reissued related to 401(k) matching contributions</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830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3,206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38"/>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1.990</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September 30, 2025 and for the quarters and nine months ended September 30, 2025 and 2024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2024 Annual Report on Form 10-K.</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 References to “Raytheon Company” mean Raytheon Company, which became a wholly owned subsidiary of RTX on April 3, 2020 during an all-stock merger transaction between United Technologies Corporation and Raytheon Company (the surviving company of which is RTX Corporation).</w:t>
      </w:r>
    </w:p>
    <w:p>
      <w:pPr>
        <w:spacing w:after="0" w:line="68" w:lineRule="exact"/>
        <w:rPr>
          <w:sz w:val="20"/>
          <w:szCs w:val="20"/>
          <w:color w:val="auto"/>
        </w:rPr>
      </w:pPr>
    </w:p>
    <w:p>
      <w:pPr>
        <w:ind w:right="2140"/>
        <w:spacing w:after="0" w:line="266" w:lineRule="auto"/>
        <w:rPr>
          <w:sz w:val="20"/>
          <w:szCs w:val="20"/>
          <w:color w:val="auto"/>
        </w:rPr>
      </w:pPr>
      <w:r>
        <w:rPr>
          <w:rFonts w:ascii="Times New Roman" w:cs="Times New Roman" w:eastAsia="Times New Roman" w:hAnsi="Times New Roman"/>
          <w:sz w:val="18"/>
          <w:szCs w:val="18"/>
          <w:color w:val="auto"/>
        </w:rPr>
        <w:t>We reclassified certain immaterial prior period amounts within our Condensed Consolidated Statement of Cash Flows and Condensed Consolidated Statement of Changes in Equity related to our share-based 401(k) matching contributions to conform to our current period presentation.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calendar quarter end. Throughout this Form 10-Q, when we refer to the quarters and nine months ended September 30, 2025 and 2024 with respect to Raytheon, we are referring to their September 28, 2025 and September 29, 2024 fiscal quarter ends, respectively.</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As previously disclosed, in 2024 the Company resolved several outstanding legal matters, herein referred to as “Resolution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Matters.” See “Note 16: Commitments and Contingencies”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and Dispositions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On July 21, 2025, we completed the previously announced sale of the actuation and flight control business within our Collins segment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proceeds of $1.8 billion. Cash received of $1.6 billion, net of cash transferred, included amounts attributable to continuing service agreements supporting the buyer post-closing. The sale resulted in a pre-tax gain of $0.1 billion, which was recorded in Other income (expense), net within the Condensed Consolidated Statement of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2025, we entered into a definitive agreement to sell the Simmonds Precision Products business within our Collins segment for approximately $0.8 billion in gross proceeds. The sale of this business was completed on October 6, 2025.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we completed the sale of the Cybersecurity, Intelligence and Services (CIS) business within our Raytheon segment for proceeds of approximately $1.3 billion in cash, resulting in an aggregate pre-tax gain, net of transaction and other related costs, of $0.4 billion ($0.2 billion after tax), primarily recognized in Other income (expense), net within the Condensed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nine months ended September 30, 2025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300" w:type="dxa"/>
            <w:vAlign w:val="bottom"/>
          </w:tcPr>
          <w:p>
            <w:pPr>
              <w:spacing w:after="0"/>
              <w:rPr>
                <w:sz w:val="13"/>
                <w:szCs w:val="13"/>
                <w:color w:val="auto"/>
              </w:rPr>
            </w:pPr>
          </w:p>
        </w:tc>
        <w:tc>
          <w:tcPr>
            <w:tcW w:w="15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20" w:type="dxa"/>
            <w:vAlign w:val="bottom"/>
          </w:tcPr>
          <w:p>
            <w:pPr>
              <w:spacing w:after="0"/>
              <w:rPr>
                <w:sz w:val="13"/>
                <w:szCs w:val="13"/>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3"/>
                <w:szCs w:val="13"/>
                <w:color w:val="auto"/>
              </w:rPr>
            </w:pPr>
          </w:p>
        </w:tc>
        <w:tc>
          <w:tcPr>
            <w:tcW w:w="15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32,223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777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18,986</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18,987</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52,772</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778</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53,294</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52,789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778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53,311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firstLine="8"/>
        <w:spacing w:after="0" w:line="28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related to Acquisitions and Divestitures includes the reclassification of goodwill to assets held for sale and presented in Other assets within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31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6,159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3,872</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3,692</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1,197</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29,333</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29,388</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40,594</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(16,810)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40,436</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8,476</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8,463</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49,070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(16,810)</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48,899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and nine months ended September 30, 2025 and 2024 was $520 million and $1,529 million and $560 million and $1,620 million, respectively. The following is the expected amortization of intangible assets for the remainder of 2025 through 2030: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2028</w:t>
            </w:r>
          </w:p>
        </w:tc>
        <w:tc>
          <w:tcPr>
            <w:tcW w:w="380" w:type="dxa"/>
            <w:vAlign w:val="bottom"/>
          </w:tcPr>
          <w:p>
            <w:pPr>
              <w:spacing w:after="0"/>
              <w:rPr>
                <w:sz w:val="16"/>
                <w:szCs w:val="16"/>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2030</w:t>
            </w:r>
          </w:p>
        </w:tc>
        <w:tc>
          <w:tcPr>
            <w:tcW w:w="0" w:type="dxa"/>
            <w:vAlign w:val="bottom"/>
          </w:tcPr>
          <w:p>
            <w:pPr>
              <w:spacing w:after="0"/>
              <w:rPr>
                <w:sz w:val="1"/>
                <w:szCs w:val="1"/>
                <w:color w:val="auto"/>
              </w:rPr>
            </w:pPr>
          </w:p>
        </w:tc>
      </w:tr>
      <w:tr>
        <w:trPr>
          <w:trHeight w:val="23"/>
        </w:trPr>
        <w:tc>
          <w:tcPr>
            <w:tcW w:w="4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6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78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1,810</w:t>
            </w: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513"/>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7"/>
                <w:szCs w:val="17"/>
                <w:color w:val="auto"/>
              </w:rPr>
            </w:pPr>
          </w:p>
        </w:tc>
        <w:tc>
          <w:tcPr>
            <w:tcW w:w="2480" w:type="dxa"/>
            <w:vAlign w:val="bottom"/>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w:t>
            </w:r>
          </w:p>
        </w:tc>
        <w:tc>
          <w:tcPr>
            <w:tcW w:w="580" w:type="dxa"/>
            <w:vAlign w:val="bottom"/>
            <w:tcBorders>
              <w:bottom w:val="single" w:sz="8" w:color="auto"/>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1,343.1</w:t>
            </w: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1,340.2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1,358.4</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1,354.7</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shareowners:</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5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5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 and nine months ended September 30, 2025, the number of stock awards excluded from the computation was 0.7 million and 1.9 million, respectively. There were no stock awards excluded from the computation for the quarter ended September 30, 2024, and the number of stock awards excluded from the nine months ended September 30, 2024 was 6.4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Changes in Contract Estimates at Completion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attributable to common shareowners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per share attributable to common shareowners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nine months ended September 30, 2024, Raytheon initiated the termination of a fixed price development contract with a foreign customer, herein referred to as “Raytheon Contract Termination.” As a result of this action, Raytheon recognized a $0.6 billion charge related to the estimated impact of this termination. This charge included the write-off of remaining contract assets and the estimated settlement with the customer. The Raytheon Contract Termination was completed, including customer settlement, during the fourth quarter of 2024, in line with previously accrued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3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13,177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12,837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6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16,604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(20,111)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net, increased $2.0 billion during the nine months ended September 30, 2025 primarily due to sales in excess of billings on certain contracts at Pratt &amp; Whitney, partially offset by an increase in the allowance for expected credit losses due to a customer bankruptcy recorded at Pratt &amp; Whitney in the second quarter of 2025. Contract liabilities increased $1.5 billion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primarily due to advances received and billings in excess of sales on certain contracts at Pratt &amp; Whitney. We recognized revenue of $1.5 billion and $6.5 billion during the quarter and nine months ended September 30, 2025 related to contract liabilities outstanding as of January 1, 2025 and recognized revenue of $1.3 billion and $5.7 billion during the quarter and nine months ended September 30, 2024, related to contract liabilities outstanding as of January 1,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are net of an allowance for expected credit losses of $0.7 billion and $0.5 billion as of September 30, 2025 and December 31, 2024, respectively. The increase in allowance for expected credit losses as of September 30, 2025 as compared to December 31, 2024 was primarily related to an increase in reserves as a result of a customer bankruptcy recorded at Pratt &amp; Whitney in the second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Inventory,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60" w:type="dxa"/>
            <w:vAlign w:val="bottom"/>
          </w:tcPr>
          <w:p>
            <w:pPr>
              <w:spacing w:after="0"/>
              <w:rPr>
                <w:sz w:val="16"/>
                <w:szCs w:val="16"/>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4,617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360" w:type="dxa"/>
            <w:vAlign w:val="bottom"/>
          </w:tcPr>
          <w:p>
            <w:pPr>
              <w:spacing w:after="0"/>
              <w:rPr>
                <w:sz w:val="19"/>
                <w:szCs w:val="19"/>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4,774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4,415</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13,806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Borrowings and Lines of Credit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we had a revolving credit agreement with various banks permitting aggregate borrowings of up to $5.0 billion, which expires in August 2028. As of September 30, 2025, there were no borrowings outstanding under this agreement.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2025, our maximum commercial paper borrowing limit was $5.0 billion as the commercial paper is backed by our $5.0 billion revolving credit agreement. At September 30, 2025 and December 31, 2024, we had no commercial paper borrowings outstanding. There were no new borrowings and no new repayments of commercial paper with maturities greater than 90 days during the nine months ended September 30, 2025 and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repayments of long-term debt during the nine months ended September 30, 2025 and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8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920" w:type="dxa"/>
            <w:vAlign w:val="bottom"/>
          </w:tcPr>
          <w:p>
            <w:pPr>
              <w:spacing w:after="0"/>
              <w:rPr>
                <w:sz w:val="13"/>
                <w:szCs w:val="13"/>
                <w:color w:val="auto"/>
              </w:rPr>
            </w:pPr>
          </w:p>
        </w:tc>
        <w:tc>
          <w:tcPr>
            <w:tcW w:w="322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auto"/>
            </w:tcBorders>
            <w:vMerge w:val="continue"/>
          </w:tcPr>
          <w:p>
            <w:pPr>
              <w:spacing w:after="0"/>
              <w:rPr>
                <w:sz w:val="17"/>
                <w:szCs w:val="17"/>
                <w:color w:val="auto"/>
              </w:rPr>
            </w:pPr>
          </w:p>
        </w:tc>
        <w:tc>
          <w:tcPr>
            <w:tcW w:w="48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18, 2025</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3.950% notes due 2025</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4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3.200% notes due 2024</w:t>
            </w: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39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5.000% notes due 2026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719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2026</w:t>
            </w: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1,250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1,100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312"/>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1,300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Pr>
          <w:p>
            <w:pPr>
              <w:spacing w:after="0"/>
              <w:rPr>
                <w:sz w:val="16"/>
                <w:szCs w:val="16"/>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2029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6.000% notes due 2031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5.150% notes due 2033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6.100% notes due 2034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575</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5.375% notes due 2053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6.400% notes due 2054 </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0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38,919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41,146</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market value adjustments, (discounts)/premiums, and debt issuance costs)</w:t>
            </w:r>
          </w:p>
        </w:tc>
        <w:tc>
          <w:tcPr>
            <w:tcW w:w="10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38,844</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584</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230"/>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38,260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38,726</w:t>
            </w:r>
          </w:p>
        </w:tc>
      </w:tr>
    </w:tbl>
    <w:p>
      <w:pPr>
        <w:spacing w:after="0" w:line="16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as of September 30, 2025 is approximately 12 years.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180" w:type="dxa"/>
            <w:vAlign w:val="bottom"/>
          </w:tcPr>
          <w:p>
            <w:pPr>
              <w:spacing w:after="0"/>
              <w:rPr>
                <w:sz w:val="19"/>
                <w:szCs w:val="19"/>
                <w:color w:val="auto"/>
              </w:rPr>
            </w:pPr>
          </w:p>
        </w:tc>
        <w:tc>
          <w:tcPr>
            <w:tcW w:w="130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316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1,057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2,659</w:t>
            </w:r>
          </w:p>
        </w:tc>
        <w:tc>
          <w:tcPr>
            <w:tcW w:w="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5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40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5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5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41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net periodic income for our defined pension plans were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587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1,756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loss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loss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pension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6"/>
                <w:szCs w:val="16"/>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quarter and nine months ended September 30, 2025 was 17.7% and 16.8%, respectively, as compared to 19.5% and 17.5% for the quarter and nine months ended September 30, 2024,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lower effective tax rate for the quarter ended September 30, 2025 compared to September 30, 2024 was primarily driven by the absence of a $0.2 billion tax charge related to U.S. federal income taxes owed by the Company resulting from a favorable non-U.S. tax ruling Otis received in the quarter ending September 30, 2024 impacting pre-separation tax years. The lower effective tax rate also included additional tax expense in the quarter ended September 30, 2025 due to the sale of the Collins actuation and flight control business and higher taxes for 2025, principally driven by the enactment of “An Act to Provide for Reconciliation Pursuant to Title II of the H. Con. Res. 14” on July 4, 2025. Both periods also included tax benefits associated with certain legal entity reorganizations.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rates for the nine months ended September 30, 2025 and 2024 were relatively consistent. In addition to the items noted above, the effective tax rate for the nine months ended September 30, 2024 included a $0.3 billion benefit from the impact of the conclusion of the examination phases of the RTX and Rockwell Collins audits, that was more than offset by an unfavorable impact for the tax cost associated with the sale of the CIS business and the impact of the Resolution of Certain Legal Matters accrued during the second quarter of 2024, in which no tax benefit was recorded.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certain Internal Revenue Service (IRS) audits, the Company has previously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is in the process of disputing these adjustments at the Appeals Division of the IRS. The Company expects resolution at the Appeals Division for the RTX and Rockwell tax years within the next twelve months. The timing of any resolution at the Appeals Division for the Raytheon Company tax years is uncertain.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2025, the Company received an unfavorable decision from the Appeals Committee of the Kingdom of Saudi Arabia (KSA) General Secretariat of the Tax Committees (GTSC) and recorded the net income impact of this decision. The Company continues to believe the position of the KSA tax authority is not supported by the facts in question or KSA tax law and is pursuing available options to seek reversal of the GSTC’s decision.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present value of the aggregate notional principal of our outstanding foreign currency hedges was $24 billion and $17 billion at September 30, 2025 and December 31,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00" w:type="dxa"/>
            <w:vAlign w:val="bottom"/>
          </w:tcPr>
          <w:p>
            <w:pPr>
              <w:spacing w:after="0"/>
              <w:rPr>
                <w:sz w:val="16"/>
                <w:szCs w:val="16"/>
                <w:color w:val="auto"/>
              </w:rPr>
            </w:pPr>
          </w:p>
        </w:tc>
        <w:tc>
          <w:tcPr>
            <w:tcW w:w="15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274</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68</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all derivative contracts accounted for as cash flow hedges will mature by May 2036. Cash receipts or payments on derivatives designated as cash flow hedges are recorded in Other operating activities, net within the Condensed Consolidated Statement of Cash Flows. The Company utilizes the critical terms match method for cash flow hedges in assessing derivatives for hedge effectiveness. Gains or losses attributable to cash flow hedging contract activity are primarily recorded as a component of Products sales when reclassified from Accumulated other comprehensive loss.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forward exchange contracts to partially hedge its net investment in certain foreign subsidiaries denominated in EUR and CAD. The Company assesses the effectiveness of its net investment hedges using the spot method. Cash receipts or payments on derivatives designated as net investment hedges are recorded as investing cash flows within the Condensed Consolidated Statement of Cash Flows.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€320 million of our €500 million principal value of euro-denominated long-term debt designated as a net investment hedge against our investments in European businesses. At March 31, 2025, this was no longer designated as a net investment hedge and subsequent effects are reflected within Other income (expense), net.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cash flow hedging and net investment hedging relationships on Accumulated other comprehensive loss and on the Condensed Consolidated Statement of Operations in the quarters and nine months ended September 30, 2025 and 2024 are presented in “Note 17: Equity.” The hedged items and derivatives designated as hedging instruments are highly effective.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(expense), net, on the Condensed Consolidated Statement of Operations and is not significant. Cash receipts or payments related to the settlement of derivatives not designated as hedging instruments are recorded as investing cash flows within the Condensed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713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641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362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362</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342</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342</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95"/>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2520" w:type="dxa"/>
            <w:vAlign w:val="bottom"/>
            <w:gridSpan w:val="3"/>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center"/>
              <w:ind w:right="20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center"/>
              <w:ind w:right="24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5"/>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38,766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36,854</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40,991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37,956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36,854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34,823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0" w:type="dxa"/>
            <w:vAlign w:val="bottom"/>
          </w:tcPr>
          <w:p>
            <w:pPr>
              <w:spacing w:after="0"/>
              <w:rPr>
                <w:sz w:val="1"/>
                <w:szCs w:val="1"/>
                <w:color w:val="auto"/>
              </w:rPr>
            </w:pPr>
          </w:p>
        </w:tc>
      </w:tr>
      <w:tr>
        <w:trPr>
          <w:trHeight w:val="39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37,956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35,180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and is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Variable Interest Entities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 IAE and IAE LLC, after considering its sub-collaborator share, is 57% and 51%, respectively. The carrying amounts and classification of assets and liabilities for variable interest entities in our Condensed Consolidated Balance Sheet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6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13,240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r>
      <w:tr>
        <w:trPr>
          <w:trHeight w:val="229"/>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1,144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4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14,384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15,142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109</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4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15,251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2062. Additional guarantees of project performance for which there is no stated value also remain outstanding. A portion of our third party guarantees are subject to indemnification for our benefit for any liabilities that could arise. As of September 30, 2025 and December 31, 2024,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was $0.1 billion at September 30, 2025 and December 31,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related to these obligations is not a specified amount, as a number of the obligations do not contain financial caps. The carrying amount of liabilities related to these obligations was $0.1 billion at September 30, 2025 and December 31, 2024. These primarily relate to environmental liabilities, which are included in our total environmental liabilities as further discussed in “Note 16: Commitments and Contingencies.”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and product performance guarantees for the nine months ended September 30, 2025 and 2024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993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219</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1,010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and service guarantees incurred in connection with long term production contracts and certain aftermarket arrangements are generally accounted for within the contract estimates at completion.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September 30, 2025 and December 31, 2024, we had $0.8 billion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$13.3 billion and $14.1 billion as of September 30, 2025 and December 31, 2024,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creditworthiness of our customers. As a result, the fair value of these financing commitments is expected to equal the amounts funded.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each hour flown through June 2027 by the V2500-powered aircraft in service as of the acquisition date. These flight hour payments are capitalized as collaboration intangible assets as payments are made.</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guarantee, and advance payment obligations for us or our affiliates. We enter into these agreements to assist certain affiliates in obtaining financing on more favorable terms, making bids on contracts, and performing their contractual and other obligations. The stated values of these letters of credit agreements and surety bonds totaled $4.1 billion as of September 30, 2025.</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 Industrial Participation Obligations. </w:t>
      </w:r>
      <w:r>
        <w:rPr>
          <w:rFonts w:ascii="Times New Roman" w:cs="Times New Roman" w:eastAsia="Times New Roman" w:hAnsi="Times New Roman"/>
          <w:sz w:val="18"/>
          <w:szCs w:val="18"/>
          <w:color w:val="auto"/>
        </w:rPr>
        <w:t>We have entered into industrial cooperation agreements, sometimes in the form of either offset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ICIP agreements, as a condition to obtaining orders for our products and services from certain customers in foreign countries. At September 30, 2025, the aggregate amount of these agreements, both agreed to and anticipated to be agreed to, had an outstanding notional value of approximately $11.5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 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in 2024 the Company entered into a deferred prosecution agreement (DPA) (DPA-1) with the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The CA, which has a three-year term, requires the Company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8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Treatment of Carrier and Otis Dispositions. </w:t>
      </w:r>
      <w:r>
        <w:rPr>
          <w:rFonts w:ascii="Times New Roman" w:cs="Times New Roman" w:eastAsia="Times New Roman" w:hAnsi="Times New Roman"/>
          <w:sz w:val="18"/>
          <w:szCs w:val="18"/>
          <w:color w:val="auto"/>
        </w:rPr>
        <w:t>Management has determined that the distributions of Carrier and Otis on April 3, 2020,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PW1100G-JM (PW1100) Geared Turbofan (GTF) fleet, which powers the A320neo family of aircraft (A320neo) (herein referred to as the “Powder Metal Matter”).</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charge recorded in the third quarter of 2023 resulted in a net increase in Other accrued liabilities of $2.8 billion, which principally related to our 51% share of an accrual for expected customer compensation. At September 30, 2025 and December 31, 2024, we had other accrued liabilities of $0.9 billion and $1.7 billion, respectively, primarily related to expected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to customers. The decrease in the accrual during the nine months ended September 30, 2025 was primarily due to customer compensation in the form of credits issued and cash paid to customers during the period.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alleged overpayments of approximately $1.7 billion plus interest ($1.4 billion at September 30, 2025).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On September 30, 2024, a DCMA DACO issued a second claim against Pratt &amp; Whitney that similarly alleges that Pratt &amp; Whitney was noncompliant with CAS due to its method of allocating independent research and development costs to government contracts from April 1,</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to December 31, 2023. The second claim demands payment of $1.1 billion plus interest ($383 million at September 30, 2025). Pratt &amp; Whitney believes the second claim is without merit and filed an appeal to the ASBCA on October 15, 2024.</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($203 million at September 30, 2025).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($179 million at September 30, 2025). Pratt &amp; Whitney appealed this second claim to the ASBCA in January 2019. In December 2023, a DCMA DACO issued a third claim against Pratt</w:t>
      </w:r>
    </w:p>
    <w:p>
      <w:pPr>
        <w:spacing w:after="0" w:line="12" w:lineRule="exact"/>
        <w:rPr>
          <w:sz w:val="20"/>
          <w:szCs w:val="20"/>
          <w:color w:val="auto"/>
        </w:rPr>
      </w:pPr>
    </w:p>
    <w:p>
      <w:pPr>
        <w:jc w:val="both"/>
        <w:ind w:firstLine="8"/>
        <w:spacing w:after="0" w:line="252" w:lineRule="auto"/>
        <w:tabs>
          <w:tab w:leader="none" w:pos="2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($99 million at September 30, 2025).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and Related Matters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 seeking information in connection with an investigation into whether there were improper payments made by Raytheon Company, our TRS joint venture, or anyone acting on their behalf, in connection with TRS or Raytheon Company contracts in certain Middle East countries since 2014. In the first quarter of 2020, the DOJ advised Raytheon Company it had opened a parallel criminal investigation. In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quarter of 2020, Raytheon Company received an additional subpoena from the SEC, seeking information and documents as part of its investigation. Following the government’s and the Company’s own internal investigations, the Company engaged in resolution discussions with the DOJ and the SEC, and during the second quarter of 2024, the Company reached agreements in principle with the DOJ and the SEC as to the principal elements of such resolutions, as previously disclosed on July 25, 2024. On October 15, 2024, Raytheon Company entered into DPA-1 with the DOJ and on October 16, 2024, the Company settled an administrative proceeding with the SEC to resolve these matters. Pursuant to DPA-1, the DOJ will defer, for a period of three years, criminal prosecution of Raytheon Company related to Raytheon Company’s conspiracy to violate the anti-bribery provisions of the FCPA and conspiracy to violate the AECA by failing to make related disclosures of certain payments that qualified as fees, commissions, and/or political contributions under Part 130 of the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DPA-1 provides for a criminal monetary penalty and forfeiture of $282 million. In addition, the SEC’s Administrative Order issued in connection with the administrative proceeding settlement alleged that Raytheon Company violated the anti-bribery, books and records, and internal controls provisions of the FCPA. The order provides for a $102 million payment to the SEC that includes disgorgement, prejudgment interest on disgorgement, and a civil penalty. Under DPA-1, the SEC’s Administrative Order, and DPA-2 discussed in “DOJ Investigation and Contract Pricing Disputes” below,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DPA-1, the SEC’s Administrative Order, and DPA-2 discussed in “DOJ Investigation and Contract Pricing Disputes” below. During the fourth quarter of 2024, the Company paid $384 million in the aggregate for DPA-1 and the SEC's Administrative Order which was consistent with amounts accrued. The Company does not believe that these matters will have a material adverse effect on our results of operations, financial condition, or liquidity.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and Contract Pricing Disputes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 since 2009. The investigation involved multi-year contracts subject to governmental regulation, including defective pricing claims for certain Raytheon Company contracts entered into between 2011 and 2013. As part of the same investigation, on March 24, 2021, the Company received a second criminal subpoena from the DOJ seeking documents relating to a certain contract entered into in 2017 by Raytheon Company. As previously disclosed on July 25, 2024, following the government’s and the Company’s own internal investigations, the Company engaged in resolution discussions with the DOJ, and during the second quarter of 2024, the Company reached an agreement in principle with the DOJ as to the principal elements of such resolution. In addition, the Company cooperated with the DOJ with respect to a related civil defective pricing investigation under the FCA. On October 16, 2024, Raytheon Company entered into DPA-2 and the FCA Settlement Agreement with the DOJ to resolve these matters. Pursuant to DPA-2,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DPA-2 provides for a criminal penalty in the amount of $147 million, plus restitution, and the FCA Settlement Agreement provides for an FCA settlement payment in the amount of $433 million, which includes restitution that will satisfy the criminal restitution obligation when paid. Under DPA-2 as well as DPA-1 and the SEC Administrative Order discussed in “Thales-Raytheon Systems and Related Matters” above,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DPA-2 as well as DPA-1 and the SEC Administrative Order discussed in “Thales-Raytheon Systems and Related Matters” above. During the fourth quarter of 2024, the Company paid $580 million in the aggregate for DPA-2 and the FCA Settlement Agreement which was consistent with amounts accrued plus interest. The Company does not believe that these matters, will have a material adverse effect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Compliance Matters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identify, investigate, remediate, and voluntarily disclose violations or potential violations of the ITAR and EAR to the relevant regulators. In May 2024, the U.S.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which was accrued by the Company in the second quarter of 2024, will be paid in installments, with $34 million paid in September 2024, $33 million paid in August 2025, and $33 million due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accrued $218 million in the aggregate as of September 30, 2025 for these matters and the matters being resolved pursuant to the CA. We are currently unable to estimate the timing or outcome of the other voluntarily disclosed export compliance matters that are not subject to the CA. However, the Company does not believe these matters will have a material adverse effect on our results of operations, financial condition, or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Powder Metal Disclosure Litigation and SEC Investigation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on September 12, 2025, the Court granted the defendants’ motion to dismiss the consolidated case. On October 14, 2025, plaintiffs filed a Notice of Appeal to the United States Court of Appeals for the Second Circuit. Second, multiple shareholder derivative lawsuits were filed against current and former officers and directors of the Company, all of which have now been consolidated into a single action which is pending in the United States District Court for the District of Delaware. The operative complaint in the consolidated action alleges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received subpoenas from the SEC seeking engineering, operational, organizational, accounting, and financial documents and witness testimony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continuing to cooperate with the SEC’s ongoing investigation. At this time, we are unable to predict the timing or outcome of this SEC investigation.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Unless noted above, loss contingency accruals are immaterial individually or in the aggregate.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15: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Equity</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 summary of the changes in each component of Accumulated other comprehensive loss, net of tax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and nine months ended September 30, 2025 and 2024 is provided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13"/>
                <w:szCs w:val="13"/>
                <w:color w:val="auto"/>
              </w:rPr>
            </w:pPr>
          </w:p>
        </w:tc>
        <w:tc>
          <w:tcPr>
            <w:tcW w:w="14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Translation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1,391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50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foreign currency translation recognized in Other Comprehensive Income (loss) (OCI) includes gains (losses) relating to net investment hedges, as further discussed in “Note 12: Financial Instruments”.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13"/>
                <w:szCs w:val="13"/>
                <w:color w:val="auto"/>
              </w:rPr>
            </w:pPr>
          </w:p>
        </w:tc>
        <w:tc>
          <w:tcPr>
            <w:tcW w:w="14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Translation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56"/>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foreign currency translation recognized in OCI includes gains (losses) relating to net investment hedges, as further discussed in “Note 12: Financial Instruments”.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RTX’s chief operating decision maker (CODM) is our Chairman and Chief Executive Officer. The CODM uses segment operating profit as a profitability measure to assess actual and forecasted segment performance to make decisions regarding incentive compensation and the allocation of capital and other investments. 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quarters ended September 30, 2025 and 2024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00" w:type="dxa"/>
            <w:vAlign w:val="bottom"/>
          </w:tcPr>
          <w:p>
            <w:pPr>
              <w:spacing w:after="0"/>
              <w:rPr>
                <w:sz w:val="11"/>
                <w:szCs w:val="11"/>
                <w:color w:val="auto"/>
              </w:rPr>
            </w:pPr>
          </w:p>
        </w:tc>
        <w:tc>
          <w:tcPr>
            <w:tcW w:w="1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4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9"/>
                <w:szCs w:val="9"/>
                <w:b w:val="1"/>
                <w:bCs w:val="1"/>
                <w:color w:val="auto"/>
              </w:rPr>
              <w:t>(1)</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1,260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8,423</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751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7,045</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(6,071)</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859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(19,530)</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2,870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199</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(507)</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22,478</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2,523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20" w:type="dxa"/>
            <w:vAlign w:val="bottom"/>
          </w:tcPr>
          <w:p>
            <w:pPr>
              <w:spacing w:after="0"/>
              <w:rPr>
                <w:sz w:val="11"/>
                <w:szCs w:val="11"/>
                <w:color w:val="auto"/>
              </w:rPr>
            </w:pPr>
          </w:p>
        </w:tc>
        <w:tc>
          <w:tcPr>
            <w:tcW w:w="12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2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647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2,266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(534)</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nine months ended September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00" w:type="dxa"/>
            <w:vAlign w:val="bottom"/>
          </w:tcPr>
          <w:p>
            <w:pPr>
              <w:spacing w:after="0"/>
              <w:rPr>
                <w:sz w:val="11"/>
                <w:szCs w:val="11"/>
                <w:color w:val="auto"/>
              </w:rPr>
            </w:pPr>
          </w:p>
        </w:tc>
        <w:tc>
          <w:tcPr>
            <w:tcW w:w="1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4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3,521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23,420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(20,851)</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20,386</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(17,710)</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2,342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(56,552)</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7,686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570</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(1,464)</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64,365</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6,704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20" w:type="dxa"/>
            <w:vAlign w:val="bottom"/>
          </w:tcPr>
          <w:p>
            <w:pPr>
              <w:spacing w:after="0"/>
              <w:rPr>
                <w:sz w:val="11"/>
                <w:szCs w:val="11"/>
                <w:color w:val="auto"/>
              </w:rPr>
            </w:pPr>
          </w:p>
        </w:tc>
        <w:tc>
          <w:tcPr>
            <w:tcW w:w="12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2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3,029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1,511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1,770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(52,360)</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6,310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(926)</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636</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(1,538)</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4,427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5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 includes a $0.6 billion charge in the second quarter of 2024 related to the Raytheon Contract Termination and a $0.4 billion gain, net of transaction and other related costs, in the first quarter of 2024 related to the sale of our CIS business. See “Note 5: Changes in Contract Estimates at Completion” and “Note 2: Acquisitions and Dispositions,” respectively, for additional information.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and Amortization segment information for the quarters ended September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4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w:t>
            </w:r>
          </w:p>
        </w:tc>
        <w:tc>
          <w:tcPr>
            <w:tcW w:w="8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76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189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138</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76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555</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542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526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614</w:t>
            </w:r>
          </w:p>
        </w:tc>
        <w:tc>
          <w:tcPr>
            <w:tcW w:w="86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1,091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and Amortization segment information for the nine months ended September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0" w:type="dxa"/>
            <w:vAlign w:val="bottom"/>
          </w:tcPr>
          <w:p>
            <w:pPr>
              <w:spacing w:after="0"/>
              <w:rPr>
                <w:sz w:val="1"/>
                <w:szCs w:val="1"/>
                <w:color w:val="auto"/>
              </w:rPr>
            </w:pPr>
          </w:p>
        </w:tc>
      </w:tr>
      <w:tr>
        <w:trPr>
          <w:trHeight w:val="23"/>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652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577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404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1,633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1,521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20" w:type="dxa"/>
            <w:vAlign w:val="bottom"/>
            <w:tcBorders>
              <w:bottom w:val="single" w:sz="8" w:color="auto"/>
            </w:tcBorders>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3,219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405"/>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by segment are as follows: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2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3"/>
        </w:trPr>
        <w:tc>
          <w:tcPr>
            <w:tcW w:w="6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72,292</w:t>
            </w:r>
          </w:p>
        </w:tc>
        <w:tc>
          <w:tcPr>
            <w:tcW w:w="7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72,372</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50,082</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44,983</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167,357</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168,672</w:t>
            </w:r>
          </w:p>
        </w:tc>
        <w:tc>
          <w:tcPr>
            <w:tcW w:w="7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162,861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Total assets include acquired intangible assets and the property, plant, and equipment fair value adjustment. Related amortization expense is included in Acquisition accounting adjustments.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based on customer location for the quarters ended September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781</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210"/>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8,424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20,089</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22,478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nine months ended September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34,397</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5,170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5,605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2,285</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0" w:type="dxa"/>
            <w:vAlign w:val="bottom"/>
          </w:tcPr>
          <w:p>
            <w:pPr>
              <w:spacing w:after="0"/>
              <w:rPr>
                <w:sz w:val="1"/>
                <w:szCs w:val="1"/>
                <w:color w:val="auto"/>
              </w:rPr>
            </w:pPr>
          </w:p>
        </w:tc>
      </w:tr>
      <w:tr>
        <w:trPr>
          <w:trHeight w:val="209"/>
        </w:trPr>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23,420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20,270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59,115</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1,944</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(2,060)</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22,460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23,420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(1,901)</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64,365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59,115</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quarters ended September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2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8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 direct commercial sales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 aerospace and 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4,829</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5,870</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4,292</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8,424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20,089</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(662)</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2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22,478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20,089</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nine months ended September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6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8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20" w:type="dxa"/>
            <w:vAlign w:val="bottom"/>
          </w:tcPr>
          <w:p>
            <w:pPr>
              <w:spacing w:after="0"/>
              <w:rPr>
                <w:sz w:val="11"/>
                <w:szCs w:val="11"/>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24,175</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3,222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 direct commercial sales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 aerospace and other commercial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13,966</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16,700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12,894</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14,189</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27,323</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23,420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20,270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59,115</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(2,060)</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64,365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59,115</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September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3,657</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8,424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20,089</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(662)</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22,478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nine months ended September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20" w:type="dxa"/>
            <w:vAlign w:val="bottom"/>
          </w:tcPr>
          <w:p>
            <w:pPr>
              <w:spacing w:after="0"/>
              <w:rPr>
                <w:sz w:val="11"/>
                <w:szCs w:val="11"/>
                <w:color w:val="auto"/>
              </w:rPr>
            </w:pPr>
          </w:p>
        </w:tc>
        <w:tc>
          <w:tcPr>
            <w:tcW w:w="620" w:type="dxa"/>
            <w:vAlign w:val="bottom"/>
          </w:tcPr>
          <w:p>
            <w:pPr>
              <w:jc w:val="right"/>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4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43,573</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4,557</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10,498</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17,959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15,542</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23,420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20,270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59,115</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1,944</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(2,060)</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64,365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quarters ended September 30, 2025 and 2024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2,914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7,045</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nine months ended September 30, 2025 and 2024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10,020</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8,585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9,428</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20,386</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19,556</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Remaining Performance Obligations (RPO)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RPO represents the aggregate amount of total contract transaction price that is unsatisfied or partially unsatisfied. Total RPO was approximately $251 billion as of September 30, 2025. Of the total RPO as of September 30, 2025, we expect approximately 25% will be recognized as revenue over the next 12 months. Approximately 45% of our RPO relates to long-term commercial aerospace maintenance contracts at Pratt &amp; Whitney, which are generally expected to be realized over a span of up to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 Update (ASU) 2025-06, Targeted Improvements to the Accounting for Internal-Use Software,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a tabular disclosure of the amounts of specified natural expense categories included in each relevant expense caption. Additionally, ASU 2024-03 requires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income tax reporting disclosures and require disclosure of specific categories in the tabular rate reconciliation as well as further disaggregation of income taxes paid for individually significant jurisdictions. The new standard is effective for fiscal years beginning after December 15, 2024, on a prospective basis. We are currently evaluating the impact on our disclosures of adopting this new pronouncement.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September 30, 2025 are not expected to have a material impact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RTX for the quarters and nine months ended September 30, 2025 and 2024, PricewaterhouseCoopers LLP (PwC) reported that it has applied limited procedures in accordance with professional standards for a review of such information. However, its report dated October 21, 2025,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RTX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RTX Corporation and its subsidiaries (the “Company”) as of September 30, 2025, and the related condensed consolidated statements of operations, of comprehensive income, and of changes in equity for the three-month and nine-month periods ended September 30, 2025 and 2024, and the condensed consolidated statement of cash flows for the nine-month periods ended September 30, 2025 and 2024,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2024, and the related consolidated statements of operations, of comprehensive income, of changes in equity, and of cash flows for the year then ended (not presented herein), and in our report dated February 3, 2025, we expressed an unqualified opinion on those consolidated financial statements. In our opinion, the information set forth in the accompanying condensed consolidated balance sheet as of December 31, 2024,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 References to “Raytheon Company” mean Raytheon Company, which became a wholly owned subsidiary of RTX on April 3, 2020 during an all-stock merger transaction between United Technologies Corporation and Raytheon Company (the surviving company of which is RTX Corporation).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quarter calendar end. Throughout this Form 10-Q, when we refer to the quarters and nine months ended September 30, 2025 and 2024 with respect to Raytheon, we are referring to their September 28, 2025 and September 29, 2024 fiscal quarter ends,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2025 is discussed below. For additional discussion, refer to the “Business Overview” section in Management’s Discussion and Analysis of Financial Condition and Results of Operations (MD&amp;A) in our 2024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and supply, labor availability and costs, inflation, interest rates, potential changes in U.S. government policy positions, including changes in DoD policies or priorities, geopolitical conflicts and strained intercountry relations, U.S. and non-U.S. tax law changes, foreign currency exchange rates, sanctions, tariffs, energy costs and supply, levels of air travel, the financial condition of commercial airlines, and the impact from natural disasters and weather conditions create uncertainties that could impact our businesses.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As previously announced, in 2024 the Company resolved several outstanding legal matters, herein referred to as “Resolution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Matters.” The Company entered into a deferred prosecution agreement (DPA) (DPA-1) with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Department of Justice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The DPAs further provide that, in the event the DOJ, in its sole discretion, determines during the period of deferral of prosecution that Raytheon Company or the Company have violated any provision of either DPA, Raytheon Company or the Company may be subject to prosecution for any federal criminal violation, including the charges against Raytheon Company in the relevant DPA. The SEC Administrative Order further provides that, in the event of a breach of the SEC Administrative Order, the SEC may vacate the SEC Administrative Order and institute proceedings against the Company. In the event of any such determination or breach, the Company may face additional adverse impacts. In addition, the Company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(Trade Compliance Matters).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DPA-1, DPA-2, the SEC Administrative Order, and the CA, see “Note 16: Commitments and Contingencies,” within Item 1 of this Form 10-Q.</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As described further in “Note 16: Commitments and Contingencies,” within Item 1 of this Form 10-Q,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Global Supply Chain. </w:t>
      </w:r>
      <w:r>
        <w:rPr>
          <w:rFonts w:ascii="Times New Roman" w:cs="Times New Roman" w:eastAsia="Times New Roman" w:hAnsi="Times New Roman"/>
          <w:sz w:val="18"/>
          <w:szCs w:val="18"/>
          <w:color w:val="auto"/>
        </w:rPr>
        <w:t>We are dependent on a global supply chain and have experienced supply chain disruptions that resulted in delays and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adversely affected our performance. These disruptions impacted our ability to procure raw materials, including certain rare earth elements,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and export controls, are contributing to these issues. Furthermore, our suppliers and subcontractors have been impacted by these same issues. We have implemented actions and programs to mitigate some of the impacts but anticipate supply chain disruptions to continue.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The inflationary environment has increased material and component prices, labor rates, and supplier costs and has negatively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and Excellence (CORE) operating platform to the execution of these initiatives. However, the impact of these pressures and corresponding initiatives is uncertain and subject to a range of factors and future developments.</w:t>
      </w:r>
    </w:p>
    <w:p>
      <w:pPr>
        <w:spacing w:after="0" w:line="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global trade environment is highly dynamic. Since February 2025, the U.S. government has imposed tariffs on imports from all countries with which the U.S. engages in trade. In response, certain countries have announced, and in some cases imposed, tariffs, and non-tariff countermeasures on goods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imported from the U.S. Our businesses and suppliers import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goods subject to U.S. imposed tariffs, as well as goods subject to counter tariffs imposed by other countries. We continue to pursue available options to mitigate the impact of tariffs and countermeasures, including (i) utilizing available exemptions or exclusions to tariffs, such as trade agreements, treaties or other statutory relief, (ii) evaluating operational and supply chain changes, and (iii) where feasible, increasing the prices of our goods and services. Our results for the quarter and nine months ended September 30, 2025, reflect our best estimate of the impact of the tariffs then in effect. As the duration, extent and enforceability of the tariffs and counter tariffs remain uncertain, we are continuing to evaluate the potential future impacts of the imposition of the</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announced tariffs to our business and financial condition. Based on current conditions, we do not believe that the tariffs announced by the U.S. or counter tariffs or other actions taken by other countries will have a material adverse effect upon our results of operations, financial condition, or cash flows. However, the actual financial impacts of tariffs are dependent upon various factors, most notably, the scope of goods covered by tariffs, the value of our imports subject to tariffs, the rate of tariffs applied, the timing and duration of tariffs, the enforceability of tariffs and counter-tariffs, the implementation of tariff and non-tariff countermeasures by countries subject to U.S. tariffs, and our and our suppliers’ ability to mitigate the impacts of tariffs. Changes in any of these factors and actual tariff costs incurred could significantly affect the estimates inherent in our financial statements, including those used in our estimates-at-completion (EACs), and estimates supporting the recoverability of our inventories, contract fulfillment costs, deferred tax assets, intangible assets and goodwill, and could have a material effect on our results of operations and cash flows in the periods recognized and paid.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U.S. Government’s Budget &amp; Tax Legislation. </w:t>
      </w:r>
      <w:r>
        <w:rPr>
          <w:rFonts w:ascii="Times New Roman" w:cs="Times New Roman" w:eastAsia="Times New Roman" w:hAnsi="Times New Roman"/>
          <w:sz w:val="18"/>
          <w:szCs w:val="18"/>
          <w:color w:val="auto"/>
        </w:rPr>
        <w:t>On September 30, 2025, the continuing resolution (CR) allowing U.S. government Departments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Agencies to operate through the end of the government fiscal year expired and the U.S. government shut down. As a result of the U.S. government shutdown, our business, program performance and results of operations may be impacted by the disruptions to federal government offices, workers, and operations, including risks relating to the funding of certain programs, stop work orders, delay in contract awards, new program starts, payments for work performed, and other actions. We may also experience similar impacts in the event of a series of short-term continuing resolutions rather than full-year fiscal year 2026 appropriations. Generally, the significance of these impacts will primarily be based on the length of the shutdown and timing of passage of a new CR or a full budget.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“An Act to Provide for Reconciliation Pursuant to Title II of the H. Con. Res. 14” (the Act) was enacted. The Act provides for several corporate tax changes including, but not limited to, restoring full expensing of domestic research and development costs, restoring immediate deductibility of certain capital expenditures, and changes in the computations of U.S. taxation on international earnings.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Act also provides a supplementary $156.2 billion to the DoD for obligations through 2029, which includes $24.4 billion for the Iron Dome for America project. The project, outlined in a January 27, 2025 Executive Order, calls for the development and deployment of a next-generation missile defense shield. On May 20, 2025, the DoD announced a draft architecture and implementation plan for the system. With next generation technologies across land, sea and space that build upon existing, proven defense capabilities, RTX’s portfolio is well-positioned to play a role to deliver reliable solutions for the Iron Dome for America initiative. Whether this Executive Order or corresponding funding will have a material impact on our business or results of operations will depend on a variety of factors, including award timelines, mission priorities, and future budget determinations. The Act also includes $25.4 billion in funding to enhance DoD resources for munitions and supply chain resiliency. As a leading munitions manufacturer, RTX is strategically situated to play a key role in supporting this initiative.</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Executive Order Regarding Modernizing Defense Acquisitions. </w:t>
      </w:r>
      <w:r>
        <w:rPr>
          <w:rFonts w:ascii="Times New Roman" w:cs="Times New Roman" w:eastAsia="Times New Roman" w:hAnsi="Times New Roman"/>
          <w:sz w:val="18"/>
          <w:szCs w:val="18"/>
          <w:color w:val="auto"/>
        </w:rPr>
        <w:t>On April 9, 2025, the U.S. government issued an executive order requiring,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things, a DoD review of its Major Defense Acquisition Programs to identify those that are 15% behind schedule, 15% over budget, unable to meet key performance parameters, or unaligned with the Secretary of Defense’s mission priorities for potential cancellation. Although RTX does not, at this time, believe the Executive Order will have a material impact on our business or results of operations, the longer-term ramifications, if any, to RTX will depend on a variety of factors including the formulation and implementation of the review criteria in the order, the review timeline, the Secretary of Defense’s mission priorities, and future budget determinations based on the results of such review.</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Geopolitical Matters.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developments, including additional sanctions and other measures, that could adversely affect the Company and/or our supply chain, business partners, or customers.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The Chinese sanctions against RMD included a fine equal to twice the value of the arms that RMD sold to Taiwan since September 2020. Since that time, China has announced additional sanctions against the Raytheon business and a Collins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continue to closely monitor potential impacts to RTX’s business, customers, suppliers, employees, and operations in Israel, the Middle East, and the region at large due to continued regional instability and tensions. RTX’s defense programs’ ability to receive components from Israel has not been impacted in any material respect, although we could experience future delivery delays of certain products if further escalations arise. To date, the overall impacts to RTX from this situation have been minimal; however, given the volatile nature of the situation, the potential impacts to RTX are subject to change.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2024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2024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implement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fair value adjustment acquired through acquisitions, the amortization of customer contractual obligations related to loss making or below market contracts acquired, and goodwill impairment, if applicable.</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60" w:type="dxa"/>
            <w:vAlign w:val="bottom"/>
          </w:tcPr>
          <w:p>
            <w:pPr>
              <w:spacing w:after="0"/>
              <w:rPr>
                <w:sz w:val="16"/>
                <w:szCs w:val="16"/>
                <w:color w:val="auto"/>
              </w:rPr>
            </w:pPr>
          </w:p>
        </w:tc>
        <w:tc>
          <w:tcPr>
            <w:tcW w:w="300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22,478</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64,365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net sales for the quarter and nine months ended September 30, 2025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3"/>
                <w:szCs w:val="13"/>
                <w:color w:val="auto"/>
              </w:rPr>
            </w:pPr>
          </w:p>
        </w:tc>
        <w:tc>
          <w:tcPr>
            <w:tcW w:w="15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2,618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8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2,389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5,250</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$2.6 billion organically in the quarter ended September 30, 2025 compared to the quarter ended September 30, 2024 primarily due to higher organic net sales of $1.2 billion at Pratt &amp; Whitney, $0.8 billion at Collins, and $0.7 billion at Raytheon.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$5.9 billion organically in the nine months ended September 30, 2025 compared to the nine months ended September 30, 2024 primarily due to higher organic net sales of $2.9 billion at Pratt &amp; Whitney, $2.0 billion at Collins, and $1.2 billion at Raytheon.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net sales due to Acquisitions and divestitures, net of $0.3 billion for the quarter ended September 30, 2025 compared to the quarter ended September 30, 2024 reflects the sale of the actuation and flight control business within our Collins segment completed in the third quarter of 2025 and the sale of the Goodrich Hoist &amp; Winch business within our Collins segment in the fourth quarter of 2024. The decrease in net sales due to Acquisitions and divestitures, net of $0.8 billion for the nine months ended September 30, 2025 compared to the nine months ended September 30, 2024, reflects the sale of the actuation and flight control business within our Collins segment, the sale of the Cybersecurity, Intelligence and Services (CIS) business within our Raytheon segment completed in the first quarter of 2024, and the sale of the Goodrich Hoist &amp; Winch business within our Collins segment completed in the fourth quarter of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16,264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72.4 %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6,214</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27.6 %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22,478</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products sales increased $1.6 billion in the quarter ended September 30, 2025 compared to the quarter ended September 30, 2024 primarily due to increases in external products sales of $0.6 billion at Pratt &amp; Whitney, $0.5 billion at Raytheon, and $0.4 billion at Collins.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services sales increased $0.8 billion in the quarter ended September 30, 2025 compared to the quarter ended September 30, 2024 primarily due to increases in external services sales of $0.5 billion at Pratt &amp; Whitney, $0.2 billion at Raytheon, and $0.1 billion at Collins.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46,406</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43,573</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72.1 %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17,959</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27.9 %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64,365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products sales increased $2.8 billion in the nine months ended September 30, 2025 compared to the nine months ended September 30, 2024 primarily driven by increases in external products sales of $1.1 billion at Collins, $1.0 billion at Pratt &amp; Whitney, and $0.7 billion at Raytheon.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services sales increased $2.4 billion in the nine months ended September 30, 2025 compared to the nine months ended September 30, 2024 primarily due to increases in external services sales of $1.9 billion at Pratt &amp; Whitney, $0.4 billion at Collins, and $0.1 billion at Raytheon.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8,409</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37.4 %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1,867</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8.3 %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1,477</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10,725</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47.7 %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22,478</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20,089</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4100" w:type="dxa"/>
            <w:vAlign w:val="bottom"/>
            <w:gridSpan w:val="6"/>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24,414</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24,175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37.9 %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4,973</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4,262</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30,716</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27,323</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47.7 %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64,365</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59,115</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17,898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51,293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47,940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79.7 %</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972"/>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and nine months ended September 30, 2025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760" w:type="dxa"/>
            <w:vAlign w:val="bottom"/>
          </w:tcPr>
          <w:p>
            <w:pPr>
              <w:spacing w:after="0"/>
              <w:rPr>
                <w:sz w:val="13"/>
                <w:szCs w:val="13"/>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7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43</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3,353</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$2.0 billion for the quarter ended September 30, 2025 compared to the quarter ended September 30, 2024, was primarily driven by the organic net sales increases at Pratt &amp; Whitney, Collins, and Raytheon noted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$4.6 billion for the nine months ended September 30, 2025 compared to the nine months ended September 30, 2024, was primarily driven by the organic net sales increases at Pratt &amp; Whitney, Collins, and Raytheon noted above.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total cost of sales due to Acquisitions and divestitures, net of $0.2 billion for the quarter ended September 30, 2025 compared to the quarter ended September 30, 2024 reflects the sale of the actuation and flight control business within our Collins segment completed in the third quarter of 2025. The decrease in total costs of sales due to Acquisitions and divestitures, net for the nine months ended September 30, 2025 compared to the nine months ended September 30, 2024, reflects the sale of the actuation and flight control business within our Collins segment, the sale of the CIS business within our Raytheon segment completed in the first quarter of 2024, and the sale of the Goodrich Hoist &amp; Winch business within our Collins segment in the fourth quarter of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cost of sales decreased $0.6 billion in the nine months ended September 30, 2025 compared to the nine months ended September 30, 2024, primarily driven by a $0.5 billion charge recorded in the second quarter of 2024 at Raytheon related to the termination of a fixed price development contract with a foreign customer (herein referred to as “Raytheon Contract Termination”) and $0.2 billion of charges recorded in the first quarter of 2024 at Collins related to the recognition of unfavorable purchase commitments and an impairment of contract fulfillment costs that were no longer recoverable as a result of initiating alternative titanium sources.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 and the consolidation of facilities.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13,593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60.5 %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4,305</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19.2 %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17,898</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79.6 %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products cost of sales increased $1.3 billion in the quarter ended September 30, 2025 compared to the quarter ended September 30, 2024, primarily driven by increases in external products cost of sales at Pratt &amp; Whitney, Collins, and Raytheon, each driven by the products sales changes noted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services cost of sales increased $0.6 billion in the quarter ended September 30, 2025 compared to the quarter ended September 30, 2024, primarily due to increases in external services cost of sales at Pratt &amp; Whitney, Raytheon, and Collins, driven by the services sales changes noted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38,865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60.4 %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12,428</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19.3 %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51,293</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47,940</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79.7 %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products cost of sales increased $1.7 billion in the nine months ended September 30, 2025 compared to the nine months ended September 30, 2024, primarily driven by increases in external products cost of sales at Pratt &amp; Whitney, Collins, and Raytheon, each driven by the products sales changes noted above. The increase was partially offset by the absence of a $0.5 billion charge recorded in the second quarter of 2024 at Raytheon related to the Raytheon Contract Termination and charges of $0.2 billion recorded in the first quarter of 2024 at Collins as a result of initiating alternative titanium 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services cost of sales increased $1.7 billion in the nine months ended September 30, 2025 compared to the nine months ended September 30, 2024, primarily due to increases in external services cost of sales at Pratt &amp; Whitney and Collins driven by the services sales changes noted above.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8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684</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1,262</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3,709</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3,627</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Company-funded research and development expenses of $0.1 billion for the quarter ended September 30, 2025 compared to the quarter ended September 30, 2024 was primarily driven by lower spending on commercial programs at Collins.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Company-funded research and development expenses of $0.1 billion for the nine months ended September 30, 2025 compared to the nine months ended September 30, 2024 was primarily driven by lower spending on commercial and defense programs at Collins and Pratt &amp; Whitney, partially offset by higher expenses on various development programs at Raytheon.</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increase in Customer-funded research and development expenses of $0.1 billion for the quarter and nine months ended September 30, 2025 compared to the quarter and nine months ended September 30, 2024 was primarily driven by higher development spend on various military and commercial programs at Collins and increased spending at Pratt &amp; Whitney on military development programs. These increases were partially offset by lower spending on customer-funded expenses at Raytheon on military development programs, specifically related to the Next Generation Interceptor (NGI) program in the nine months ended September 30, 2025 compared to the nine months ended September 30, 2024.</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0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1,436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4,457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general, and administrative expenses in the quarter ended September 30, 2025 were relatively consistent with the quarter ended September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of $0.2 billion for the nine months ended September 30, 2025 compared to the nine months ended September 30, 2024 was primarily driven by $0.1 billion charge at Pratt &amp; Whitney related to a customer bankruptcy during the second quarter of 2025 and $0.1 billion of higher restructuring costs related to ongoing cost reduction efforts driven by various workforce reductions primarily initiated in the first half of 2025 at Collins.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w:t>
            </w:r>
          </w:p>
        </w:tc>
        <w:tc>
          <w:tcPr>
            <w:tcW w:w="12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107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of $0.1 billion for the quarter ended September 30, 2025 compared to the quarter ended September 30, 2024 was primarily due to the absence of a $0.2 billion benefit from a tax related indemnity receivable recorded in the third quarter of 2024, partially offset by a $0.1 billion gain from the sale of the actuation and flight control business in the third quarter of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Other income (expense), net of $0.5 billion for the nine months ended September 30, 2025 compared to the nine months ended September 30, 2024 was primarily due to a $0.1 billion gain from the sale of the actuation and flight control business in the third quarter of 2025 and the absence of 2024 items, including a $0.9 billion charge related to the Resolution of Certain Legal Matters and the reversal of certain tax related indemnity receivables associated with the conclusion of the examination phase of certain tax audits, partially offset by the absence of prior year benefits of a $0.4 billion gain on sale of the CIS business net of transaction and other related costs, and a $0.2 billion benefit from a tax related indemnity receivable.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2,523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6,704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Operating profit of $0.5 billion for the quarter ended September 30, 2025 compared to the quarter ended September 30, 2024 was primarily driven by an increase in the organic operating performance of our segments of approximately $0.5 billion and a $0.1 billion gain on sale of the actuation and flight control business in the third quarter of 2025, partially offset by the absence of a $0.2 billion benefit related to a tax related indemnity receivable recorded in the third quarter of 2024.</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Operating profit of $2.3 billion for the nine months ended September 30, 2025 compared to the nine months ended September 30, 2024 was primarily driven by an increase in the organic operating performance of our segments of $1.2 billion, a $0.1 billion gain on sale of the actuation and flight control business in the third quarter of 2025, and the absence of 2024 charges, including a $0.9 billion charge related to the Resolution of Certain Legal Matters, a $0.6 billion charge related to the Raytheon Contract Termination, and charges of $0.2 billion at Collins as a result of initiating alternative titanium sources. These increases were partially offset by higher restructuring costs of $0.1 billion, a customer bankruptcy charge of $0.1 billion at Pratt &amp; Whitney, and the absence of prior year benefits which included a $0.4 billion gain on sale of the CIS business, net of transaction and other related costs, and a $0.2 billion benefit from a tax related indemnity receivable.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1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pension income in the quarter and nine months ended September 30, 2025 was relatively consistent with the quarter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90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483</w:t>
            </w:r>
          </w:p>
        </w:tc>
        <w:tc>
          <w:tcPr>
            <w:tcW w:w="11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1,465</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(46)</w:t>
            </w:r>
          </w:p>
        </w:tc>
        <w:tc>
          <w:tcPr>
            <w:tcW w:w="116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(125)</w:t>
            </w:r>
          </w:p>
        </w:tc>
        <w:tc>
          <w:tcPr>
            <w:tcW w:w="11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expense (income)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449</w:t>
            </w:r>
          </w:p>
        </w:tc>
        <w:tc>
          <w:tcPr>
            <w:tcW w:w="11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1,349</w:t>
            </w:r>
          </w:p>
        </w:tc>
        <w:tc>
          <w:tcPr>
            <w:tcW w:w="11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1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1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282" w:lineRule="auto"/>
        <w:tabs>
          <w:tab w:leader="none" w:pos="34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for the quarter and nine months ended September 30, 2025 was relatively consistent with the quarter and nine months ended September 30, 2024,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of $0.1 billion for the quarter ended September 30, 2025 compared to the quarter ended September 30, 2024 was primarily driven by lower interest accruals.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8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5200" w:type="dxa"/>
            <w:vAlign w:val="bottom"/>
            <w:tcBorders>
              <w:bottom w:val="single" w:sz="8" w:color="auto"/>
            </w:tcBorders>
            <w:gridSpan w:val="2"/>
            <w:shd w:val="clear" w:color="auto" w:fill="CCEEFF"/>
          </w:tcPr>
          <w:p>
            <w:pPr>
              <w:jc w:val="right"/>
              <w:ind w:right="3288"/>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17.7 %</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16.8 %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quarter and nine months ended September 30, 2025 was 17.7% and 16.8%, respectively, as compared to 19.5% and 17.5% for the quarter and nine months ended September 30, 2024,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lower effective tax rate for the quarter ended September 30, 2025 compared to September 30, 2024 was primarily driven by the absence of a $0.2 billion tax charge related to U.S. federal income taxes owed by the Company resulting from a favorable non-U.S. tax ruling Otis received in the quarter ending September 30, 2024 impacting pre-separation tax years. The lower effective tax rate also included additional tax expense in the quarter ended September 30, 2025 due to the sale of the Collins actuation and flight control business and higher taxes for 2025, principally driven by the enactment of “An Act to Provide for Reconciliation Pursuant to Title II of the H. Con. Res. 14” on July 4, 2025. Both periods also included tax benefits associated with certain legal entity reorganizations.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rates for the nine months ended September 30, 2025 and 2024 were relatively consistent. In addition to the items noted above, the effective tax rate for the nine months ended September 30, 2024 included a $0.3 billion benefit from the impact of the conclusion of the examination phases of the RTX and Rockwell Collins audits, that was more than offset by an unfavorable impact for the tax cost associated with the sale of the CIS business and the impact of the Resolution of Certain Legal Matters accrued during the second quarter of 2024, in which no tax benefit was recorded.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1,918</w:t>
            </w: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5,110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c>
          <w:tcPr>
            <w:tcW w:w="11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3.77</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September 30, 2025 includes the following:</w:t>
      </w:r>
    </w:p>
    <w:p>
      <w:pPr>
        <w:spacing w:after="0" w:line="2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earnings per share (EPS) of $0.29.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September 30, 2024 includes the following:</w:t>
      </w:r>
    </w:p>
    <w:p>
      <w:pPr>
        <w:spacing w:after="0" w:line="2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EPS of $0.31.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nine months ended September 30, 2025 includes the following:</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$1.1 billion, net of tax, which had an unfavorable impact on diluted EPS of $0.84;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$0.2 billion net of tax, which had an unfavorable impact on diluted EPS of $0.12.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nine months ended September 30, 2024 includes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$1.2 billion, net of tax, which had an unfavorable impact on diluted EPS of $0.89;</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related to the Resolution of Certain Legal Matters of $0.9 billion, which had an unfavorable impact on diluted EPS of $0.68;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$0.4 billion, net of tax, related to the Raytheon Contract Termination, which had an unfavorable impact on diluted EPS of $0.33;</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recognized as a result of the conclusion of the examination phases of the RTX and Rockwell Collins tax audits of $0.3 billion, net of tax, which had a favorable impact on diluted EPS of $0.21;</w:t>
      </w: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the CIS business, net of transaction and other related costs, of $0.2 billion, net of tax, which had a favorable impact on diluted EPS of $0.18; and</w:t>
      </w: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initiating alternative titanium sources at our Collins segment of $0.2 billion, which had an unfavorable impact on diluted EPS of $0.13.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Operating Profit excludes certain acquisition accounting adjustments, the FAS/CAS operating adjustment, and certain corporate expenses, as further discussed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7,621</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22,460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20,747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8,423</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23,420</w:t>
            </w:r>
          </w:p>
        </w:tc>
        <w:tc>
          <w:tcPr>
            <w:tcW w:w="440" w:type="dxa"/>
            <w:vAlign w:val="bottom"/>
          </w:tcPr>
          <w:p>
            <w:pPr>
              <w:spacing w:after="0"/>
              <w:rPr>
                <w:sz w:val="19"/>
                <w:szCs w:val="19"/>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20,497</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7,045</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20,386</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23"/>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23,089</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66,266</w:t>
            </w:r>
          </w:p>
        </w:tc>
        <w:tc>
          <w:tcPr>
            <w:tcW w:w="440" w:type="dxa"/>
            <w:vAlign w:val="bottom"/>
          </w:tcPr>
          <w:p>
            <w:pPr>
              <w:spacing w:after="0"/>
              <w:rPr>
                <w:sz w:val="19"/>
                <w:szCs w:val="19"/>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60,800</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(1,901)</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22,478</w:t>
            </w:r>
          </w:p>
        </w:tc>
        <w:tc>
          <w:tcPr>
            <w:tcW w:w="1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64,365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59,115</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the operating results of certain smaller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Operating profit by segment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1,260</w:t>
            </w:r>
          </w:p>
        </w:tc>
        <w:tc>
          <w:tcPr>
            <w:tcW w:w="11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3,521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751</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1,823</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(2)</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859</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2,342</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2,870</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7,686</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(3)</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570</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2,523</w:t>
            </w:r>
          </w:p>
        </w:tc>
        <w:tc>
          <w:tcPr>
            <w:tcW w:w="11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6,704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7"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5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 includes a $0.6 billion charge in the second quarter of 2024 related to the Raytheon Contract Termination and a $0.4 billion gain, net of transaction and other related costs, in the first quarter of 2024 related to the sale of our CIS business. See “Note 5: Changes in Contract Estimates at Completion” and “Note 2: Acquisitions and Dispositions,” respectively, within Item 1 of this Form 10-Q for additional information.</w:t>
      </w: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are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net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18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18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net EAC adjustments of approximately $0.1 billion in the quarter ended September 30, 2025 compared to the quarter ended September 30, 2024 was primarily due to favorable changes in net EAC adjustments at Raytheon.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EAC adjustments in the nine months ended September 30, 2025 were relatively consistent with the nine months ended September 30, 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second quarter of 2024, Raytheon initiated the Raytheon Contract Termination and recognized a $0.6 billion charge related to its impact. The charge included the write-off of remaining contract assets and the estimated settlement with the customer. The Raytheon Contract Termination was completed, including the customer settlement, during the fourth quarter of 2024, in line with previously accrued amounts.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Backlog and Bookings. </w:t>
      </w:r>
      <w:r>
        <w:rPr>
          <w:rFonts w:ascii="Times New Roman" w:cs="Times New Roman" w:eastAsia="Times New Roman" w:hAnsi="Times New Roman"/>
          <w:sz w:val="18"/>
          <w:szCs w:val="18"/>
          <w:color w:val="auto"/>
        </w:rPr>
        <w:t>Total backlog was $251 billion and $218 billion as of September 30, 2025 and December 31, 2024, respectively. Total backlog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commercial backlog of $148 billion and $125 billion as of September 30, 2025 and December 31, 2024, and defense backlog of $103 billion and $93 billion as of September 30, 2025 and December 31, 2024, respectively.</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bookings are an important measure of future performance for our defense businesses. Our defense operations consist primarily of our Raytheon business and operations in the defense businesses within our Collins and Pratt &amp; Whitney segments. Defense bookings were approximately $23 billion and $25 billion for the quarters ended September 30, 2025 and 2024, respectively, and approximately $44 billion and $47 billion for the nine months ended September 30, 2025 and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governmental approvals and notifications. In addition, due to these factors, quarterly bookings tend to fluctuate from period to period, particularly on a segment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7,621</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7,075</w:t>
            </w: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 xml:space="preserve">8 %  </w:t>
            </w: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22,460</w:t>
            </w:r>
          </w:p>
        </w:tc>
        <w:tc>
          <w:tcPr>
            <w:tcW w:w="5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20,747</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1,260</w:t>
            </w:r>
          </w:p>
        </w:tc>
        <w:tc>
          <w:tcPr>
            <w:tcW w:w="280" w:type="dxa"/>
            <w:vAlign w:val="bottom"/>
          </w:tcPr>
          <w:p>
            <w:pPr>
              <w:spacing w:after="0"/>
              <w:rPr>
                <w:sz w:val="19"/>
                <w:szCs w:val="19"/>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1,062</w:t>
            </w:r>
          </w:p>
        </w:tc>
        <w:tc>
          <w:tcPr>
            <w:tcW w:w="260" w:type="dxa"/>
            <w:vAlign w:val="bottom"/>
          </w:tcPr>
          <w:p>
            <w:pPr>
              <w:spacing w:after="0"/>
              <w:rPr>
                <w:sz w:val="19"/>
                <w:szCs w:val="19"/>
                <w:color w:val="auto"/>
              </w:rPr>
            </w:pPr>
          </w:p>
        </w:tc>
        <w:tc>
          <w:tcPr>
            <w:tcW w:w="120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19 %</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3,521</w:t>
            </w:r>
          </w:p>
        </w:tc>
        <w:tc>
          <w:tcPr>
            <w:tcW w:w="52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3,029</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16.5 %</w:t>
            </w: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15.0 %</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15.7 %</w:t>
            </w:r>
          </w:p>
        </w:tc>
        <w:tc>
          <w:tcPr>
            <w:tcW w:w="5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14.6 %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100" w:type="dxa"/>
            <w:vAlign w:val="bottom"/>
          </w:tcPr>
          <w:p>
            <w:pPr>
              <w:spacing w:after="0"/>
              <w:rPr>
                <w:sz w:val="24"/>
                <w:szCs w:val="24"/>
                <w:color w:val="auto"/>
              </w:rPr>
            </w:pPr>
          </w:p>
        </w:tc>
        <w:tc>
          <w:tcPr>
            <w:tcW w:w="7220" w:type="dxa"/>
            <w:vAlign w:val="bottom"/>
            <w:gridSpan w:val="9"/>
          </w:tcPr>
          <w:p>
            <w:pPr>
              <w:jc w:val="right"/>
              <w:ind w:right="37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2025 Compared with Quarter Ended September 30, 2024</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320" w:type="dxa"/>
            <w:vAlign w:val="bottom"/>
          </w:tcPr>
          <w:p>
            <w:pPr>
              <w:jc w:val="center"/>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20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40" w:type="dxa"/>
            <w:vAlign w:val="bottom"/>
          </w:tcPr>
          <w:p>
            <w:pPr>
              <w:spacing w:after="0"/>
              <w:rPr>
                <w:sz w:val="11"/>
                <w:szCs w:val="11"/>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546</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198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organic net sales increase of $0.8 billion in the quarter ended September 30, 2025 compared to the quarter ended September 30, 2024 primarily relates to higher commercial aerospace aftermarket sales of $0.4 billion, higher commercial aerospace OEM sales of $0.3 billion and higher defense sales of $0.1 billion. The increase in commercial aftermarket sales was driven by higher volume across all aftermarket sales channels, and the increase in commercial OEM sales was primarily driven by higher volume on narrowbody programs. The increase in defense sales was primarily due to higher volume across multiple programs and platforms</w:t>
      </w:r>
      <w:r>
        <w:rPr>
          <w:rFonts w:ascii="Times New Roman" w:cs="Times New Roman" w:eastAsia="Times New Roman" w:hAnsi="Times New Roman"/>
          <w:sz w:val="19"/>
          <w:szCs w:val="19"/>
          <w:color w:val="auto"/>
        </w:rPr>
        <w: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September 30, 2025 compared to the quarter ended September 30, 2024 was primarily due to higher commercial aerospace operating profit of $0.1 billion, principally driven by the higher sales volume discussed above partially offset by unfavorable commercial OEM mix and the impact of higher tariffs. Defense operating profit increased slightly in the quarter ended September 30, 2025 compared to the quarter ended September 30, 2024 primarily driven by the higher sales volume discussed above. Operating profit also benefited from lower research and development expenses.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sales due to acquisitions / divestitures, net in the quarter ended September 30, 2025 compared to the quarter ended September 30, 2024 primarily relates to the sale of the actuation and flight control business completed in the third quarter of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operating profit of $0.1 billion in the quarter ended September 30, 2025 compared to the quarter ended September 30, 2024 was primarily driven by the gain on the sale of the actuation and flight control business completed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with Nine Months Ended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40" w:type="dxa"/>
            <w:vAlign w:val="bottom"/>
          </w:tcPr>
          <w:p>
            <w:pPr>
              <w:spacing w:after="0"/>
              <w:rPr>
                <w:sz w:val="11"/>
                <w:szCs w:val="11"/>
                <w:color w:val="auto"/>
              </w:rPr>
            </w:pP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(139)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organic net sales increase of $2.0 billion in the nine months ended September 30, 2025 compared to the nine months ended September 30, 2024 primarily relates to higher commercial aerospace aftermarket sales of $1.1 billion, higher defense sales of $0.6 billion and higher commercial aerospace OEM sales of $0.3 billion. The increase in commercial aerospace sales was driven by higher volume across all sales channels. The increase in defense sales was primarily due to higher volume across multiple programs and platforms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$0.4 billion in the nine months ended September 30, 2025 compared to the nine months ended September 30, 2024 was primarily due to higher commercial aerospace operating profit of $0.2 billion, principally driven by the higher sales volume discussed above partially offset by unfavorable commercial OEM mix and the impact of tariffs. Defense operating profit increased $0.2 billion in the nine months ended September 30, 2025 compared to the nine months ended September 30, 2024 due to higher sales volume and favorable mix. Operating profit also benefited from lower research and development expenses.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sales due to acquisitions / divestitures, net in the nine months ended September 30, 2025 compared to the nine months ended September 30, 2024 primarily relates to the sale of the actuation and flight control business completed in the third quarter of 2025 and the sale of the Goodrich Hoist &amp; Winch business completed in the fourth quarter of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operating profit of $0.2 billion in the nine months ended September 30, 2025 compared to the nine months ended September 30, 2024 was primarily due to the absence of $0.2 billion of charges recorded in the first quarter of 2024, related to the recognition of unfavorable purchase commitments and an impairment of contract fulfillment costs that are no longer recoverable as a result of initiating alternative titanium sources and a $0.1 billion gain on the sale of our actuation and flight control business completed in the third quarter of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restructuring costs in the nine months ended September 30, 2025 compared to the nine months ended September 30, 2024 relates to ongoing cost reduction efforts driven by various workforce reductions primarily initiated in the first half of 2025.</w:t>
      </w:r>
    </w:p>
    <w:p>
      <w:pPr>
        <w:spacing w:after="0" w:line="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September 30, 2025, Collins booked $454 million for Program D-X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deliver satellite communication systems to support survivable communications across multiple frequency bands. In addition to these bookings, in the nine months ended September 30, 2025, Collins booked $358 million as the primary subcontractor for the U.S. Navy's solution for engineering design and manufacturing of the Very Low Frequency communication subsystem, which is intended to provide secure and survivable communications to the U.S. Navy.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8,423</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7,239</w:t>
            </w:r>
          </w:p>
        </w:tc>
        <w:tc>
          <w:tcPr>
            <w:tcW w:w="1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16 %  </w:t>
            </w: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23,420</w:t>
            </w:r>
          </w:p>
        </w:tc>
        <w:tc>
          <w:tcPr>
            <w:tcW w:w="5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20,497</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751</w:t>
            </w:r>
          </w:p>
        </w:tc>
        <w:tc>
          <w:tcPr>
            <w:tcW w:w="300" w:type="dxa"/>
            <w:vAlign w:val="bottom"/>
          </w:tcPr>
          <w:p>
            <w:pPr>
              <w:spacing w:after="0"/>
              <w:rPr>
                <w:sz w:val="19"/>
                <w:szCs w:val="19"/>
                <w:color w:val="auto"/>
              </w:rPr>
            </w:pPr>
          </w:p>
        </w:tc>
        <w:tc>
          <w:tcPr>
            <w:tcW w:w="156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557</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35 %</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1,823</w:t>
            </w:r>
          </w:p>
        </w:tc>
        <w:tc>
          <w:tcPr>
            <w:tcW w:w="540" w:type="dxa"/>
            <w:vAlign w:val="bottom"/>
          </w:tcPr>
          <w:p>
            <w:pPr>
              <w:spacing w:after="0"/>
              <w:rPr>
                <w:sz w:val="19"/>
                <w:szCs w:val="19"/>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1,511</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8.9 %</w:t>
            </w:r>
          </w:p>
        </w:tc>
        <w:tc>
          <w:tcPr>
            <w:tcW w:w="3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7.7 %</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5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spacing w:after="0"/>
              <w:rPr>
                <w:sz w:val="24"/>
                <w:szCs w:val="24"/>
                <w:color w:val="auto"/>
              </w:rPr>
            </w:pPr>
          </w:p>
        </w:tc>
        <w:tc>
          <w:tcPr>
            <w:tcW w:w="7240" w:type="dxa"/>
            <w:vAlign w:val="bottom"/>
            <w:gridSpan w:val="8"/>
          </w:tcPr>
          <w:p>
            <w:pPr>
              <w:jc w:val="right"/>
              <w:ind w:right="39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2025 Compared with Quarter Ended September 30, 2024</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1"/>
                <w:szCs w:val="11"/>
                <w:color w:val="auto"/>
              </w:rPr>
            </w:pPr>
          </w:p>
        </w:tc>
        <w:tc>
          <w:tcPr>
            <w:tcW w:w="1560" w:type="dxa"/>
            <w:vAlign w:val="bottom"/>
          </w:tcPr>
          <w:p>
            <w:pPr>
              <w:jc w:val="center"/>
              <w:ind w:right="37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1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60" w:type="dxa"/>
            <w:vAlign w:val="bottom"/>
          </w:tcPr>
          <w:p>
            <w:pPr>
              <w:spacing w:after="0"/>
              <w:rPr>
                <w:sz w:val="11"/>
                <w:szCs w:val="11"/>
                <w:color w:val="auto"/>
              </w:rPr>
            </w:pPr>
          </w:p>
        </w:tc>
        <w:tc>
          <w:tcPr>
            <w:tcW w:w="5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8"/>
              </w:rPr>
              <w:t>13</w:t>
            </w:r>
          </w:p>
        </w:tc>
        <w:tc>
          <w:tcPr>
            <w:tcW w:w="6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194</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net sales increase of $1.2 billion in the quarter ended September 30, 2025, compared to the quarter ended September 30, 2024, reflects higher commercial aftermarket sales of $0.8 billion and higher commercial OEM sales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$0.1 billion. The increase in commercial aftermarket sales of $0.8 billion was primarily driven by higher volume. The increase in commercial OEM sales was driven by higher volume in large commercial engines and favorable mix at Pratt &amp; Whitney Canada. Military sales increased $0.3 billion primarily driven by higher volume on the F135 program, including the impact of the Lot 18 contract award in the quarter ended September 30,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September 30, 2025, compared to the quarter ended September 30, 2024 reflects higher commercial aerospace operating profit of $0.1 billion, driven by the commercial aftermarket sales volume increase discussed above, partially offset by lower commercial OEM operating profit primarily driven by higher large commercial engines volume and the impact of higher tariffs. The increase in military operating profit was $0.1 billion, driven by the sales volume discussed above. These increases were partially offset by higher selling, general administrative expenses of $0.1 billion.</w:t>
      </w:r>
    </w:p>
    <w:p>
      <w:pPr>
        <w:spacing w:after="0" w:line="7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with Nine Months Ended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56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$2.9 billion in the nine months ended September 30, 2025 compared to the nine months ended September 30, 2024 reflects higher commercial aftermarket sales of $2.1 billion primarily driven by higher volume. Also contributing to the organic net sales increase was higher commercial OEM sales of $0.4 billion driven by higher volume and favorable mix. Military sales increased $0.4 billion, primarily due to higher production volume on the F135 and tanker programs.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$0.4 billion in the nine months ended September 30, 2025, compared to the nine months ended September 30, 2024 reflects higher commercial aerospace operating profit of $0.4 billion primarily driven by higher commercial aftermarket volume, partially offset by lower commercial OEM operating profit, including higher tariff and production costs, driven by the higher volume discussed above. The increase in military operating profit of $0.1 billion was driven by the higher sales volume discussed above, as well as favorable mix. Increased selling, general and administrative expenses of $0.1 billion were partially offset by lower research and development expenses.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operating profit of $0.1 billion in the nine months ended September 30, 2025, compared to the nine months ended September 30, 2024, primarily relates to a $0.1 billion charge related to a customer bankruptcy during the second quarter of 2025.</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the quarter ended September 30, 2025, Pratt &amp; Whitney booked $2.9 billion for F135 production and $248 million for F135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sustainment. In addition to these bookings, in the nine months ended September 30, 2025, Pratt &amp; Whitney booked $541 million for F135 sustainment and a number of smaller bookings.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8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7,045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6,386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20,386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19,556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859</w:t>
            </w:r>
          </w:p>
        </w:tc>
        <w:tc>
          <w:tcPr>
            <w:tcW w:w="34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647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2,342</w:t>
            </w:r>
          </w:p>
        </w:tc>
        <w:tc>
          <w:tcPr>
            <w:tcW w:w="34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1,770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10.1 %</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9.1 %</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Bookings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15,870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16,551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29,665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29,701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2025 Compared with Quarter Ended September 30, 2024</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0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58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6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42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$0.7 billion in the quarter ended September 30, 2025 compared to the quarter ended September 30, 2024 was primarily due to higher net sales of $0.4 billion from land and air defense systems programs primarily driven by higher net sales on international Patriot programs. The increase in the quarter was also driven by higher net sales of $0.2 billion from naval power programs primarily due to higher net sales on certain classified programs, Standard Missile-6 (SM-6) programs, and Evolved SeaSparrow Missile (ESSM) programs.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operating profit increase of $0.2 billion in the quarter ended September 30, 2025 compared to the quarter ended September 30, 2024 was driven by a favorable change in mix and other performance of approximately $0.1 billion, a favorable change in net EAC adjustments of approximately $0.1 billion, and higher volume of approximately $0.1 billion. The favorable change in mix and other performance was primarily due to increased production on international Patriot programs. The favorable change in net EAC adjustments was spread across numerous programs and benefited from the absence of a $53 million unfavorable adjustment in the third quarter of 2024 related to cost increases on a classified program. The increase in volume was primarily driven by the higher net sales discussed above.</w:t>
      </w:r>
    </w:p>
    <w:p>
      <w:pPr>
        <w:spacing w:after="0" w:line="7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with Nine Months Ended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1"/>
                <w:szCs w:val="11"/>
                <w:color w:val="auto"/>
              </w:rPr>
            </w:pPr>
          </w:p>
        </w:tc>
        <w:tc>
          <w:tcPr>
            <w:tcW w:w="1320" w:type="dxa"/>
            <w:vAlign w:val="bottom"/>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660" w:type="dxa"/>
            <w:vAlign w:val="bottom"/>
          </w:tcPr>
          <w:p>
            <w:pPr>
              <w:jc w:val="center"/>
              <w:ind w:right="55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net sales increase of $1.2 billion in the nine months ended September 30, 2025 compared to the nine months ended September 30, 2024 was primarily due to higher net sales of $1.1 billion from land and air defense systems programs primarily driven by higher net sales on international Patriot programs, international National Advanced Surface-to-Air Missile System (NASAMS) programs, and Lower Tier Air and Missile Defense Sensor (LTAMDS) programs, and higher net sales of $0.4 billion from naval power programs primarily due to higher net sales on ESSM programs, SPY-6 radar programs, and certain classified programs. These increases were partially offset by lower net sales of $0.3 billion driven by lower development program volume within air and space defense systems.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operating profit increase of $0.4 billion in the nine months ended September 30, 2025 compared to the nine months ended September 30, 2024 was primarily due to a favorable change in mix and other performance of $0.2 billion, higher volume of approximately $0.1 billion and a favorable change in net EAC adjustments of $0.1 billion. The favorable change in mix and other performance was primarily driven by increased production on international Patriot programs. The increase in volume was principally driven by the higher net sales discussed above. The favorable change in net EAC adjustments was spread across numerous programs and benefited from the absence of a $53 million unfavorable adjustment in the third quarter of 2024 related to cost increases on a classified program.</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the nine months ended September 30, 2025 compared to the nine months ended September 30, 2024 primarily relates to the sale of the CIS business completed in the first quarter of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net sales and operating profit of $0.1 billion and $0.2 billion, respectively, in the nine months ended September 30, 2025 compared to the nine months ended September 30, 2024 were primarily due to a charge related to the Raytheon Contract Termination initiated in the second quarter of 2024, with the operating profit decrease partially offset by a gain on sale of the CIS business, net of transaction and other related costs, in the first quarter of 2024.</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Defense Backlog and Bookings </w:t>
      </w:r>
      <w:r>
        <w:rPr>
          <w:rFonts w:ascii="Times New Roman" w:cs="Times New Roman" w:eastAsia="Times New Roman" w:hAnsi="Times New Roman"/>
          <w:sz w:val="18"/>
          <w:szCs w:val="18"/>
          <w:color w:val="auto"/>
        </w:rPr>
        <w:t>– Backlog was $72 billion as of September 30, 2025 and $63 billion as of December 31, 2024. In addition to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smaller bookings, in the quarter ended September 30, 2025, Raytheon booked $2.5 billion on several contracts to provide Guidance Enhanced Missiles (GEM-T) and Patriot launchers for international customers and the U.S. Army, $2.1 billion to provide advanced medium-range air-to-air missile (AMRAAM) to the U.S. Air Force, U.S. Navy,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international customers, $1.5 billion for low-rate initial production (LRIP) of LTAMDS for the U.S. Army and Poland, $517 million to provide Stinger missiles to the U.S. Army and international customers, $484 million to provide precision munitions systems to the U.S. Navy, $327 million to provide Javelin to the U.S. Army, $263 million to provide the Low, slow, small, unmanned aircraft Integrated Defeat System (LIDS), a Counter-Unmanned Aircraft System (C-UAS), to the U.S. Army, $259 million to provide Standard Missile-2 (SM-2) for the U.S. Navy, and $2.5 billion on a number of classified contracts. In addition to these bookings, in the nine months ended September 30, 2025, Raytheon booked $1.1 billion for AIM-9X Sidewinder Block II short-range air-to-air missiles for the U.S. Navy and international customers, $901 million to provide Standard Missile-3 (SM-3) for the Missile Defense Agency (MDA), $647 million for a SPY-6 Hardware Production and Sustainment contract for the U.S. Navy, $581 million for Next Generation Jammer Mid-Band (NGJ-MB) for the U.S. Navy and the Royal Australian Air Force, $529 million to provide Patriot systems for the Netherlands, $326 million for an advanced development program for the U.S. government, $325 million for an Advanced Tactical Electro-Optical Infrared (EO/IR) system for the U.S. Air Force, $322 million for SM-3 to the MDA and international customers, $314 million for various Multi-Spectral Targeting System-A (MTS-A) for the U.S. Navy and international customers, $300 million to provide ESSM to the U.S. Navy, $251 million to provide ESSM for Japan, and $2.5 billion on a number of classified contracts.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operations.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expenses and other unallocated items consists of costs not considered part of management’s evaluation of reportable segment operating performance, including certain unallowable costs and reserves.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40" w:type="dxa"/>
            <w:vAlign w:val="bottom"/>
            <w:gridSpan w:val="3"/>
          </w:tcPr>
          <w:p>
            <w:pPr>
              <w:spacing w:after="0"/>
              <w:rPr>
                <w:sz w:val="2"/>
                <w:szCs w:val="2"/>
                <w:color w:val="auto"/>
              </w:rPr>
            </w:pPr>
          </w:p>
        </w:tc>
      </w:tr>
      <w:tr>
        <w:trPr>
          <w:trHeight w:val="189"/>
        </w:trPr>
        <w:tc>
          <w:tcPr>
            <w:tcW w:w="5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(611)</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(14)</w:t>
            </w:r>
          </w:p>
        </w:tc>
      </w:tr>
      <w:tr>
        <w:trPr>
          <w:trHeight w:val="23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$0.1 billion in the quarter ended September 30, 2025 compared to the quarter ended September 30, 2024, was primarily due to the absence of a $0.2 billion benefit from a tax related indemnity receivable recorded in the third quarter of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2700" w:type="dxa"/>
            <w:vAlign w:val="bottom"/>
            <w:gridSpan w:val="3"/>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(1,901)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(110)</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$0.2 billion in the nine months ended September 30, 2025 compared to the nine months ended September 30, 2024 was primarily due to an increase in intersegment eliminations, principally driven by Collins.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eliminations and other operating profit of $0.1 billion in the nine months ended September 30, 2025 compared to the nine months ended September 30, 2024, was primarily due to a gain related to the increase in fair value on an investment recognized in the second quarter of 2025.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$0.8 billion in the nine months ended September 30, 2025 compared to the nine months ended September 30, 2024, was primarily due to the absence of a $0.9 billion charge recorded in the second quarter of 2024 related to the Resolution of Certain Legal Matters, partially offset by the absence of a $0.2 billion benefit from a tax related indemnity receivable recorded in the third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40" w:type="dxa"/>
            <w:vAlign w:val="bottom"/>
          </w:tcPr>
          <w:p>
            <w:pPr>
              <w:spacing w:after="0"/>
              <w:rPr>
                <w:sz w:val="16"/>
                <w:szCs w:val="16"/>
                <w:color w:val="auto"/>
              </w:rPr>
            </w:pPr>
          </w:p>
        </w:tc>
        <w:tc>
          <w:tcPr>
            <w:tcW w:w="3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(30)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(90)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229</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660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w w:val="96"/>
              </w:rPr>
              <w:t>739</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199</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570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6"/>
              </w:rPr>
              <w:t>636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FAS/CAS operating adjustments in the quarter and nine months ended September 30, 2025 were relatively consistent with the quarter and nine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57</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contracts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in the quarter ended September 30, 2025 were relatively consistent with the quarter ended September 30, 2024.</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acquisition accounting adjustments of $0.1 billion in the nine months ended September 30, 2025 compared to the nine months ended September 30, 2024, was primarily driven by a decrease in acquired intangibles amortization at Raytheon.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80" w:type="dxa"/>
            <w:vAlign w:val="bottom"/>
          </w:tcPr>
          <w:p>
            <w:pPr>
              <w:spacing w:after="0"/>
              <w:rPr>
                <w:sz w:val="16"/>
                <w:szCs w:val="16"/>
                <w:color w:val="auto"/>
              </w:rPr>
            </w:pPr>
          </w:p>
        </w:tc>
        <w:tc>
          <w:tcPr>
            <w:tcW w:w="16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5,966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5,578</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39,059</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41,261</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66,359</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61,923</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105,418</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103,184</w:t>
            </w:r>
          </w:p>
        </w:tc>
      </w:tr>
      <w:tr>
        <w:trPr>
          <w:trHeight w:val="236"/>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we had cash and cash equivalents of $6.0 billion, of which approximately 43% 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access global debt markets and the related cost of these borrowings depends on the strength of our credit rating and market conditions. In March 2025, our Moody’s Investors Service outlook improved from Baa1/negative to Baa1/stable. In June 2025, our S&amp;P Global rating was affirmed and our outlook was revised from BBB+/negative to BBB+/stable. Though the Company expects to continue having adequate access to funds, declines in our credit ratings or Company outlook could result in higher borrowing costs.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we had a revolving credit agreement with various banks permitting aggregate borrowings of up to $5.0 billion, which expires in August 2028. As of September 30, 2025, there were no borrowings outstanding under this agreement.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2025, our maximum commercial paper borrowing limit was $5.0 billion as the commercial paper is backed by our $5.0 billion revolving credit agreement. At September 30, 2025, we had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commercial paper borrowings outstanding.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 of long-term debt during the nine months ended September 30,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56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20" w:type="dxa"/>
            <w:vAlign w:val="bottom"/>
          </w:tcPr>
          <w:p>
            <w:pPr>
              <w:spacing w:after="0"/>
              <w:rPr>
                <w:sz w:val="13"/>
                <w:szCs w:val="13"/>
                <w:color w:val="auto"/>
              </w:rPr>
            </w:pP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55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18, 2025</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3.950% notes due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0" w:type="dxa"/>
            <w:vAlign w:val="bottom"/>
          </w:tcPr>
          <w:p>
            <w:pPr>
              <w:spacing w:after="0"/>
              <w:rPr>
                <w:sz w:val="1"/>
                <w:szCs w:val="1"/>
                <w:color w:val="auto"/>
              </w:rPr>
            </w:pPr>
          </w:p>
        </w:tc>
      </w:tr>
      <w:tr>
        <w:trPr>
          <w:trHeight w:val="236"/>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55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 on September 18, 2025, for an indeterminate amount of debt and equity securities for future issuance, subject to our internal limitations on the amount of debt to be issued under this shelf registration statement.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6,402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within Net income for the nine months ended September 30, 2024, was a $0.9 billion charge related to the Resolution of Certain Legal Matters and a $0.4 billion, net of tax, charge related to the Raytheon Contract Termination, both of which had no effect on cash flow in that period. These charges also had the effect of increasing Other accrued liabilities by $1.3 billion in the nine months ended September 30,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these charges, the $0.8 billion increase in cash flows provided by operating activities in the nine months ended September 30, 2025 compared to in the nine months ended September 30, 2024, was primarily driven by higher net income after adjustments to reconcile to net cash provided by operating activities driven by our segment performance, the benefit of lower inventory growth, and an increase in accounts payable and accrued liabilities driven by the timing of collaborator payables. These increases were partially offset by an increase in accounts receivable due to higher volume and timing of collections, and higher tax payments in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Factoring activity resulted in a $1.0 billion increase in cash provided by operating activities during the nine months ended September 30, 2025 compared to the nine months ended September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tax payments, net of refunds of $0.9 billion and $0.6 billion in the nine months ended September 30, 2025 and 2024, respectively.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2025 cash impact related to the Powder Metal Matter of approximately $1.1 billion to $1.3 billion, which includes the impact of cash paid, customer credits applied, and the timing of partner recovery.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change in cash flows provided from investing activities in the nine months ended September 30, 2025, compared to the nine months ended September 30, 2024, was primarily related to higher receipts from settlements of derivative contracts of $0.2 billion. This was partially offset by a $0.1 billion change in net proceeds received from divestitures. In the nine months ended September 30, 2025, we received $1.2 billion from the actuation and flight control business divestiture as compared to $1.3 billion from the CIS divestiture in the nine months ended September 30,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other intangible assets increased by $0.3 billion and $0.4 billion, respectively, primarily related to collaboration payments made under our 2012 agreement to acquire Rolls-Royce’s collaboration interests in International Aero Engines AG (IAE) and exclusivity payments made on contractual commitments included within intangible assets.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used in financing activities</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(5,332)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commercial paper and other short-term and long-term debt, payment of dividends, and stock repurchases.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$0.6 billion change in cash flows used in financing activities in the nine months ended September 30, 2025, compared to the nine months ended September 30, 2024, was primarily driven by higher long-term debt repayments of $0.6 billion in the nine months ended September 30, 2025. Refer to “Note 9: Borrowings and Lines of Credit” within Item 1 of this Form 10-Q for additional information on debt repayments. Additionally, lower share repurchases were more than offset by higher dividends paid in the nine months ended September 30, 2025 as compared to the nine months ended September 30,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management had remaining authority to repurchase approximately $0.6 billion of our common stock under the October 21, 2023 share repurchase program. Under the 2023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which include shares reacquired outside of our share repurchase program,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6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29"/>
        </w:trPr>
        <w:tc>
          <w:tcPr>
            <w:tcW w:w="62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136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30"/>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ASR Tranche 1 settlement - shares received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62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ASR Tranche 2 settlement - financing cash paid </w:t>
            </w:r>
            <w:r>
              <w:rPr>
                <w:rFonts w:ascii="Times New Roman" w:cs="Times New Roman" w:eastAsia="Times New Roman" w:hAnsi="Times New Roman"/>
                <w:sz w:val="23"/>
                <w:szCs w:val="23"/>
                <w:color w:val="auto"/>
                <w:vertAlign w:val="superscript"/>
              </w:rPr>
              <w:t>(2) (3)</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258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repurchased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50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394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r>
    </w:tbl>
    <w:p>
      <w:pPr>
        <w:spacing w:after="0" w:line="12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share repurchases that were settled in cash during the period.</w:t>
      </w:r>
    </w:p>
    <w:p>
      <w:pPr>
        <w:spacing w:after="0" w:line="17"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settlement of the ASR first and second tranches in the third quarter of 2024.</w:t>
      </w:r>
    </w:p>
    <w:p>
      <w:pPr>
        <w:spacing w:after="0" w:line="11" w:lineRule="exact"/>
        <w:rPr>
          <w:rFonts w:ascii="Times New Roman" w:cs="Times New Roman" w:eastAsia="Times New Roman" w:hAnsi="Times New Roman"/>
          <w:sz w:val="14"/>
          <w:szCs w:val="14"/>
          <w:color w:val="auto"/>
        </w:rPr>
      </w:pPr>
    </w:p>
    <w:p>
      <w:pPr>
        <w:ind w:right="2180" w:firstLine="8"/>
        <w:spacing w:after="0" w:line="283" w:lineRule="auto"/>
        <w:tabs>
          <w:tab w:leader="none" w:pos="34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change in fair value of the stock price from trade date to settlement date of $3 million, which is classified as an operating cash flow in our Condensed Consolidated Statement of Cash Flows.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ASR agreements entered into in 2023, the shares associated with the remaining portion of the aggregate purchase price have been settled over two tranches. In July 2024, the first tranche was settled upon final delivery to us of approximately 0.4 million shares of common stock. In September 2024, with respect to the second tranche, we owed approximately 2.2 million shares of common stock that we elected to cash settle for $261 million. The cash payment required as a result of the second tranche settlement was due to the significant increase in the price of our common stock during the ASR term. The final average price under the ASR was $94.28 per share.</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nine months ended September 30, 2025. For discussion of our exposure to market risk, refer to Part II, Item 7A, “Quantitative and Qualitative Disclosures About Market Risk,” contained in our 2024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Chairman and Chief Executive Officer (CEO), the Executive Vice President and Chief Financial Officer (CFO), and the Corporate Vice President and Controller (Controller), of the effectiveness of the design and operation of our disclosure controls and procedures as of September 30, 2025.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September 30, 2025,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“designed to”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w:t>
      </w:r>
    </w:p>
    <w:p>
      <w:pPr>
        <w:spacing w:after="0" w:line="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defense spending, national priorities and policy positions;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on our contracts and programs, including our ability to control costs and our dependence on U.S. government approvals for certain international contracts;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certification, production, delivery, support, and performance of RTX’s advanced technologies and new products and services and the realization of the anticipated benefits;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operating in RTX’s highly-competitive industries both domestically and abroad;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U.S. and non-U.S. suppliers and commodity markets, including cost increases and disruptions in the delivery of materials and services to RTX or our suppliers;</w:t>
      </w:r>
    </w:p>
    <w:p>
      <w:pPr>
        <w:ind w:left="660" w:right="80" w:hanging="328"/>
        <w:spacing w:after="0" w:line="24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policies, implementation of sanctions, imposition of tariffs (and counter-tariffs) and other trade measures and restrictions, foreign currency fluctuations, and sales methods;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conditions of the aerospace industry;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RTX to attract, train, qualify, and retain qualified personnel and maintain its culture and high ethical standards, and the ability of our personnel to continue to operate our facilities and businesses around the world;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and completing acquisitions, investments, divestitures, and other transactions;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 the U.S. and other countries in which RTX and its businesses operate;</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audits and other contingencies;</w:t>
      </w:r>
    </w:p>
    <w:p>
      <w:pPr>
        <w:ind w:left="660" w:right="40" w:hanging="328"/>
        <w:spacing w:after="0" w:line="23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Prosecution Agreements, Securities and Exchange Commission (SEC) Administrative Order, the Consent Agreement; and the related investigations by the SEC and the Department of Justice (DOJ);</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RTX’s ability to engage in desirable capital-raising or strategic transactions;</w:t>
      </w:r>
    </w:p>
    <w:p>
      <w:pPr>
        <w:spacing w:after="0" w:line="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future repurchases by RTX of its common stock, or declarations of cash dividends, which may be discontinued, accelerated, suspended, or delayed at any time due to various factors;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realizing expected benefits from, incurring costs for, and successfully managing strategic initiatives such as cost reduction, restructuring, digital transformation, and other operational initiatives;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tax exposures due to new tax legislation or other developments in the U.S. and other countries in which RTX and its businesses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Powder Metal Matter;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volumes of one or more of our significant customers as a result of business, labor, or other challenges, and the resulting effect on its or their demand for our products and services;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RTX product safety failure, quality issue, or other failure affecting RTX’s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including cyber-attacks on RTX’s information technology (IT) infrastructure, products, suppliers, customers and partners, and cybersecurity-related regulations;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indemnity or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and other technological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certain third-party intellectual property;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to RTX facilities and personnel, or those of its suppliers or customers, as well as public health crises, damaging weather, acts of nature or other similar events outside of RTX’s control that may affect RTX or its suppliers or customers;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and other internal restructurings as tax-free to us (formerly known as United Technologies Corporation (UTC)) and former UTC shareowners, in each case, for U.S. federal income tax purposes.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within Item 2 of this Form 10-Q. Additional important information as to these factors is included in our Annual Report on Form 10-K in the sections titled Item 1, “Business,” Item 1A, “Risk Factors,” Item 3, “Legal Proceedings,” Item 7, “Management’s Discussion and Analysis of Financial Condition and Results of Operations,” and “Note 17: Commitments and Contingencies” within Item 8.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Enforcement Proceeding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the Colorado Department of Public Health and Environment (CDPHE) issued a Notice of Violation/Cease and Desist Order (NOV/CDO) to Raytheon Company on January 31, 2023, alleging violations of a water discharge permit at a former Raytheon Company facility in Boulder, Colorado. On March 27, 2024, the CDPHE informed Raytheon Company that it was seeking a penalty in the amount of approximately $1 million in connection with the alleged violations and was requiring Raytheon Company to undertake a compliance program. In order to resolve the NOV/CDO, on October 6, 2025, Raytheon Company signed a Compliance Order on Consent (COC) with CDPHE under which, without any admission of fault or liability, it has agreed to pay $458,211 in civil penalties and to perform certain remediation work at the former facility under an agreed upon compliance schedule. While this agreement is subject to a public comment period, Raytheon Company believes the COC terms are unlikely to change and expects the penalty to be paid during the fourth quarter of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Commitments and Contingencies” within Item 1 of this Form 10-Q for a discussion regarding additional material legal proceedings.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2024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2024 Annual Report on Form 10-K (2024 Form 10-K). There have been no material changes from the factors disclosed in our 2024 Form 10-K,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September 30,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720" w:type="dxa"/>
            <w:vAlign w:val="bottom"/>
          </w:tcPr>
          <w:p>
            <w:pPr>
              <w:spacing w:after="0"/>
              <w:rPr>
                <w:sz w:val="12"/>
                <w:szCs w:val="12"/>
                <w:color w:val="auto"/>
              </w:rPr>
            </w:pPr>
          </w:p>
        </w:tc>
        <w:tc>
          <w:tcPr>
            <w:tcW w:w="234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8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340" w:type="dxa"/>
            <w:vAlign w:val="bottom"/>
          </w:tcPr>
          <w:p>
            <w:pPr>
              <w:jc w:val="center"/>
              <w:ind w:left="31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720" w:type="dxa"/>
            <w:vAlign w:val="bottom"/>
            <w:tcBorders>
              <w:bottom w:val="single" w:sz="8" w:color="auto"/>
            </w:tcBorders>
            <w:vMerge w:val="continue"/>
          </w:tcPr>
          <w:p>
            <w:pPr>
              <w:spacing w:after="0"/>
              <w:rPr>
                <w:sz w:val="17"/>
                <w:szCs w:val="17"/>
                <w:color w:val="auto"/>
              </w:rPr>
            </w:pPr>
          </w:p>
        </w:tc>
        <w:tc>
          <w:tcPr>
            <w:tcW w:w="2340" w:type="dxa"/>
            <w:vAlign w:val="bottom"/>
            <w:tcBorders>
              <w:bottom w:val="single" w:sz="8" w:color="auto"/>
            </w:tcBorders>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234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3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340" w:type="dxa"/>
            <w:vAlign w:val="bottom"/>
            <w:tcBorders>
              <w:bottom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reacquire shares outside of the program in connection with the surrender of shares to cover taxes on vesting of restricted stock. Our ability to repurchase shares is subject to applicable law. During the quarter ended September 30, 2025, we did not repurchase shares outside of the program.</w:t>
      </w:r>
    </w:p>
    <w:p>
      <w:pPr>
        <w:spacing w:after="0" w:line="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(as defined in Rule 16a-1(f)) of the Company adopted or terminated a “Rule 10b5-1 trading arrangement” or “non-Rule 10b5-1 trading arrangement,” as each term is defined in Item 408(a) of Regulation 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14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RTX Corporation Compensation Deferral Plan, as Amended and Restated as of June 1, 2025*</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RTX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October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October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8"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RTX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 DEFERRAL PLAN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Amended and Restated as of June 1, 2025)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I –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1.1 – Purpose of the Plan</w:t>
      </w:r>
    </w:p>
    <w:p>
      <w:pPr>
        <w:spacing w:after="0" w:line="224"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RTX Corporation Compensation Deferral Plan (the “CDP” or the “Plan”) is to provide eligible employees of an RTX Company with:</w:t>
      </w:r>
    </w:p>
    <w:p>
      <w:pPr>
        <w:spacing w:after="0" w:line="158" w:lineRule="exact"/>
        <w:rPr>
          <w:sz w:val="20"/>
          <w:szCs w:val="20"/>
          <w:color w:val="auto"/>
        </w:rPr>
      </w:pPr>
    </w:p>
    <w:p>
      <w:pPr>
        <w:ind w:right="480" w:firstLine="656"/>
        <w:spacing w:after="0" w:line="284"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opportunity to electively defer directly into the CDP a portion of their Eligible Earnings without regard to elective deferrals under the RTX Corporation Employee Savings Plan (the “RTX Qualified Savings Plan”);</w:t>
      </w:r>
    </w:p>
    <w:p>
      <w:pPr>
        <w:spacing w:after="0" w:line="143" w:lineRule="exact"/>
        <w:rPr>
          <w:rFonts w:ascii="Times New Roman" w:cs="Times New Roman" w:eastAsia="Times New Roman" w:hAnsi="Times New Roman"/>
          <w:sz w:val="22"/>
          <w:szCs w:val="22"/>
          <w:color w:val="auto"/>
        </w:rPr>
      </w:pPr>
    </w:p>
    <w:p>
      <w:pPr>
        <w:ind w:right="120" w:firstLine="656"/>
        <w:spacing w:after="0" w:line="271"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opportunity to electively defer a portion of their Compensation in excess of the limitation imposed by Section 401(a)(17) (the “IRS Compensation Limit”) of the Internal Revenue Code of 1986, as amended (“IRC”);</w:t>
      </w:r>
    </w:p>
    <w:p>
      <w:pPr>
        <w:spacing w:after="0" w:line="157" w:lineRule="exact"/>
        <w:rPr>
          <w:rFonts w:ascii="Times New Roman" w:cs="Times New Roman" w:eastAsia="Times New Roman" w:hAnsi="Times New Roman"/>
          <w:sz w:val="22"/>
          <w:szCs w:val="22"/>
          <w:color w:val="auto"/>
        </w:rPr>
      </w:pPr>
    </w:p>
    <w:p>
      <w:pPr>
        <w:ind w:right="440" w:firstLine="656"/>
        <w:spacing w:after="0" w:line="271"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accrual of benefits not provided under the RTX Qualified Savings Plan due to limitations imposed by IRC Section 415 (the “IRS Contribution Limit”) and IRC Section 401(a)(17); and</w:t>
      </w:r>
    </w:p>
    <w:p>
      <w:pPr>
        <w:spacing w:after="0" w:line="157" w:lineRule="exact"/>
        <w:rPr>
          <w:rFonts w:ascii="Times New Roman" w:cs="Times New Roman" w:eastAsia="Times New Roman" w:hAnsi="Times New Roman"/>
          <w:sz w:val="22"/>
          <w:szCs w:val="22"/>
          <w:color w:val="auto"/>
        </w:rPr>
      </w:pPr>
    </w:p>
    <w:p>
      <w:pPr>
        <w:ind w:right="160" w:firstLine="656"/>
        <w:spacing w:after="0" w:line="263"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accrual of benefits due to the reduction in the value of Company Matching Contributions and Company Retirement Contributions under the RTX Qualified Savings Plan, as a result of the reduction of a Participant’s compensation (as defined in the RTX Qualified Savings Plan) due to an elective deferral made pursuant to this Plan.</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1.2 – Effective Date of Plan and Amendments</w:t>
      </w:r>
    </w:p>
    <w:p>
      <w:pPr>
        <w:spacing w:after="0" w:line="224" w:lineRule="exact"/>
        <w:rPr>
          <w:sz w:val="20"/>
          <w:szCs w:val="20"/>
          <w:color w:val="auto"/>
        </w:rPr>
      </w:pPr>
    </w:p>
    <w:p>
      <w:pPr>
        <w:ind w:right="260" w:firstLine="656"/>
        <w:spacing w:after="0" w:line="271" w:lineRule="auto"/>
        <w:tabs>
          <w:tab w:leader="none" w:pos="1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Raytheon Technologies Corporation Compensation Deferral Plan was established effective as of January 1, 2023, for the benefit of certain RTX Company Employees.</w:t>
      </w:r>
    </w:p>
    <w:p>
      <w:pPr>
        <w:spacing w:after="0" w:line="171" w:lineRule="exact"/>
        <w:rPr>
          <w:rFonts w:ascii="Times New Roman" w:cs="Times New Roman" w:eastAsia="Times New Roman" w:hAnsi="Times New Roman"/>
          <w:sz w:val="22"/>
          <w:szCs w:val="22"/>
          <w:color w:val="auto"/>
        </w:rPr>
      </w:pPr>
    </w:p>
    <w:p>
      <w:pPr>
        <w:ind w:right="200" w:firstLine="656"/>
        <w:spacing w:after="0" w:line="257" w:lineRule="auto"/>
        <w:tabs>
          <w:tab w:leader="none" w:pos="134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was amended and restated, effective as of October 1, 2023, for the purpose of renaming the Plan, the RTX Corporation Compensation Deferral Plan, changing all company references from ‘Raytheon Technologies Corporation’ to ‘RTX Corporation’, and certain other minor administrative changes.</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was amended and restated, effective as of November 1, 2023, for certain other minor administrative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w:t>
      </w:r>
    </w:p>
    <w:p>
      <w:pPr>
        <w:spacing w:after="0" w:line="209"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hereby amended and restated, effective for Separation from Service on or after June 1, 2025, to allow a Participant to vest in the value of Company Contributions (other than</w:t>
      </w:r>
    </w:p>
    <w:p>
      <w:pPr>
        <w:sectPr>
          <w:pgSz w:w="11900" w:h="16838" w:orient="portrait"/>
          <w:cols w:equalWidth="0" w:num="1">
            <w:col w:w="11220"/>
          </w:cols>
          <w:pgMar w:left="320" w:top="1418" w:right="359" w:bottom="1440" w:gutter="0" w:footer="0" w:header="0"/>
        </w:sectPr>
      </w:pPr>
    </w:p>
    <w:bookmarkStart w:id="57" w:name="page58"/>
    <w:bookmarkEnd w:id="57"/>
    <w:p>
      <w:pPr>
        <w:ind w:right="2100"/>
        <w:spacing w:after="0" w:line="448" w:lineRule="auto"/>
        <w:rPr>
          <w:sz w:val="20"/>
          <w:szCs w:val="20"/>
          <w:color w:val="auto"/>
        </w:rPr>
      </w:pPr>
      <w:r>
        <w:rPr>
          <w:rFonts w:ascii="Times New Roman" w:cs="Times New Roman" w:eastAsia="Times New Roman" w:hAnsi="Times New Roman"/>
          <w:sz w:val="22"/>
          <w:szCs w:val="22"/>
          <w:color w:val="auto"/>
        </w:rPr>
        <w:t xml:space="preserve">Discretionary Contributions) upon a Separation from Service on or after attainment of age fifty-five (55). </w:t>
      </w:r>
      <w:r>
        <w:rPr>
          <w:rFonts w:ascii="Times New Roman" w:cs="Times New Roman" w:eastAsia="Times New Roman" w:hAnsi="Times New Roman"/>
          <w:sz w:val="22"/>
          <w:szCs w:val="22"/>
          <w:b w:val="1"/>
          <w:bCs w:val="1"/>
          <w:u w:val="single" w:color="auto"/>
          <w:color w:val="auto"/>
        </w:rPr>
        <w:t>ARTICLE II - DEFINITIONS</w:t>
      </w:r>
    </w:p>
    <w:p>
      <w:pPr>
        <w:spacing w:after="0" w:line="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Unless otherwise indicated, capitalized terms used herein shall have the same meanings ascribed under the RTX Qualified Savings Plan.</w:t>
      </w:r>
    </w:p>
    <w:p>
      <w:pPr>
        <w:spacing w:after="0" w:line="14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Account Establishment Year </w:t>
      </w:r>
      <w:r>
        <w:rPr>
          <w:rFonts w:ascii="Times New Roman" w:cs="Times New Roman" w:eastAsia="Times New Roman" w:hAnsi="Times New Roman"/>
          <w:sz w:val="22"/>
          <w:szCs w:val="22"/>
          <w:color w:val="auto"/>
        </w:rPr>
        <w:t>means, with respect to each Specified Year Account, the first calendar year in which deferred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credited to such Specified Year Account pursuant to the first deferral election made with respect to such Specified Year Account would have been paid if no deferral election under this Plan had been made. By way of example, if a Participant’s first deferral election with respect to a Specified Year Account is made in 2022 with respect to compensation that would have been paid in 2023 if such deferral election had not been made, then the Account Establishment Year for such Specified Year Account is 2023.</w:t>
      </w:r>
    </w:p>
    <w:p>
      <w:pPr>
        <w:spacing w:after="0" w:line="175" w:lineRule="exact"/>
        <w:rPr>
          <w:sz w:val="20"/>
          <w:szCs w:val="20"/>
          <w:color w:val="auto"/>
        </w:rPr>
      </w:pPr>
    </w:p>
    <w:p>
      <w:pPr>
        <w:ind w:right="420"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Annual Incentive Award </w:t>
      </w:r>
      <w:r>
        <w:rPr>
          <w:rFonts w:ascii="Times New Roman" w:cs="Times New Roman" w:eastAsia="Times New Roman" w:hAnsi="Times New Roman"/>
          <w:sz w:val="22"/>
          <w:szCs w:val="22"/>
          <w:color w:val="auto"/>
        </w:rPr>
        <w:t>means compensation amounts awarded to a Participant pursuant to the RTX Corporation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Annual Incentive Plan (or any successor plan) and/or the RTX Corporation Broad-Based Incentive Plan (or any successor plan), that is payable in the next following calendar year with respect to services performed in the current calendar year.</w:t>
      </w:r>
    </w:p>
    <w:p>
      <w:pPr>
        <w:spacing w:after="0" w:line="189" w:lineRule="exact"/>
        <w:rPr>
          <w:sz w:val="20"/>
          <w:szCs w:val="20"/>
          <w:color w:val="auto"/>
        </w:rPr>
      </w:pPr>
    </w:p>
    <w:p>
      <w:pPr>
        <w:ind w:right="180"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Beneficiary </w:t>
      </w:r>
      <w:r>
        <w:rPr>
          <w:rFonts w:ascii="Times New Roman" w:cs="Times New Roman" w:eastAsia="Times New Roman" w:hAnsi="Times New Roman"/>
          <w:sz w:val="21"/>
          <w:szCs w:val="21"/>
          <w:color w:val="auto"/>
        </w:rPr>
        <w:t>means the person, persons or entity designated on an electronic or written form by the Participant to receive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value of his or her Plan Account in the event of the Participant’s death in accordance with Section 7.5 of this Plan.</w:t>
      </w:r>
    </w:p>
    <w:p>
      <w:pPr>
        <w:spacing w:after="0" w:line="127" w:lineRule="exact"/>
        <w:rPr>
          <w:sz w:val="20"/>
          <w:szCs w:val="20"/>
          <w:color w:val="auto"/>
        </w:rPr>
      </w:pPr>
    </w:p>
    <w:p>
      <w:pPr>
        <w:ind w:right="42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Benefit Reduction Contribution </w:t>
      </w:r>
      <w:r>
        <w:rPr>
          <w:rFonts w:ascii="Times New Roman" w:cs="Times New Roman" w:eastAsia="Times New Roman" w:hAnsi="Times New Roman"/>
          <w:sz w:val="22"/>
          <w:szCs w:val="22"/>
          <w:color w:val="auto"/>
        </w:rPr>
        <w:t>means an amount credited by the Corporation to a Participant’s Plan Account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 5.4 of the Plan to restore the reduction in the Company Matching Contribution and/or the Company Retirement Contribution credited to a Participant’s Plan Account under the RTX Qualified Savings Plan as a result of the reduction of such Participant’s Eligible Earnings under the RTX Qualified Savings Plan due to an Elective Compensation Deferral by the Participant under this Plan.</w:t>
      </w:r>
    </w:p>
    <w:p>
      <w:pPr>
        <w:spacing w:after="0" w:line="17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means (a) “Cause” as defined in the Company’s 2018 Long-Term Incentive Plan, as amended and restated, and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further amended from time to time; (b) violation of the Company’s Code of Conduct; (c) such other actions or omissions that constitute willful misconduct, willful failure to perform, or gross negligence in the performance of, reasonable duties of employment; (d) disruptive behavior, or other such actions on the part of the Participant that renders his or her employment untenable as determined by the Committee; or (e) Participant’s loss or failure to maintain any security clearance required for the Participant’s position.</w:t>
      </w:r>
    </w:p>
    <w:p>
      <w:pPr>
        <w:spacing w:after="0" w:line="17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Code or IRC </w:t>
      </w:r>
      <w:r>
        <w:rPr>
          <w:rFonts w:ascii="Times New Roman" w:cs="Times New Roman" w:eastAsia="Times New Roman" w:hAnsi="Times New Roman"/>
          <w:sz w:val="22"/>
          <w:szCs w:val="22"/>
          <w:color w:val="auto"/>
        </w:rPr>
        <w:t>means the Internal Revenue Code of 1986, as amended from time to time, and any successor thereto.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References to any section of the Internal Revenue Code shall include any final regulations or other applicable guidance. References to “Section 409A” shall refer to Section 409A of the Code and any final regulations and guidance issued thereunder by the Internal Revenue Service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22" w:right="379" w:bottom="1440" w:gutter="0" w:footer="0" w:header="0"/>
        </w:sectPr>
      </w:pPr>
    </w:p>
    <w:bookmarkStart w:id="58" w:name="page59"/>
    <w:bookmarkEnd w:id="58"/>
    <w:p>
      <w:pPr>
        <w:ind w:right="8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Committee </w:t>
      </w:r>
      <w:r>
        <w:rPr>
          <w:rFonts w:ascii="Times New Roman" w:cs="Times New Roman" w:eastAsia="Times New Roman" w:hAnsi="Times New Roman"/>
          <w:sz w:val="22"/>
          <w:szCs w:val="22"/>
          <w:color w:val="auto"/>
        </w:rPr>
        <w:t>means the Deferred Compensation Committee (or successor committee), which is responsible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administration of the Plan.</w:t>
      </w:r>
    </w:p>
    <w:p>
      <w:pPr>
        <w:spacing w:after="0" w:line="149" w:lineRule="exact"/>
        <w:rPr>
          <w:sz w:val="20"/>
          <w:szCs w:val="20"/>
          <w:color w:val="auto"/>
        </w:rPr>
      </w:pPr>
    </w:p>
    <w:p>
      <w:pPr>
        <w:ind w:right="78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Company Contributions </w:t>
      </w:r>
      <w:r>
        <w:rPr>
          <w:rFonts w:ascii="Times New Roman" w:cs="Times New Roman" w:eastAsia="Times New Roman" w:hAnsi="Times New Roman"/>
          <w:sz w:val="22"/>
          <w:szCs w:val="22"/>
          <w:color w:val="auto"/>
        </w:rPr>
        <w:t>means the Company Retirement Contribution, the Company Matching Contribution,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Discretionary Contributions, including any Benefit Reduction Contributions.</w:t>
      </w:r>
    </w:p>
    <w:p>
      <w:pPr>
        <w:spacing w:after="0" w:line="137"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Company Matching Contribution </w:t>
      </w:r>
      <w:r>
        <w:rPr>
          <w:rFonts w:ascii="Times New Roman" w:cs="Times New Roman" w:eastAsia="Times New Roman" w:hAnsi="Times New Roman"/>
          <w:sz w:val="22"/>
          <w:szCs w:val="22"/>
          <w:color w:val="auto"/>
        </w:rPr>
        <w:t>means the matching contribution credited to the Plan on behalf of a Participant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Sections 5.2, 5.3 and 5.4 of the Plan. Where referring to the Company Matching Contributions under the RTX Qualified Savings Plan, the definition of such term in the RTX Qualified Savings Plan shall apply.</w:t>
      </w:r>
    </w:p>
    <w:p>
      <w:pPr>
        <w:spacing w:after="0" w:line="166" w:lineRule="exact"/>
        <w:rPr>
          <w:sz w:val="20"/>
          <w:szCs w:val="20"/>
          <w:color w:val="auto"/>
        </w:rPr>
      </w:pPr>
    </w:p>
    <w:p>
      <w:pPr>
        <w:jc w:val="both"/>
        <w:ind w:right="4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Company Retirement Contribution </w:t>
      </w:r>
      <w:r>
        <w:rPr>
          <w:rFonts w:ascii="Times New Roman" w:cs="Times New Roman" w:eastAsia="Times New Roman" w:hAnsi="Times New Roman"/>
          <w:sz w:val="22"/>
          <w:szCs w:val="22"/>
          <w:color w:val="auto"/>
        </w:rPr>
        <w:t>means the non-matching contribution credited to the Plan on behalf of a Participant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Sections 5.1 and 5.4 of the Plan. Where referring to Company Retirement Contribution under the RTX Qualified Savings Plan, the definition of such term in the RTX Qualified Savings Plan shall apply.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Corporation </w:t>
      </w:r>
      <w:r>
        <w:rPr>
          <w:rFonts w:ascii="Times New Roman" w:cs="Times New Roman" w:eastAsia="Times New Roman" w:hAnsi="Times New Roman"/>
          <w:sz w:val="22"/>
          <w:szCs w:val="22"/>
          <w:color w:val="auto"/>
        </w:rPr>
        <w:t>means RTX Corporation, or any successor thereto.</w:t>
      </w:r>
    </w:p>
    <w:p>
      <w:pPr>
        <w:spacing w:after="0" w:line="220" w:lineRule="exact"/>
        <w:rPr>
          <w:sz w:val="20"/>
          <w:szCs w:val="20"/>
          <w:color w:val="auto"/>
        </w:rPr>
      </w:pPr>
    </w:p>
    <w:p>
      <w:pPr>
        <w:ind w:right="50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Default Investment Option </w:t>
      </w:r>
      <w:r>
        <w:rPr>
          <w:rFonts w:ascii="Times New Roman" w:cs="Times New Roman" w:eastAsia="Times New Roman" w:hAnsi="Times New Roman"/>
          <w:sz w:val="22"/>
          <w:szCs w:val="22"/>
          <w:color w:val="auto"/>
        </w:rPr>
        <w:t>means the Investment Fund designated by the Committee on behalf of a Participant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absence of an investment option election by a Participant. The Default Investment Option shall be determined at the sole discretion of the Committee and shall be communicated to Participants annually.</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means permanent and total disability as determined under the Corporation’s long-term disability plan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w:t>
      </w:r>
    </w:p>
    <w:p>
      <w:pPr>
        <w:spacing w:after="0" w:line="175" w:lineRule="exact"/>
        <w:rPr>
          <w:sz w:val="20"/>
          <w:szCs w:val="20"/>
          <w:color w:val="auto"/>
        </w:rPr>
      </w:pPr>
    </w:p>
    <w:p>
      <w:pPr>
        <w:ind w:right="46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Discretionary Contribution </w:t>
      </w:r>
      <w:r>
        <w:rPr>
          <w:rFonts w:ascii="Times New Roman" w:cs="Times New Roman" w:eastAsia="Times New Roman" w:hAnsi="Times New Roman"/>
          <w:sz w:val="22"/>
          <w:szCs w:val="22"/>
          <w:color w:val="auto"/>
        </w:rPr>
        <w:t>means the contributions credited to the Plan on behalf of a Participant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5.6 of the Plan.</w:t>
      </w:r>
    </w:p>
    <w:p>
      <w:pPr>
        <w:spacing w:after="0" w:line="137"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Election Form </w:t>
      </w:r>
      <w:r>
        <w:rPr>
          <w:rFonts w:ascii="Times New Roman" w:cs="Times New Roman" w:eastAsia="Times New Roman" w:hAnsi="Times New Roman"/>
          <w:sz w:val="22"/>
          <w:szCs w:val="22"/>
          <w:color w:val="auto"/>
        </w:rPr>
        <w:t>means the form or process provided by the Committee to a Participant electronically or in paper form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purpose of specifying elective deferrals, method of distribution and/or the percentage allocation among the Investment Funds with respect to a Participant’s Plan Account.</w:t>
      </w:r>
    </w:p>
    <w:p>
      <w:pPr>
        <w:spacing w:after="0" w:line="166"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Elective Compensation Deferral </w:t>
      </w:r>
      <w:r>
        <w:rPr>
          <w:rFonts w:ascii="Times New Roman" w:cs="Times New Roman" w:eastAsia="Times New Roman" w:hAnsi="Times New Roman"/>
          <w:sz w:val="22"/>
          <w:szCs w:val="22"/>
          <w:color w:val="auto"/>
        </w:rPr>
        <w:t>means the percentage of Eligible Earnings to be deferred to a Participant’s Specified Year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and/or Separation from Service Account in accordance with Section 4.1 of the Plan.</w:t>
      </w:r>
    </w:p>
    <w:p>
      <w:pPr>
        <w:spacing w:after="0" w:line="13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Eligible Earnings </w:t>
      </w:r>
      <w:r>
        <w:rPr>
          <w:rFonts w:ascii="Times New Roman" w:cs="Times New Roman" w:eastAsia="Times New Roman" w:hAnsi="Times New Roman"/>
          <w:sz w:val="22"/>
          <w:szCs w:val="22"/>
          <w:color w:val="auto"/>
        </w:rPr>
        <w:t>means the total compensation paid with respect to a Plan Year to a Participant meeting the definition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as set forth in the RTX Qualified Savings Plan but modified by disregarding the IRS Compensation Limit in such definition and including amounts the Participant elects to defer for such Plan Year under Section 4.1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59" w:name="page60"/>
    <w:bookmarkEnd w:id="59"/>
    <w:p>
      <w:pPr>
        <w:ind w:right="20" w:firstLine="648"/>
        <w:spacing w:after="0" w:line="260" w:lineRule="auto"/>
        <w:rPr>
          <w:sz w:val="20"/>
          <w:szCs w:val="20"/>
          <w:color w:val="auto"/>
        </w:rPr>
      </w:pPr>
      <w:r>
        <w:rPr>
          <w:rFonts w:ascii="Times New Roman" w:cs="Times New Roman" w:eastAsia="Times New Roman" w:hAnsi="Times New Roman"/>
          <w:sz w:val="22"/>
          <w:szCs w:val="22"/>
          <w:i w:val="1"/>
          <w:iCs w:val="1"/>
          <w:color w:val="auto"/>
        </w:rPr>
        <w:t xml:space="preserve">Eligible Employee </w:t>
      </w:r>
      <w:r>
        <w:rPr>
          <w:rFonts w:ascii="Times New Roman" w:cs="Times New Roman" w:eastAsia="Times New Roman" w:hAnsi="Times New Roman"/>
          <w:sz w:val="22"/>
          <w:szCs w:val="22"/>
          <w:color w:val="auto"/>
        </w:rPr>
        <w:t>for any Plan Year means an Employee at a level of either: (i) F2-3, M7/P7 or E1-5 as of the date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which deferral elections are solicited by the Committee for such Plan Year, or (ii) F1, and </w:t>
      </w:r>
      <w:r>
        <w:rPr>
          <w:rFonts w:ascii="Times New Roman" w:cs="Times New Roman" w:eastAsia="Times New Roman" w:hAnsi="Times New Roman"/>
          <w:sz w:val="20"/>
          <w:szCs w:val="20"/>
          <w:color w:val="auto"/>
        </w:rPr>
        <w:t>whose combined annual salary and 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annual incentive compensation, as of the April 15 prior to </w:t>
      </w:r>
      <w:r>
        <w:rPr>
          <w:rFonts w:ascii="Times New Roman" w:cs="Times New Roman" w:eastAsia="Times New Roman" w:hAnsi="Times New Roman"/>
          <w:sz w:val="21"/>
          <w:szCs w:val="21"/>
          <w:color w:val="auto"/>
        </w:rPr>
        <w:t>the date on which deferral elections are solicited by the Committee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such Plan Year, </w:t>
      </w:r>
      <w:r>
        <w:rPr>
          <w:rFonts w:ascii="Times New Roman" w:cs="Times New Roman" w:eastAsia="Times New Roman" w:hAnsi="Times New Roman"/>
          <w:sz w:val="20"/>
          <w:szCs w:val="20"/>
          <w:color w:val="auto"/>
        </w:rPr>
        <w:t>are determined to exceed the then current IRC Section 401(a)(17) limit; and</w:t>
      </w:r>
      <w:r>
        <w:rPr>
          <w:rFonts w:ascii="Times New Roman" w:cs="Times New Roman" w:eastAsia="Times New Roman" w:hAnsi="Times New Roman"/>
          <w:sz w:val="21"/>
          <w:szCs w:val="21"/>
          <w:color w:val="auto"/>
        </w:rPr>
        <w:t xml:space="preserve"> who is paid from a US payroll and receives Eligible Earnings subject to U.S. federal income tax withholding.</w:t>
      </w:r>
    </w:p>
    <w:p>
      <w:pPr>
        <w:spacing w:after="0" w:line="180" w:lineRule="exact"/>
        <w:rPr>
          <w:sz w:val="20"/>
          <w:szCs w:val="20"/>
          <w:color w:val="auto"/>
        </w:rPr>
      </w:pPr>
    </w:p>
    <w:p>
      <w:pPr>
        <w:ind w:right="80"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Employee </w:t>
      </w:r>
      <w:r>
        <w:rPr>
          <w:rFonts w:ascii="Times New Roman" w:cs="Times New Roman" w:eastAsia="Times New Roman" w:hAnsi="Times New Roman"/>
          <w:sz w:val="21"/>
          <w:szCs w:val="21"/>
          <w:color w:val="auto"/>
        </w:rPr>
        <w:t>means an employee of the Corporation or an RTX Company but excluding any employee who is not eligible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participate in the RTX Qualified Savings Plan and any Represented Employee (as defined in the RTX Qualified Savings Plan).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Investment Fund </w:t>
      </w:r>
      <w:r>
        <w:rPr>
          <w:rFonts w:ascii="Times New Roman" w:cs="Times New Roman" w:eastAsia="Times New Roman" w:hAnsi="Times New Roman"/>
          <w:sz w:val="22"/>
          <w:szCs w:val="22"/>
          <w:color w:val="auto"/>
        </w:rPr>
        <w:t>means a hypothetical fund that tracks the value of an investment option offered under the RTX Qualified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Savings Plan or other such investment option as determined by the Committee. Investment Funds offered under the CDP may be changed from time to time by the Committee and shall be valued in the manner set forth in Section 6.2. Available investments are described at https://www.newportgroup.com. The value of Participants’ Accounts shall be adjusted to replicate the performance of the applicable Investment Funds. Amounts credited to any Investment Fund shall not be required to be invested in actual assets corresponding to the Investment Fund.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IRS Compensation Limit </w:t>
      </w:r>
      <w:r>
        <w:rPr>
          <w:rFonts w:ascii="Times New Roman" w:cs="Times New Roman" w:eastAsia="Times New Roman" w:hAnsi="Times New Roman"/>
          <w:sz w:val="22"/>
          <w:szCs w:val="22"/>
          <w:color w:val="auto"/>
        </w:rPr>
        <w:t>means the limitation imposed by Section 401(a)(17)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IRS Contribution Limit </w:t>
      </w:r>
      <w:r>
        <w:rPr>
          <w:rFonts w:ascii="Times New Roman" w:cs="Times New Roman" w:eastAsia="Times New Roman" w:hAnsi="Times New Roman"/>
          <w:sz w:val="22"/>
          <w:szCs w:val="22"/>
          <w:color w:val="auto"/>
        </w:rPr>
        <w:t>means the limitation imposed by Section 415(c) of the Code.</w:t>
      </w:r>
    </w:p>
    <w:p>
      <w:pPr>
        <w:spacing w:after="0" w:line="23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Maximum Deferral Period </w:t>
      </w:r>
      <w:r>
        <w:rPr>
          <w:rFonts w:ascii="Times New Roman" w:cs="Times New Roman" w:eastAsia="Times New Roman" w:hAnsi="Times New Roman"/>
          <w:sz w:val="22"/>
          <w:szCs w:val="22"/>
          <w:color w:val="auto"/>
        </w:rPr>
        <w:t>means, with regard to a Specified Year Account, a period of fifteen (15) consecutive calendar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years (or such other number of calendar years as is specified by the Committee from time to time) commencing with, and including, the Account Establishment Year. By way of illustration, for a Specified Year Account with an Account Establishment Year of 2023, the Maximum Deferral Period is calendar years 2023 through 2037, with distribution commencing in April of the Specific Deferral Year of 2038.</w:t>
      </w:r>
    </w:p>
    <w:p>
      <w:pPr>
        <w:spacing w:after="0" w:line="189"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Minimum Deferral Period </w:t>
      </w:r>
      <w:r>
        <w:rPr>
          <w:rFonts w:ascii="Times New Roman" w:cs="Times New Roman" w:eastAsia="Times New Roman" w:hAnsi="Times New Roman"/>
          <w:sz w:val="22"/>
          <w:szCs w:val="22"/>
          <w:color w:val="auto"/>
        </w:rPr>
        <w:t>means, with regard to a Specified Year Account, a period of three (3) consecutive calendar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years (or such other number of calendar years as is specified by the Committee from time to time) commencing with, and including, the Account Establishment Year. By way of illustration, for a Specified Year Account with an Account Establishment Year of 2023, the Minimum Deferral Period is calendar years 2023 through 2025, with distribution commencing in April of the Specific Deferral Year of 2026.</w:t>
      </w:r>
    </w:p>
    <w:p>
      <w:pPr>
        <w:spacing w:after="0" w:line="17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means an Employee who meets the criteria detailed in Article III. A Participant who previously elected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defer Eligible Earnings under the Plan, and/or who received an allocation of benefits under the Plan, but who ceases to meet the criteria detailed in Article III, shall not be eligible to continue to elect to defer under Article IV, and/or to receive contributions under Article V, but shall remain a Participant under the Plan with respect to his or her Plan Account until it is distributed or forfeited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18" w:right="35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Plan or CDP </w:t>
      </w:r>
      <w:r>
        <w:rPr>
          <w:rFonts w:ascii="Times New Roman" w:cs="Times New Roman" w:eastAsia="Times New Roman" w:hAnsi="Times New Roman"/>
          <w:sz w:val="22"/>
          <w:szCs w:val="22"/>
          <w:color w:val="auto"/>
        </w:rPr>
        <w:t>means the RTX Corporation Compensation Deferral Plan, as amended from time to time.</w:t>
      </w:r>
    </w:p>
    <w:p>
      <w:pPr>
        <w:spacing w:after="0" w:line="220"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Plan Account </w:t>
      </w:r>
      <w:r>
        <w:rPr>
          <w:rFonts w:ascii="Times New Roman" w:cs="Times New Roman" w:eastAsia="Times New Roman" w:hAnsi="Times New Roman"/>
          <w:sz w:val="22"/>
          <w:szCs w:val="22"/>
          <w:color w:val="auto"/>
        </w:rPr>
        <w:t>means, for each Participant, the aggregate value of all of such Participant’s Specified Year Accounts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Participant’s Separation from Service Account.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Plan Year </w:t>
      </w:r>
      <w:r>
        <w:rPr>
          <w:rFonts w:ascii="Times New Roman" w:cs="Times New Roman" w:eastAsia="Times New Roman" w:hAnsi="Times New Roman"/>
          <w:sz w:val="22"/>
          <w:szCs w:val="22"/>
          <w:color w:val="auto"/>
        </w:rPr>
        <w:t>means the calendar year.</w:t>
      </w:r>
    </w:p>
    <w:p>
      <w:pPr>
        <w:spacing w:after="0" w:line="220"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RTX Company </w:t>
      </w:r>
      <w:r>
        <w:rPr>
          <w:rFonts w:ascii="Times New Roman" w:cs="Times New Roman" w:eastAsia="Times New Roman" w:hAnsi="Times New Roman"/>
          <w:sz w:val="22"/>
          <w:szCs w:val="22"/>
          <w:color w:val="auto"/>
        </w:rPr>
        <w:t>means the Corporation, or any entity controlled by or under common control with the Corporation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meaning of Section 414(b) or (c) of the Code (but substituting “at least 20 percent” for “at least 80 percent” as the control threshold used in applying Sections 414(b) and (c)).</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RTX Qualified Savings Plan </w:t>
      </w:r>
      <w:r>
        <w:rPr>
          <w:rFonts w:ascii="Times New Roman" w:cs="Times New Roman" w:eastAsia="Times New Roman" w:hAnsi="Times New Roman"/>
          <w:sz w:val="22"/>
          <w:szCs w:val="22"/>
          <w:color w:val="auto"/>
        </w:rPr>
        <w:t>means the RTX Corporation Savings Plan, as amended from time to time.</w:t>
      </w:r>
    </w:p>
    <w:p>
      <w:pPr>
        <w:spacing w:after="0" w:line="233"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i w:val="1"/>
          <w:iCs w:val="1"/>
          <w:color w:val="auto"/>
        </w:rPr>
        <w:t xml:space="preserve">Separation from Service </w:t>
      </w:r>
      <w:r>
        <w:rPr>
          <w:rFonts w:ascii="Times New Roman" w:cs="Times New Roman" w:eastAsia="Times New Roman" w:hAnsi="Times New Roman"/>
          <w:sz w:val="21"/>
          <w:szCs w:val="21"/>
          <w:color w:val="auto"/>
        </w:rPr>
        <w:t>means a Participant’s termination of employment with all RTX Companies, other than by reason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death. A Separation from Service will be deemed to occur where the Participant and the RTX Company that employs the Participant reasonably anticipate that the bona fide level of services the Participant will perform (whether as an employee or as an independent contractor) for RTX Companies will be permanently reduced to a level that is less than thirty-seven and a half percent (37.5%) of the average level of bona fide services the Participant performed during the immediately preceding thirty-six</w:t>
      </w:r>
    </w:p>
    <w:p>
      <w:pPr>
        <w:spacing w:after="0" w:line="2" w:lineRule="exact"/>
        <w:rPr>
          <w:sz w:val="20"/>
          <w:szCs w:val="20"/>
          <w:color w:val="auto"/>
        </w:rPr>
      </w:pPr>
    </w:p>
    <w:p>
      <w:pPr>
        <w:ind w:right="100" w:firstLine="8"/>
        <w:spacing w:after="0" w:line="252" w:lineRule="auto"/>
        <w:tabs>
          <w:tab w:leader="none" w:pos="41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(or the entire period the Participant has provided services if the Participant has been providing services to RTX Companies for less than thirty-six (36) months). A Participant shall not be considered to have had a Separation from Service as a result of a transfer from one RTX Company to another RTX Company.</w:t>
      </w:r>
    </w:p>
    <w:p>
      <w:pPr>
        <w:spacing w:after="0" w:line="17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Separation from Service Account </w:t>
      </w:r>
      <w:r>
        <w:rPr>
          <w:rFonts w:ascii="Times New Roman" w:cs="Times New Roman" w:eastAsia="Times New Roman" w:hAnsi="Times New Roman"/>
          <w:sz w:val="22"/>
          <w:szCs w:val="22"/>
          <w:color w:val="auto"/>
        </w:rPr>
        <w:t>means a Plan Account maintained on behalf of the Participant, for the purpose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crediting Elective Compensation Deferrals and Company Contributions that is targeted for distribution following the Participant’s Separation from Service. The Committee may establish categories of Separation from Service Accounts to reflect different sources of deferrals.</w:t>
      </w:r>
    </w:p>
    <w:p>
      <w:pPr>
        <w:spacing w:after="0" w:line="1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Specified Year Account </w:t>
      </w:r>
      <w:r>
        <w:rPr>
          <w:rFonts w:ascii="Times New Roman" w:cs="Times New Roman" w:eastAsia="Times New Roman" w:hAnsi="Times New Roman"/>
          <w:sz w:val="22"/>
          <w:szCs w:val="22"/>
          <w:color w:val="auto"/>
        </w:rPr>
        <w:t>means a Plan Account maintained on behalf of the Participant for the purpose of crediting Elective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Deferrals with a targeted distribution date in April of the calendar year specified by the Participant. A Participant shall be allowed a maximum of five (5) active Specified Year Accounts under the Plan at one time and when any Specified Year Account is fully paid, it shall no longer be considered an active Specified Year Account.</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Specific Deferral Year </w:t>
      </w:r>
      <w:r>
        <w:rPr>
          <w:rFonts w:ascii="Times New Roman" w:cs="Times New Roman" w:eastAsia="Times New Roman" w:hAnsi="Times New Roman"/>
          <w:sz w:val="22"/>
          <w:szCs w:val="22"/>
          <w:color w:val="auto"/>
        </w:rPr>
        <w:t>means, with respect to a Specified Year Account, a specified calendar year in which an entire lump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sum payment will be distributed, or installment payments will begin to be distributed to the Participant. The Specific Deferral Year shall be no earlier than the calendar year immediately following the Minimum Deferral Period and no later than the calendar year immediately following the Maximum Deferral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61" w:name="page62"/>
    <w:bookmarkEnd w:id="61"/>
    <w:p>
      <w:pPr>
        <w:ind w:right="320"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Specified Employee </w:t>
      </w:r>
      <w:r>
        <w:rPr>
          <w:rFonts w:ascii="Times New Roman" w:cs="Times New Roman" w:eastAsia="Times New Roman" w:hAnsi="Times New Roman"/>
          <w:sz w:val="22"/>
          <w:szCs w:val="22"/>
          <w:color w:val="auto"/>
        </w:rPr>
        <w:t>means each of the fifty (50) highest-paid officers and other Employees of the Corporation and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affiliates (determined for this purpose under Treas. Regs. §1.409A-1(g)), effective annually as of April 1st, based on compensation reported in Box 1 of Form W-2 for the immediately preceding calendar year, but including amounts that are excluded from taxable income as a result of elective deferrals to qualified plans and pre-tax contributions. For these purposes, compensation shall not include foreign compensation earned by a nonresident alien that is not effectively connected with the conduct of a trade or business in the 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 - ELIGIBILITY AND PARTICIPATION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3.1 - Eligibility</w:t>
      </w:r>
    </w:p>
    <w:p>
      <w:pPr>
        <w:spacing w:after="0" w:line="23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Each Employee (i) who is classified by the Committee as an Eligible Employee at the time of the deferral election will be eligible to defer Eligible Earnings in accordance with the terms of the Plan; and/or (ii) whose Company Retirement Contributions and Company Matching Contributions under the RTX Qualified Savings Plan are limited by the IRS Contribution Limit is eligible to participate in the Plan subject to the terms and conditions of this Article III and/or (iii) whose Company Retirement Contributions under the RTX Qualified Savings Plan are limited by the IRS Compensation Limit is eligible to participate in the Plan subject to the terms and conditions of this Article III. The Committee shall determine which Eligible Employees are permitted to make deferral elections.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3.2 - Participation for Company Retirement Contributions and/or Company Matching Contributions</w:t>
      </w:r>
    </w:p>
    <w:p>
      <w:pPr>
        <w:spacing w:after="0" w:line="224"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An Employee who becomes eligible to participate in the Plan with respect to Company Retirement Contributions and/or Company Matching Contributions shall be automatically enrolled in the Plan within thirty (30) days of the Employee’s first eligible pay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3.3 – Participation for Elective Compensation Deferrals</w:t>
      </w:r>
    </w:p>
    <w:p>
      <w:pPr>
        <w:spacing w:after="0" w:line="22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An Eligible Employee may elect to participate in the Plan with respect to Elective Compensation Deferrals for any calendar year for which the Committee offers the Eligible Employee the opportunity to make such deferrals by timely completing and submitting an Election Form to the Committee, in accordance with Section 4.1. Participation in the Plan with respect to Elective Compensation Deferrals is entirely voluntary.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IV - PARTICIPATION ELECTIONS AND DESIGNATIONS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4.1 - Elective Compensation Deferral</w:t>
      </w:r>
    </w:p>
    <w:p>
      <w:pPr>
        <w:spacing w:after="0" w:line="220" w:lineRule="exact"/>
        <w:rPr>
          <w:sz w:val="20"/>
          <w:szCs w:val="20"/>
          <w:color w:val="auto"/>
        </w:rPr>
      </w:pPr>
    </w:p>
    <w:p>
      <w:pPr>
        <w:ind w:right="240" w:firstLine="656"/>
        <w:spacing w:after="0" w:line="275" w:lineRule="auto"/>
        <w:tabs>
          <w:tab w:leader="none" w:pos="12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Election. </w:t>
      </w:r>
      <w:r>
        <w:rPr>
          <w:rFonts w:ascii="Times New Roman" w:cs="Times New Roman" w:eastAsia="Times New Roman" w:hAnsi="Times New Roman"/>
          <w:sz w:val="22"/>
          <w:szCs w:val="22"/>
          <w:color w:val="auto"/>
        </w:rPr>
        <w:t>An Eligible Employee may, on or before the election deadline established by the Committee, make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Elective Compensation Deferral in accordance with this paragraph (a)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18"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the Election Form provided by the Committee for the immediately following calendar year, as follows:</w:t>
      </w:r>
    </w:p>
    <w:p>
      <w:pPr>
        <w:spacing w:after="0" w:line="216" w:lineRule="exact"/>
        <w:rPr>
          <w:sz w:val="20"/>
          <w:szCs w:val="20"/>
          <w:color w:val="auto"/>
        </w:rPr>
      </w:pPr>
    </w:p>
    <w:p>
      <w:pPr>
        <w:ind w:left="660" w:firstLine="644"/>
        <w:spacing w:after="0" w:line="275" w:lineRule="auto"/>
        <w:tabs>
          <w:tab w:leader="none" w:pos="19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Direct Deferral. </w:t>
      </w:r>
      <w:r>
        <w:rPr>
          <w:rFonts w:ascii="Times New Roman" w:cs="Times New Roman" w:eastAsia="Times New Roman" w:hAnsi="Times New Roman"/>
          <w:sz w:val="22"/>
          <w:szCs w:val="22"/>
          <w:color w:val="auto"/>
        </w:rPr>
        <w:t>Elect to defer a portion of his or her Eligible Earnings before any deferral under the RTX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Qualified Savings Plan; and/or</w:t>
      </w:r>
    </w:p>
    <w:p>
      <w:pPr>
        <w:spacing w:after="0" w:line="16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Excess Deferral. </w:t>
      </w:r>
      <w:r>
        <w:rPr>
          <w:rFonts w:ascii="Times New Roman" w:cs="Times New Roman" w:eastAsia="Times New Roman" w:hAnsi="Times New Roman"/>
          <w:sz w:val="22"/>
          <w:szCs w:val="22"/>
          <w:color w:val="auto"/>
        </w:rPr>
        <w:t>Elect to defer a portion of his or her base salary in excess of the IRS Compensation</w:t>
      </w:r>
    </w:p>
    <w:p>
      <w:pPr>
        <w:spacing w:after="0" w:line="3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w:t>
      </w:r>
    </w:p>
    <w:p>
      <w:pPr>
        <w:spacing w:after="0" w:line="191" w:lineRule="exact"/>
        <w:rPr>
          <w:rFonts w:ascii="Times New Roman" w:cs="Times New Roman" w:eastAsia="Times New Roman" w:hAnsi="Times New Roman"/>
          <w:sz w:val="22"/>
          <w:szCs w:val="22"/>
          <w:color w:val="auto"/>
        </w:rPr>
      </w:pPr>
    </w:p>
    <w:p>
      <w:pPr>
        <w:ind w:right="320" w:firstLine="656"/>
        <w:spacing w:after="0" w:line="275" w:lineRule="auto"/>
        <w:tabs>
          <w:tab w:leader="none" w:pos="12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Election Amount. </w:t>
      </w:r>
      <w:r>
        <w:rPr>
          <w:rFonts w:ascii="Times New Roman" w:cs="Times New Roman" w:eastAsia="Times New Roman" w:hAnsi="Times New Roman"/>
          <w:sz w:val="22"/>
          <w:szCs w:val="22"/>
          <w:color w:val="auto"/>
        </w:rPr>
        <w:t>An Eligible Employee who makes an Elective Compensation Deferral election as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4.1(a), must designate on the Election Form at least one of the following:</w:t>
      </w:r>
    </w:p>
    <w:p>
      <w:pPr>
        <w:spacing w:after="0" w:line="149" w:lineRule="exact"/>
        <w:rPr>
          <w:rFonts w:ascii="Times New Roman" w:cs="Times New Roman" w:eastAsia="Times New Roman" w:hAnsi="Times New Roman"/>
          <w:sz w:val="22"/>
          <w:szCs w:val="22"/>
          <w:color w:val="auto"/>
        </w:rPr>
      </w:pPr>
    </w:p>
    <w:p>
      <w:pPr>
        <w:ind w:left="660" w:right="560" w:firstLine="644"/>
        <w:spacing w:after="0" w:line="287" w:lineRule="auto"/>
        <w:tabs>
          <w:tab w:leader="none" w:pos="19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Direct Deferral of Base Salary. </w:t>
      </w:r>
      <w:r>
        <w:rPr>
          <w:rFonts w:ascii="Times New Roman" w:cs="Times New Roman" w:eastAsia="Times New Roman" w:hAnsi="Times New Roman"/>
          <w:sz w:val="22"/>
          <w:szCs w:val="22"/>
          <w:color w:val="auto"/>
        </w:rPr>
        <w:t>The percentage of base salary to be deferred in a whole percentage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one (1) and fifty (50) percent;</w:t>
      </w:r>
    </w:p>
    <w:p>
      <w:pPr>
        <w:spacing w:after="0" w:line="137" w:lineRule="exact"/>
        <w:rPr>
          <w:rFonts w:ascii="Times New Roman" w:cs="Times New Roman" w:eastAsia="Times New Roman" w:hAnsi="Times New Roman"/>
          <w:sz w:val="22"/>
          <w:szCs w:val="22"/>
          <w:color w:val="auto"/>
        </w:rPr>
      </w:pPr>
    </w:p>
    <w:p>
      <w:pPr>
        <w:ind w:left="660" w:right="100" w:firstLine="644"/>
        <w:spacing w:after="0" w:line="275" w:lineRule="auto"/>
        <w:tabs>
          <w:tab w:leader="none" w:pos="195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Excess Deferral of Base Salary. </w:t>
      </w:r>
      <w:r>
        <w:rPr>
          <w:rFonts w:ascii="Times New Roman" w:cs="Times New Roman" w:eastAsia="Times New Roman" w:hAnsi="Times New Roman"/>
          <w:sz w:val="22"/>
          <w:szCs w:val="22"/>
          <w:color w:val="auto"/>
        </w:rPr>
        <w:t>The percentage of base salary in excess of the IRS Compensation Limit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deferred in a whole percentage between one (1) and fifty (50) percent; and/or</w:t>
      </w:r>
    </w:p>
    <w:p>
      <w:pPr>
        <w:spacing w:after="0" w:line="149" w:lineRule="exact"/>
        <w:rPr>
          <w:rFonts w:ascii="Times New Roman" w:cs="Times New Roman" w:eastAsia="Times New Roman" w:hAnsi="Times New Roman"/>
          <w:sz w:val="22"/>
          <w:szCs w:val="22"/>
          <w:color w:val="auto"/>
        </w:rPr>
      </w:pPr>
    </w:p>
    <w:p>
      <w:pPr>
        <w:ind w:left="660" w:right="540" w:firstLine="644"/>
        <w:spacing w:after="0" w:line="275" w:lineRule="auto"/>
        <w:tabs>
          <w:tab w:leader="none" w:pos="195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Direct Deferral of Annual Incentive Award. </w:t>
      </w:r>
      <w:r>
        <w:rPr>
          <w:rFonts w:ascii="Times New Roman" w:cs="Times New Roman" w:eastAsia="Times New Roman" w:hAnsi="Times New Roman"/>
          <w:sz w:val="22"/>
          <w:szCs w:val="22"/>
          <w:color w:val="auto"/>
        </w:rPr>
        <w:t>The percentage of any Annual Incentive Award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in a whole percentage between one (1) and eighty (80) percent.</w:t>
      </w:r>
    </w:p>
    <w:p>
      <w:pPr>
        <w:spacing w:after="0" w:line="149" w:lineRule="exact"/>
        <w:rPr>
          <w:rFonts w:ascii="Times New Roman" w:cs="Times New Roman" w:eastAsia="Times New Roman" w:hAnsi="Times New Roman"/>
          <w:sz w:val="22"/>
          <w:szCs w:val="22"/>
          <w:color w:val="auto"/>
        </w:rPr>
      </w:pPr>
    </w:p>
    <w:p>
      <w:pPr>
        <w:jc w:val="both"/>
        <w:ind w:left="660" w:right="260" w:firstLine="644"/>
        <w:spacing w:after="0" w:line="265" w:lineRule="auto"/>
        <w:tabs>
          <w:tab w:leader="none" w:pos="19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Base Salary Limitation. </w:t>
      </w:r>
      <w:r>
        <w:rPr>
          <w:rFonts w:ascii="Times New Roman" w:cs="Times New Roman" w:eastAsia="Times New Roman" w:hAnsi="Times New Roman"/>
          <w:sz w:val="22"/>
          <w:szCs w:val="22"/>
          <w:color w:val="auto"/>
        </w:rPr>
        <w:t>The maximum combined percentage of base salary that an Eligible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elect to defer for any calendar year under both paragraphs (i) and (ii) of Section 4.1(b) shall not exceed fifty (50) percent.</w:t>
      </w:r>
    </w:p>
    <w:p>
      <w:pPr>
        <w:spacing w:after="0" w:line="161" w:lineRule="exact"/>
        <w:rPr>
          <w:rFonts w:ascii="Times New Roman" w:cs="Times New Roman" w:eastAsia="Times New Roman" w:hAnsi="Times New Roman"/>
          <w:sz w:val="22"/>
          <w:szCs w:val="22"/>
          <w:color w:val="auto"/>
        </w:rPr>
      </w:pPr>
    </w:p>
    <w:p>
      <w:pPr>
        <w:ind w:right="60" w:firstLine="656"/>
        <w:spacing w:after="0" w:line="250" w:lineRule="auto"/>
        <w:tabs>
          <w:tab w:leader="none" w:pos="12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Election Date. </w:t>
      </w:r>
      <w:r>
        <w:rPr>
          <w:rFonts w:ascii="Times New Roman" w:cs="Times New Roman" w:eastAsia="Times New Roman" w:hAnsi="Times New Roman"/>
          <w:sz w:val="22"/>
          <w:szCs w:val="22"/>
          <w:color w:val="auto"/>
        </w:rPr>
        <w:t>For an election to defer base salary, an Election Form must be completed and submitted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no later than the December 31 immediately preceding the calendar year to which the election applies, or such earlier date as the Committee may specify. For an election to defer an Annual Incentive Award with respect to services to be performed in the current calendar year and otherwise payable in the immediately following calendar year, an Election Form must be completed and submitted to the Committee no later than the June 30 of the current calendar year, or such earlier date as the Committee may specify. A new Election Form must be completed each year to defer either base salary and/or an Annual Incentive Award.</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Except as provided below in Section 4.6 (Change in Distribution Election), the payment choices reflected on the Election Form shall be irrevocable on the election deadline specified by the Committee. If an Eligible Employee or Participant fails to submit a properly completed Election Form by the election deadline, the Eligible Employee or Participant will be ineligible to make an Elective Compensation Deferral.</w:t>
      </w:r>
    </w:p>
    <w:p>
      <w:pPr>
        <w:spacing w:after="0" w:line="172" w:lineRule="exact"/>
        <w:rPr>
          <w:sz w:val="20"/>
          <w:szCs w:val="20"/>
          <w:color w:val="auto"/>
        </w:rPr>
      </w:pPr>
    </w:p>
    <w:p>
      <w:pPr>
        <w:ind w:right="360" w:firstLine="656"/>
        <w:spacing w:after="0" w:line="259"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Deferral Allocation. </w:t>
      </w:r>
      <w:r>
        <w:rPr>
          <w:rFonts w:ascii="Times New Roman" w:cs="Times New Roman" w:eastAsia="Times New Roman" w:hAnsi="Times New Roman"/>
          <w:sz w:val="22"/>
          <w:szCs w:val="22"/>
          <w:color w:val="auto"/>
        </w:rPr>
        <w:t>An Eligible Employee or Participant shall specify in the Election Form, in whole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percentages, how the amounts to be deferred in the immediately following calendar year are to be allocated among his or her Separation from Service Account and/or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40"/>
          </w:cols>
          <w:pgMar w:left="320" w:top="1422" w:right="439" w:bottom="1440" w:gutter="0" w:footer="0" w:header="0"/>
        </w:sectPr>
      </w:pPr>
    </w:p>
    <w:bookmarkStart w:id="63" w:name="page64"/>
    <w:bookmarkEnd w:id="63"/>
    <w:p>
      <w:pPr>
        <w:ind w:right="60"/>
        <w:spacing w:after="0" w:line="250" w:lineRule="auto"/>
        <w:rPr>
          <w:sz w:val="20"/>
          <w:szCs w:val="20"/>
          <w:color w:val="auto"/>
        </w:rPr>
      </w:pPr>
      <w:r>
        <w:rPr>
          <w:rFonts w:ascii="Times New Roman" w:cs="Times New Roman" w:eastAsia="Times New Roman" w:hAnsi="Times New Roman"/>
          <w:sz w:val="22"/>
          <w:szCs w:val="22"/>
          <w:color w:val="auto"/>
        </w:rPr>
        <w:t>more Specified Year Accounts, including among any existing active Specified Year Accounts. A Participant may allocate to an existing active Specified Year Account so long as the Specified Deferral Year for such Specified Year Account is no earlier than the second calendar year following the calendar year in which such compensation is otherwise payable. By way of illustration, a Participant may use a Specified Year Account with a Specified Deferral Year of 2027 to defer compensation otherwise payable in 2025 but may not use such Specified Year Account with respect to compensation otherwise payable in 2026. To the extent that the Eligible Employee or Participant fails to make an effective allocation among the available accounts, the deferral shall be allocated entirely to her or her Separation from Service Account.</w:t>
      </w:r>
    </w:p>
    <w:p>
      <w:pPr>
        <w:spacing w:after="0" w:line="176" w:lineRule="exact"/>
        <w:rPr>
          <w:sz w:val="20"/>
          <w:szCs w:val="20"/>
          <w:color w:val="auto"/>
        </w:rPr>
      </w:pPr>
    </w:p>
    <w:p>
      <w:pPr>
        <w:ind w:right="180" w:firstLine="656"/>
        <w:spacing w:after="0" w:line="252" w:lineRule="auto"/>
        <w:tabs>
          <w:tab w:leader="none" w:pos="129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Deferral Period. </w:t>
      </w:r>
      <w:r>
        <w:rPr>
          <w:rFonts w:ascii="Times New Roman" w:cs="Times New Roman" w:eastAsia="Times New Roman" w:hAnsi="Times New Roman"/>
          <w:sz w:val="22"/>
          <w:szCs w:val="22"/>
          <w:color w:val="auto"/>
        </w:rPr>
        <w:t>For each Specified Year Account, an Eligible Employee or Participant may elect a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Deferral Year that is no earlier than the calendar year immediately following the Minimum Deferral Period and no later than the calendar year immediately following the Maximum Deferral Period. Failure to specify a Specific Deferral Year for a Specified Year Account shall result in a deferral for the Minimum Deferral Period with a Specific Deferral Year that is the calendar year immediately following the Minimum Deferral Period. For the Separation from Service Account, the Deferral Period will end on the date of Participant’s Separation from Service.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4.2 - Distribution Election</w:t>
      </w:r>
    </w:p>
    <w:p>
      <w:pPr>
        <w:spacing w:after="0" w:line="233" w:lineRule="exact"/>
        <w:rPr>
          <w:sz w:val="20"/>
          <w:szCs w:val="20"/>
          <w:color w:val="auto"/>
        </w:rPr>
      </w:pPr>
    </w:p>
    <w:p>
      <w:pPr>
        <w:ind w:firstLine="656"/>
        <w:spacing w:after="0" w:line="266" w:lineRule="auto"/>
        <w:tabs>
          <w:tab w:leader="none" w:pos="129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Separation from Service Account. </w:t>
      </w:r>
      <w:r>
        <w:rPr>
          <w:rFonts w:ascii="Times New Roman" w:cs="Times New Roman" w:eastAsia="Times New Roman" w:hAnsi="Times New Roman"/>
          <w:sz w:val="21"/>
          <w:szCs w:val="21"/>
          <w:color w:val="auto"/>
        </w:rPr>
        <w:t>At the first to occur of (i) the first Elective Compensation Deferral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4.1 to the Participant’s Separation from Service Account, or (ii) within 30 days of notification of participation for Company Retirement Contributions and/or Company Matching Contribution under Section 3.2, respectively, the Participant must, on or before the election deadline established by the Committee, specify in the Election Form a distribution election to have the Participant’s Separation from Service Account distributed in a lump sum or in two (2) to fifteen (15) annual installments.</w:t>
      </w:r>
    </w:p>
    <w:p>
      <w:pPr>
        <w:spacing w:after="0" w:line="173" w:lineRule="exact"/>
        <w:rPr>
          <w:rFonts w:ascii="Times New Roman" w:cs="Times New Roman" w:eastAsia="Times New Roman" w:hAnsi="Times New Roman"/>
          <w:sz w:val="21"/>
          <w:szCs w:val="21"/>
          <w:color w:val="auto"/>
        </w:rPr>
      </w:pPr>
    </w:p>
    <w:p>
      <w:pPr>
        <w:ind w:right="60" w:firstLine="656"/>
        <w:spacing w:after="0" w:line="253"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Specified Year Accounts. </w:t>
      </w:r>
      <w:r>
        <w:rPr>
          <w:rFonts w:ascii="Times New Roman" w:cs="Times New Roman" w:eastAsia="Times New Roman" w:hAnsi="Times New Roman"/>
          <w:sz w:val="22"/>
          <w:szCs w:val="22"/>
          <w:color w:val="auto"/>
        </w:rPr>
        <w:t>At the time the Participant makes an Elective Compensation Deferral to a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Account under Section 4.1, the Participant must, on or before the election deadline established by the Committee, specify in the Election Form a distribution election to have the Participant’s Specified Year Account distributed in a lump sum or in two (2) to fifteen (15) annual installments.</w:t>
      </w:r>
    </w:p>
    <w:p>
      <w:pPr>
        <w:spacing w:after="0" w:line="175" w:lineRule="exact"/>
        <w:rPr>
          <w:rFonts w:ascii="Times New Roman" w:cs="Times New Roman" w:eastAsia="Times New Roman" w:hAnsi="Times New Roman"/>
          <w:sz w:val="22"/>
          <w:szCs w:val="22"/>
          <w:color w:val="auto"/>
        </w:rPr>
      </w:pPr>
    </w:p>
    <w:p>
      <w:pPr>
        <w:ind w:right="40" w:firstLine="656"/>
        <w:spacing w:after="0" w:line="258"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Default Form of Distribution. </w:t>
      </w:r>
      <w:r>
        <w:rPr>
          <w:rFonts w:ascii="Times New Roman" w:cs="Times New Roman" w:eastAsia="Times New Roman" w:hAnsi="Times New Roman"/>
          <w:sz w:val="22"/>
          <w:szCs w:val="22"/>
          <w:color w:val="auto"/>
        </w:rPr>
        <w:t>To the extent no distribution election is made with respect to a Participant’s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as provided in paragraphs (a) or (b) of this Section 4.2, the default form of distribution will be ten (10) annual installments. Except as provided below in Section 4.6 (Change in Distribution Election), the choices reflected on the Participant’s Election Form shall be irrevocable on the election deadline.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4.3 - Timing of Elective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64" w:name="page65"/>
    <w:bookmarkEnd w:id="64"/>
    <w:p>
      <w:pPr>
        <w:ind w:right="280" w:firstLine="648"/>
        <w:spacing w:after="0" w:line="295" w:lineRule="auto"/>
        <w:rPr>
          <w:sz w:val="20"/>
          <w:szCs w:val="20"/>
          <w:color w:val="auto"/>
        </w:rPr>
      </w:pPr>
      <w:r>
        <w:rPr>
          <w:rFonts w:ascii="Times New Roman" w:cs="Times New Roman" w:eastAsia="Times New Roman" w:hAnsi="Times New Roman"/>
          <w:sz w:val="21"/>
          <w:szCs w:val="21"/>
          <w:color w:val="auto"/>
        </w:rPr>
        <w:t>Allocation of Elective Contribution Deferrals by the Corporation to a Participant’s Separation from Service Account or any Specified Year Account, as applicable, shall be made no less frequently than annually with respect to each Plan Year.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4.4 - Vesting</w:t>
      </w:r>
    </w:p>
    <w:p>
      <w:pPr>
        <w:spacing w:after="0" w:line="237"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A Participant shall be one hundred (100) percent vested in his or her Elective Compensation Deferrals into the Plan and any associated earnings.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4.5 - Investment Fund Allocations</w:t>
      </w:r>
    </w:p>
    <w:p>
      <w:pPr>
        <w:spacing w:after="0" w:line="22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Elective Contribution Deferrals credited to a Participants Separation from Service Account or any Specified Year Accounts, as applicable, shall be allocated to the Default Investment Option, unless the Participant has made alternative investment elections. Participants may change the asset allocation of their existing Separation from Service Account or Specified Year Accounts, or the Investment Funds to which new contributions are allocated, as permitted by the Committee.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4.6 - Change in Distribution Election</w:t>
      </w:r>
    </w:p>
    <w:p>
      <w:pPr>
        <w:spacing w:after="0" w:line="22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A Participant may make an irrevocable election to change the time or form of distribution, either by changing the number of installments (including changing to or from a lump sum), the commencement date, or both, for his or her Separation from Service Account or any of his or her Specified Year Accounts. A change to the time or form of distribution must meet all of the following requirements:</w:t>
      </w:r>
    </w:p>
    <w:p>
      <w:pPr>
        <w:spacing w:after="0" w:line="176" w:lineRule="exact"/>
        <w:rPr>
          <w:sz w:val="20"/>
          <w:szCs w:val="20"/>
          <w:color w:val="auto"/>
        </w:rPr>
      </w:pPr>
    </w:p>
    <w:p>
      <w:pPr>
        <w:ind w:firstLine="656"/>
        <w:spacing w:after="0" w:line="257"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election must be made at least twelve (12) months prior to the date on which distributions will commence under the current election (and the new election shall be ineffective if the Participant incurs a Separation from Service within twelve (12) months after the date of the new election);</w:t>
      </w:r>
    </w:p>
    <w:p>
      <w:pPr>
        <w:spacing w:after="0" w:line="172" w:lineRule="exact"/>
        <w:rPr>
          <w:rFonts w:ascii="Times New Roman" w:cs="Times New Roman" w:eastAsia="Times New Roman" w:hAnsi="Times New Roman"/>
          <w:sz w:val="22"/>
          <w:szCs w:val="22"/>
          <w:color w:val="auto"/>
        </w:rPr>
      </w:pPr>
    </w:p>
    <w:p>
      <w:pPr>
        <w:ind w:right="480" w:firstLine="656"/>
        <w:spacing w:after="0" w:line="284"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election shall not take effect until at least twelve (12) months after the date when the new election is submitted in a manner acceptable to the Committee; and</w:t>
      </w:r>
    </w:p>
    <w:p>
      <w:pPr>
        <w:spacing w:after="0" w:line="143" w:lineRule="exact"/>
        <w:rPr>
          <w:rFonts w:ascii="Times New Roman" w:cs="Times New Roman" w:eastAsia="Times New Roman" w:hAnsi="Times New Roman"/>
          <w:sz w:val="22"/>
          <w:szCs w:val="22"/>
          <w:color w:val="auto"/>
        </w:rPr>
      </w:pPr>
    </w:p>
    <w:p>
      <w:pPr>
        <w:ind w:right="100" w:firstLine="656"/>
        <w:spacing w:after="0" w:line="271"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distribution commencement date must be at least five (5) years later than the date on which distributions would commence under the current election.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maximum of three change elections shall be allowed under the Plan.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V - COMPANY CONTRIBUTIONS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5.1 - Company Retirement Contributions</w:t>
      </w:r>
    </w:p>
    <w:p>
      <w:pPr>
        <w:spacing w:after="0" w:line="220" w:lineRule="exact"/>
        <w:rPr>
          <w:sz w:val="20"/>
          <w:szCs w:val="20"/>
          <w:color w:val="auto"/>
        </w:rPr>
      </w:pPr>
    </w:p>
    <w:p>
      <w:pPr>
        <w:jc w:val="both"/>
        <w:ind w:right="140" w:firstLine="656"/>
        <w:spacing w:after="0" w:line="259" w:lineRule="auto"/>
        <w:tabs>
          <w:tab w:leader="none" w:pos="1291"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Eligibility. </w:t>
      </w:r>
      <w:r>
        <w:rPr>
          <w:rFonts w:ascii="Times New Roman" w:cs="Times New Roman" w:eastAsia="Times New Roman" w:hAnsi="Times New Roman"/>
          <w:sz w:val="22"/>
          <w:szCs w:val="22"/>
          <w:color w:val="auto"/>
        </w:rPr>
        <w:t>Each Eligible Employee or Participant who is eligible for a Company Retirement Contribution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the RTX Qualified Savings Plan for a Plan Year shall be eligible for a Company Retirement Contribution under this Plan upon the first to occur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65" w:name="page66"/>
    <w:bookmarkEnd w:id="65"/>
    <w:p>
      <w:pPr>
        <w:ind w:right="180"/>
        <w:spacing w:after="0" w:line="271" w:lineRule="auto"/>
        <w:rPr>
          <w:sz w:val="20"/>
          <w:szCs w:val="20"/>
          <w:color w:val="auto"/>
        </w:rPr>
      </w:pPr>
      <w:r>
        <w:rPr>
          <w:rFonts w:ascii="Times New Roman" w:cs="Times New Roman" w:eastAsia="Times New Roman" w:hAnsi="Times New Roman"/>
          <w:sz w:val="22"/>
          <w:szCs w:val="22"/>
          <w:color w:val="auto"/>
        </w:rPr>
        <w:t>Participant reaching the IRS Contribution Limit or the IRS Compensation Limit under the RTX Qualified Savings Plan for such Plan Year, regardless of whether the Eligible Employee or Participant has elected to contribute to this Plan.</w:t>
      </w:r>
    </w:p>
    <w:p>
      <w:pPr>
        <w:spacing w:after="0" w:line="154" w:lineRule="exact"/>
        <w:rPr>
          <w:sz w:val="20"/>
          <w:szCs w:val="20"/>
          <w:color w:val="auto"/>
        </w:rPr>
      </w:pPr>
    </w:p>
    <w:p>
      <w:pPr>
        <w:ind w:right="240" w:firstLine="656"/>
        <w:spacing w:after="0" w:line="287"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Allocation. </w:t>
      </w:r>
      <w:r>
        <w:rPr>
          <w:rFonts w:ascii="Times New Roman" w:cs="Times New Roman" w:eastAsia="Times New Roman" w:hAnsi="Times New Roman"/>
          <w:sz w:val="22"/>
          <w:szCs w:val="22"/>
          <w:color w:val="auto"/>
        </w:rPr>
        <w:t>Company Retirement Contributions shall be allocated exclusively to a Participant’s Separation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Account.</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Amount. </w:t>
      </w:r>
      <w:r>
        <w:rPr>
          <w:rFonts w:ascii="Times New Roman" w:cs="Times New Roman" w:eastAsia="Times New Roman" w:hAnsi="Times New Roman"/>
          <w:sz w:val="22"/>
          <w:szCs w:val="22"/>
          <w:color w:val="auto"/>
        </w:rPr>
        <w:t>The Company Retirement Contribution made pursuant to this Section 5.1 shall be an amount equal to</w:t>
      </w:r>
    </w:p>
    <w:p>
      <w:pPr>
        <w:spacing w:after="0" w:line="31" w:lineRule="exact"/>
        <w:rPr>
          <w:rFonts w:ascii="Times New Roman" w:cs="Times New Roman" w:eastAsia="Times New Roman" w:hAnsi="Times New Roman"/>
          <w:sz w:val="22"/>
          <w:szCs w:val="22"/>
          <w:color w:val="auto"/>
        </w:rPr>
      </w:pPr>
    </w:p>
    <w:p>
      <w:pPr>
        <w:ind w:right="160" w:firstLine="8"/>
        <w:spacing w:after="0" w:line="249" w:lineRule="auto"/>
        <w:tabs>
          <w:tab w:leader="none" w:pos="30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minus (2) where (1) equals the Company Retirement Contribution that would have been made on behalf of such Participant under the RTX Qualified Savings Plan in the absence of the IRS Contribution Limit or the IRS Compensation Limit for the Plan Year and (2) equals the actual Company Retirement Contribution made on behalf of such Participant under the RTX Qualified Savings Plan for such Plan Year.</w:t>
      </w:r>
    </w:p>
    <w:p>
      <w:pPr>
        <w:spacing w:after="0" w:line="177" w:lineRule="exact"/>
        <w:rPr>
          <w:rFonts w:ascii="Times New Roman" w:cs="Times New Roman" w:eastAsia="Times New Roman" w:hAnsi="Times New Roman"/>
          <w:sz w:val="22"/>
          <w:szCs w:val="22"/>
          <w:color w:val="auto"/>
        </w:rPr>
      </w:pPr>
    </w:p>
    <w:p>
      <w:pPr>
        <w:ind w:right="80" w:firstLine="656"/>
        <w:spacing w:after="0" w:line="251" w:lineRule="auto"/>
        <w:tabs>
          <w:tab w:leader="none" w:pos="129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Duplication. </w:t>
      </w:r>
      <w:r>
        <w:rPr>
          <w:rFonts w:ascii="Times New Roman" w:cs="Times New Roman" w:eastAsia="Times New Roman" w:hAnsi="Times New Roman"/>
          <w:sz w:val="22"/>
          <w:szCs w:val="22"/>
          <w:color w:val="auto"/>
        </w:rPr>
        <w:t>In no event shall a Participant be eligible for Company Retirement Contributions under this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and to the extent that (i) Company Retirement Contributions are made under the RTX Qualified Savings Plan for the same Eligible Earnings or (ii) Company Retirement Contributions under this Plan would otherwise result in a duplication of benefits (e.g., if amounts are credited under this Plan or any other Company deferred compensation plan with respect to the same Eligible Earnings).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5.2 - Company Matching Contribution Eligibility to Account for IRS Compensation Limit</w:t>
      </w:r>
    </w:p>
    <w:p>
      <w:pPr>
        <w:spacing w:after="0" w:line="220" w:lineRule="exact"/>
        <w:rPr>
          <w:sz w:val="20"/>
          <w:szCs w:val="20"/>
          <w:color w:val="auto"/>
        </w:rPr>
      </w:pPr>
    </w:p>
    <w:p>
      <w:pPr>
        <w:ind w:right="200" w:firstLine="656"/>
        <w:spacing w:after="0" w:line="269" w:lineRule="auto"/>
        <w:tabs>
          <w:tab w:leader="none" w:pos="1291"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Eligibility. </w:t>
      </w:r>
      <w:r>
        <w:rPr>
          <w:rFonts w:ascii="Times New Roman" w:cs="Times New Roman" w:eastAsia="Times New Roman" w:hAnsi="Times New Roman"/>
          <w:sz w:val="21"/>
          <w:szCs w:val="21"/>
          <w:color w:val="auto"/>
        </w:rPr>
        <w:t>Each Participant who is eligible for a Company Matching Contribution under the terms of the RTX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Qualified Savings Plan for a Plan Year shall be eligible for a Company Matching Contribution under this Section 5.2 for such Plan Year commencing the next pay period following the pay period in which the IRS Compensation Limit is reached under the RTX Qualified Savings Plan, to the extent that the Participant has made an Elective Compensation Deferral under this Plan for such Plan Year and only with respect to Eligible Earnings in excess of the IRS Compensation Limit.</w:t>
      </w:r>
    </w:p>
    <w:p>
      <w:pPr>
        <w:spacing w:after="0" w:line="158" w:lineRule="exact"/>
        <w:rPr>
          <w:rFonts w:ascii="Times New Roman" w:cs="Times New Roman" w:eastAsia="Times New Roman" w:hAnsi="Times New Roman"/>
          <w:sz w:val="21"/>
          <w:szCs w:val="21"/>
          <w:b w:val="1"/>
          <w:bCs w:val="1"/>
          <w:color w:val="auto"/>
        </w:rPr>
      </w:pPr>
    </w:p>
    <w:p>
      <w:pPr>
        <w:ind w:right="380" w:firstLine="656"/>
        <w:spacing w:after="0" w:line="275" w:lineRule="auto"/>
        <w:tabs>
          <w:tab w:leader="none" w:pos="12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Allocation. </w:t>
      </w:r>
      <w:r>
        <w:rPr>
          <w:rFonts w:ascii="Times New Roman" w:cs="Times New Roman" w:eastAsia="Times New Roman" w:hAnsi="Times New Roman"/>
          <w:sz w:val="22"/>
          <w:szCs w:val="22"/>
          <w:color w:val="auto"/>
        </w:rPr>
        <w:t>Company Matching Contributions shall be allocated exclusively to a Participant’s Separation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Account.</w:t>
      </w:r>
    </w:p>
    <w:p>
      <w:pPr>
        <w:spacing w:after="0" w:line="149" w:lineRule="exact"/>
        <w:rPr>
          <w:rFonts w:ascii="Times New Roman" w:cs="Times New Roman" w:eastAsia="Times New Roman" w:hAnsi="Times New Roman"/>
          <w:sz w:val="22"/>
          <w:szCs w:val="22"/>
          <w:color w:val="auto"/>
        </w:rPr>
      </w:pPr>
    </w:p>
    <w:p>
      <w:pPr>
        <w:ind w:firstLine="656"/>
        <w:spacing w:after="0" w:line="250" w:lineRule="auto"/>
        <w:tabs>
          <w:tab w:leader="none" w:pos="129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Amount. </w:t>
      </w:r>
      <w:r>
        <w:rPr>
          <w:rFonts w:ascii="Times New Roman" w:cs="Times New Roman" w:eastAsia="Times New Roman" w:hAnsi="Times New Roman"/>
          <w:sz w:val="22"/>
          <w:szCs w:val="22"/>
          <w:color w:val="auto"/>
        </w:rPr>
        <w:t>The Company Matching Contribution made pursuant to this Section 5.2 due to the application of the 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Limit shall be an amount equal to a percentage of the Participant’s applicable Elective Compensation Deferral (but only taking into account Eligible Earnings in excess of the IRS Compensation Limit), calculated based upon the Company Matching Contribution formula (as in effect from time to time) applicable to the Participant under the RTX Qualified Savings Plan for such Plan Year, which for the avoidance of doubt, shall be based on the percentage of Eligible Earnings in excess of the IRS Compensation Limit that would have been matched under the RTX Qualified Savings Plan without regard to the IRS Compensation Limit.</w:t>
      </w:r>
    </w:p>
    <w:p>
      <w:pPr>
        <w:spacing w:after="0" w:line="180" w:lineRule="exact"/>
        <w:rPr>
          <w:rFonts w:ascii="Times New Roman" w:cs="Times New Roman" w:eastAsia="Times New Roman" w:hAnsi="Times New Roman"/>
          <w:sz w:val="22"/>
          <w:szCs w:val="22"/>
          <w:color w:val="auto"/>
        </w:rPr>
      </w:pPr>
    </w:p>
    <w:p>
      <w:pPr>
        <w:ind w:right="40" w:firstLine="656"/>
        <w:spacing w:after="0" w:line="287" w:lineRule="auto"/>
        <w:tabs>
          <w:tab w:leader="none" w:pos="12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Duplication. </w:t>
      </w:r>
      <w:r>
        <w:rPr>
          <w:rFonts w:ascii="Times New Roman" w:cs="Times New Roman" w:eastAsia="Times New Roman" w:hAnsi="Times New Roman"/>
          <w:sz w:val="22"/>
          <w:szCs w:val="22"/>
          <w:color w:val="auto"/>
        </w:rPr>
        <w:t>In no event shall a Participant be eligible for Company Matching Contributions under this Plan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the extent that (i) Company Matching Contributions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66" w:name="page67"/>
    <w:bookmarkEnd w:id="66"/>
    <w:p>
      <w:pPr>
        <w:jc w:val="both"/>
        <w:ind w:right="240"/>
        <w:spacing w:after="0" w:line="257" w:lineRule="auto"/>
        <w:rPr>
          <w:sz w:val="20"/>
          <w:szCs w:val="20"/>
          <w:color w:val="auto"/>
        </w:rPr>
      </w:pPr>
      <w:r>
        <w:rPr>
          <w:rFonts w:ascii="Times New Roman" w:cs="Times New Roman" w:eastAsia="Times New Roman" w:hAnsi="Times New Roman"/>
          <w:sz w:val="22"/>
          <w:szCs w:val="22"/>
          <w:color w:val="auto"/>
        </w:rPr>
        <w:t>under the RTX Qualified Savings Plan for the same Eligible Earnings or (ii) Company Matching Contributions under this Plan would otherwise result in a duplication of benefits (e.g., if amounts are credited under this Plan or any other Company deferred compensation plan with respect to the same Eligible Earnings).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5.3 - Company Matching Contribution to Account for IRS Contribution Limit</w:t>
      </w:r>
    </w:p>
    <w:p>
      <w:pPr>
        <w:spacing w:after="0" w:line="220" w:lineRule="exact"/>
        <w:rPr>
          <w:sz w:val="20"/>
          <w:szCs w:val="20"/>
          <w:color w:val="auto"/>
        </w:rPr>
      </w:pPr>
    </w:p>
    <w:p>
      <w:pPr>
        <w:ind w:right="20" w:firstLine="656"/>
        <w:spacing w:after="0" w:line="250" w:lineRule="auto"/>
        <w:tabs>
          <w:tab w:leader="none" w:pos="1291"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Eligibility. </w:t>
      </w:r>
      <w:r>
        <w:rPr>
          <w:rFonts w:ascii="Times New Roman" w:cs="Times New Roman" w:eastAsia="Times New Roman" w:hAnsi="Times New Roman"/>
          <w:sz w:val="22"/>
          <w:szCs w:val="22"/>
          <w:color w:val="auto"/>
        </w:rPr>
        <w:t>Each Eligible Employee or Participant who is eligible for a Company Matching Contribution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the RTX Qualified Savings Plan for a Plan Year shall be eligible for a Company Matching Contribution under this Section 5.3 commencing the next pay period following the pay period in which the Eligible Employee or Participant exceeds the IRS Contribution Limitation under the RTX Qualified Savings Plan for such Plan Year before reaching the IRS Compensation Limitation under the RTX Qualified Savings Plan for such Plan Year; provided that the Eligible Employee or Participant has made the maximum elective deferrals to the RTX Qualified Savings Plan permitted under Section 402(g) of the Code or the terms of the RTX Qualified Savings Plan for such Plan Year.</w:t>
      </w:r>
    </w:p>
    <w:p>
      <w:pPr>
        <w:spacing w:after="0" w:line="180" w:lineRule="exact"/>
        <w:rPr>
          <w:rFonts w:ascii="Times New Roman" w:cs="Times New Roman" w:eastAsia="Times New Roman" w:hAnsi="Times New Roman"/>
          <w:sz w:val="22"/>
          <w:szCs w:val="22"/>
          <w:b w:val="1"/>
          <w:bCs w:val="1"/>
          <w:color w:val="auto"/>
        </w:rPr>
      </w:pPr>
    </w:p>
    <w:p>
      <w:pPr>
        <w:ind w:right="380" w:firstLine="656"/>
        <w:spacing w:after="0" w:line="275"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Allocation. </w:t>
      </w:r>
      <w:r>
        <w:rPr>
          <w:rFonts w:ascii="Times New Roman" w:cs="Times New Roman" w:eastAsia="Times New Roman" w:hAnsi="Times New Roman"/>
          <w:sz w:val="22"/>
          <w:szCs w:val="22"/>
          <w:color w:val="auto"/>
        </w:rPr>
        <w:t>Company Matching Contributions shall be allocated exclusively to a Participant’s Separation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Account.</w:t>
      </w:r>
    </w:p>
    <w:p>
      <w:pPr>
        <w:spacing w:after="0" w:line="149" w:lineRule="exact"/>
        <w:rPr>
          <w:rFonts w:ascii="Times New Roman" w:cs="Times New Roman" w:eastAsia="Times New Roman" w:hAnsi="Times New Roman"/>
          <w:sz w:val="22"/>
          <w:szCs w:val="22"/>
          <w:color w:val="auto"/>
        </w:rPr>
      </w:pPr>
    </w:p>
    <w:p>
      <w:pPr>
        <w:ind w:firstLine="656"/>
        <w:spacing w:after="0" w:line="250"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Amount. </w:t>
      </w:r>
      <w:r>
        <w:rPr>
          <w:rFonts w:ascii="Times New Roman" w:cs="Times New Roman" w:eastAsia="Times New Roman" w:hAnsi="Times New Roman"/>
          <w:sz w:val="22"/>
          <w:szCs w:val="22"/>
          <w:color w:val="auto"/>
        </w:rPr>
        <w:t>The Company Matching Contribution made pursuant to this Section 5.3 due to the application of the 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Contribution Limit shall be an amount equal to (1) minus (2) where (1) equals the Company Matching Contribution that would have been made on behalf of such Participant under the RTX Qualified Savings Plan in the absence of the IRS Contribution Limit for the Plan Year (but taking into account the IRS Compensation Limit) and (2) equals the actual Company Matching Contribution made on behalf of such Participant under the RTX Qualified Savings Plan for such Plan Year. Such contribution shall be made assuming that the Participant would have continued to contribute at least six percent (6%) of the Participant’s Eligible Earnings (or if the matching formula changes under the RTX Qualified Savings Plan, the minimum amount necessary to receive the maximum match under the RTX Qualified Savings Plan) if the Participant were permitted to do so but for the IRS Contribution Limit.</w:t>
      </w:r>
    </w:p>
    <w:p>
      <w:pPr>
        <w:spacing w:after="0" w:line="179" w:lineRule="exact"/>
        <w:rPr>
          <w:rFonts w:ascii="Times New Roman" w:cs="Times New Roman" w:eastAsia="Times New Roman" w:hAnsi="Times New Roman"/>
          <w:sz w:val="22"/>
          <w:szCs w:val="22"/>
          <w:color w:val="auto"/>
        </w:rPr>
      </w:pPr>
    </w:p>
    <w:p>
      <w:pPr>
        <w:ind w:right="40" w:firstLine="656"/>
        <w:spacing w:after="0" w:line="254"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Duplication. </w:t>
      </w:r>
      <w:r>
        <w:rPr>
          <w:rFonts w:ascii="Times New Roman" w:cs="Times New Roman" w:eastAsia="Times New Roman" w:hAnsi="Times New Roman"/>
          <w:sz w:val="22"/>
          <w:szCs w:val="22"/>
          <w:color w:val="auto"/>
        </w:rPr>
        <w:t>In no event shall a Participant be eligible for Company Matching Contributions under this Plan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the extent that (i) Company Matching Contributions are made under the RTX Qualified Savings Plan for the same Eligible Earnings or (ii) the Company Matching Contributions under this Plan would otherwise result in a duplication of benefits (e.g., if amounts are credited under this Plan or any other Company deferred compensation plan with respect to the same Eligible Earnings).</w:t>
      </w:r>
    </w:p>
    <w:p>
      <w:pPr>
        <w:spacing w:after="0" w:line="173"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Section 5.4 - Company Retirement Contributions and Company Matching Contributions consisting of Benefit Reduction Contributions</w:t>
      </w:r>
    </w:p>
    <w:p>
      <w:pPr>
        <w:spacing w:after="0" w:line="149" w:lineRule="exact"/>
        <w:rPr>
          <w:sz w:val="20"/>
          <w:szCs w:val="20"/>
          <w:color w:val="auto"/>
        </w:rPr>
      </w:pPr>
    </w:p>
    <w:p>
      <w:pPr>
        <w:ind w:right="20" w:firstLine="656"/>
        <w:spacing w:after="0" w:line="287" w:lineRule="auto"/>
        <w:tabs>
          <w:tab w:leader="none" w:pos="129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Eligibility. </w:t>
      </w:r>
      <w:r>
        <w:rPr>
          <w:rFonts w:ascii="Times New Roman" w:cs="Times New Roman" w:eastAsia="Times New Roman" w:hAnsi="Times New Roman"/>
          <w:sz w:val="22"/>
          <w:szCs w:val="22"/>
          <w:color w:val="auto"/>
        </w:rPr>
        <w:t>To the extent that a Participant made Elective Compensation Deferrals for a Plan Year, such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receive a Benefit Reduction Contribution for such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67" w:name="page68"/>
    <w:bookmarkEnd w:id="67"/>
    <w:p>
      <w:pPr>
        <w:ind w:right="500" w:firstLine="656"/>
        <w:spacing w:after="0" w:line="275"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Allocation. </w:t>
      </w:r>
      <w:r>
        <w:rPr>
          <w:rFonts w:ascii="Times New Roman" w:cs="Times New Roman" w:eastAsia="Times New Roman" w:hAnsi="Times New Roman"/>
          <w:sz w:val="22"/>
          <w:szCs w:val="22"/>
          <w:color w:val="auto"/>
        </w:rPr>
        <w:t>Benefit Reduction Contributions shall be allocated exclusively to a Participant’s Separation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Account.</w:t>
      </w:r>
    </w:p>
    <w:p>
      <w:pPr>
        <w:spacing w:after="0" w:line="149" w:lineRule="exact"/>
        <w:rPr>
          <w:rFonts w:ascii="Times New Roman" w:cs="Times New Roman" w:eastAsia="Times New Roman" w:hAnsi="Times New Roman"/>
          <w:sz w:val="22"/>
          <w:szCs w:val="22"/>
          <w:color w:val="auto"/>
        </w:rPr>
      </w:pPr>
    </w:p>
    <w:p>
      <w:pPr>
        <w:ind w:right="80" w:firstLine="656"/>
        <w:spacing w:after="0" w:line="252" w:lineRule="auto"/>
        <w:tabs>
          <w:tab w:leader="none" w:pos="12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Amount. </w:t>
      </w:r>
      <w:r>
        <w:rPr>
          <w:rFonts w:ascii="Times New Roman" w:cs="Times New Roman" w:eastAsia="Times New Roman" w:hAnsi="Times New Roman"/>
          <w:sz w:val="22"/>
          <w:szCs w:val="22"/>
          <w:color w:val="auto"/>
        </w:rPr>
        <w:t>The Benefit Reduction Contribution for a Plan Year shall be an amount equal to the reduction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Matching Contribution and/or the Company Retirement Contribution for such Participant for such Plan Year under the RTX Qualified Savings Plan as a result of the reduction of such Participant’s Eligible Earnings under the RTX Qualified Savings Plan due to the Elective Compensation Deferral by the Participant under this Plan for such Plan Year; provided that for purposes of calculating the Benefit Reduction Contributions, the Company Matching Contribution shall be made only with respect to Elective Compensation Deferrals not matched under Section 5.2.</w:t>
      </w:r>
    </w:p>
    <w:p>
      <w:pPr>
        <w:spacing w:after="0" w:line="188" w:lineRule="exact"/>
        <w:rPr>
          <w:rFonts w:ascii="Times New Roman" w:cs="Times New Roman" w:eastAsia="Times New Roman" w:hAnsi="Times New Roman"/>
          <w:sz w:val="22"/>
          <w:szCs w:val="22"/>
          <w:color w:val="auto"/>
        </w:rPr>
      </w:pPr>
    </w:p>
    <w:p>
      <w:pPr>
        <w:ind w:right="100" w:firstLine="656"/>
        <w:spacing w:after="0" w:line="251"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Duplication. </w:t>
      </w:r>
      <w:r>
        <w:rPr>
          <w:rFonts w:ascii="Times New Roman" w:cs="Times New Roman" w:eastAsia="Times New Roman" w:hAnsi="Times New Roman"/>
          <w:sz w:val="22"/>
          <w:szCs w:val="22"/>
          <w:color w:val="auto"/>
        </w:rPr>
        <w:t>In no event shall a Participant be eligible for a Benefit Reduction Contribution under this Plan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the extent that (i) Company Matching Contributions and Company Retirement Contributions are made under the RTX Qualified Savings Plan for the same Eligible Earnings or (ii) such Benefit Reduction Contribution would otherwise result in a duplication of benefits (e.g., if amounts are credited under this Plan or any other Company deferred compensation plan with respect to the same Eligible Earnings).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5.5 - Timing of Company Contributions</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Allocation of Company Contributions to a Participant’s Separation from Service Account shall be made no less frequently than annually with respect to each Plan Year.</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5.6 - Discretionary Contributions</w:t>
      </w:r>
    </w:p>
    <w:p>
      <w:pPr>
        <w:spacing w:after="0" w:line="22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The Corporation may in its sole discretion credit additional amounts to a Participant’s Separation from Service Account, may specify vesting requirements applicable to such additional amounts, and need not treat Participants uniformly.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5.7 - Investment of Contributions</w:t>
      </w:r>
    </w:p>
    <w:p>
      <w:pPr>
        <w:spacing w:after="0" w:line="22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Company Contributions under Sections 5.1, 5.2, 5.3, 5.4, and 5.6 credited to a Participant’s Separation from Service Account will be allocated to the Default Investment Option, unless the Participant has made alternative investment elections. Participants may change the asset allocation of their Separation from Service Account balance, or the Investment Funds to which new contributions are allocated, as permitted by the Committee.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5.8 - Vesting of Company Contributions</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A Participant shall be vested in the value of Company Contributions (other than Discretionary Contributions) credited to his or her Plan Account under this Article V, upon the first to occur of the following: (a) completion of two (2) years of “Continuous Service” (as defined in the RTX Qualified Savings Plan); (b) attainment of age sixty-five (65) while employed by an RTX Company; (c) voluntary Separation from Service on or after attainment of age fifty-five (55); (d) the death or Disability of the Participant while employed by an RTX Company; (e) involuntary not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18" w:right="359" w:bottom="1440" w:gutter="0" w:footer="0" w:header="0"/>
        </w:sectPr>
      </w:pPr>
    </w:p>
    <w:bookmarkStart w:id="68" w:name="page69"/>
    <w:bookmarkEnd w:id="68"/>
    <w:p>
      <w:pPr>
        <w:ind w:right="340"/>
        <w:spacing w:after="0" w:line="257" w:lineRule="auto"/>
        <w:rPr>
          <w:sz w:val="20"/>
          <w:szCs w:val="20"/>
          <w:color w:val="auto"/>
        </w:rPr>
      </w:pPr>
      <w:r>
        <w:rPr>
          <w:rFonts w:ascii="Times New Roman" w:cs="Times New Roman" w:eastAsia="Times New Roman" w:hAnsi="Times New Roman"/>
          <w:sz w:val="22"/>
          <w:szCs w:val="22"/>
          <w:color w:val="auto"/>
        </w:rPr>
        <w:t>Cause Separation from Service; or (f) the Participant’s entrance into United States military service before completing two (2) years of “Continuous Service.” For the avoidance of doubt, where a Participant is terminated for Cause, the Participant’s Company Contributions shall forfeit.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21"/>
          <w:szCs w:val="21"/>
          <w:b w:val="1"/>
          <w:bCs w:val="1"/>
          <w:u w:val="single" w:color="auto"/>
          <w:color w:val="auto"/>
        </w:rPr>
        <w:t>ARTICLE VI - PLAN ACCOUNTS</w:t>
      </w:r>
    </w:p>
    <w:p>
      <w:pPr>
        <w:spacing w:after="0" w:line="231" w:lineRule="exact"/>
        <w:rPr>
          <w:sz w:val="20"/>
          <w:szCs w:val="20"/>
          <w:color w:val="auto"/>
        </w:rPr>
      </w:pPr>
    </w:p>
    <w:p>
      <w:pPr>
        <w:jc w:val="center"/>
        <w:ind w:right="7820"/>
        <w:spacing w:after="0"/>
        <w:rPr>
          <w:sz w:val="20"/>
          <w:szCs w:val="20"/>
          <w:color w:val="auto"/>
        </w:rPr>
      </w:pPr>
      <w:r>
        <w:rPr>
          <w:rFonts w:ascii="Times New Roman" w:cs="Times New Roman" w:eastAsia="Times New Roman" w:hAnsi="Times New Roman"/>
          <w:sz w:val="22"/>
          <w:szCs w:val="22"/>
          <w:b w:val="1"/>
          <w:bCs w:val="1"/>
          <w:color w:val="auto"/>
        </w:rPr>
        <w:t>Section 6.1 - Accounts</w:t>
      </w:r>
    </w:p>
    <w:p>
      <w:pPr>
        <w:spacing w:after="0" w:line="224"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A Plan Account will be established for each Participant. Elective Compensation Deferrals and Company Contributions made under the Plan shall be allocated or reallocated among Investment Funds in accordance with the Plan terms and each Participant’s instructions in the manner set forth in Section 4.5 and Section 5.7.</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6.2 - Valuation of Investment Funds</w:t>
      </w:r>
    </w:p>
    <w:p>
      <w:pPr>
        <w:spacing w:after="0" w:line="224" w:lineRule="exact"/>
        <w:rPr>
          <w:sz w:val="20"/>
          <w:szCs w:val="20"/>
          <w:color w:val="auto"/>
        </w:rPr>
      </w:pPr>
    </w:p>
    <w:p>
      <w:pPr>
        <w:ind w:right="380" w:firstLine="648"/>
        <w:spacing w:after="0" w:line="252" w:lineRule="auto"/>
        <w:rPr>
          <w:sz w:val="20"/>
          <w:szCs w:val="20"/>
          <w:color w:val="auto"/>
        </w:rPr>
      </w:pPr>
      <w:r>
        <w:rPr>
          <w:rFonts w:ascii="Times New Roman" w:cs="Times New Roman" w:eastAsia="Times New Roman" w:hAnsi="Times New Roman"/>
          <w:sz w:val="22"/>
          <w:szCs w:val="22"/>
          <w:color w:val="auto"/>
        </w:rPr>
        <w:t>Elective Compensation Deferrals and Company Contributions allocated to Investment Funds will be converted to the applicable Investment Fund units based on the closing share price of that Investment Fund as of the date the contribution is credited to the applicable Investment Fund. The value of the units of an Investment Fund will fluctuate on each business day based on the performance of the applicable Investment Fund.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6.3 - Reports to Participants</w:t>
      </w:r>
    </w:p>
    <w:p>
      <w:pPr>
        <w:spacing w:after="0" w:line="23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The Committee will make available detailed information to Participants regarding the credited value of Plan Accounts, distribution elections, Beneficiary designations, and Investment Fund allocations. Such information may be provided via electronic media as determined by the Committee. No RTX Company, no director, officer or employee of an RTX Company, and no entity retained by an RTX Company to provide Plan services, shall have any liability to any Participant or Beneficiary for any failure or delay in providing such information, or for the results of any error (including the failure to implement any Investment Fund allocation) disclosed in such information.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 - VALUATION &amp; DISTRIBUTION OF PLAN ACCOUNTS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7.1 - Timing of Plan Distributions</w:t>
      </w:r>
    </w:p>
    <w:p>
      <w:pPr>
        <w:spacing w:after="0" w:line="224"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21"/>
          <w:szCs w:val="21"/>
          <w:color w:val="auto"/>
        </w:rPr>
        <w:t>Except as provided in Section 4.6 (Change in Distribution Election), Section 7.4 (Separation from Service of Specified Employees), Section 7.5 (Death), and Section 7.6 (Accelerated Distribution in the Case of an Unforeseeable Emergency), the value of a Participant’s Plan Account will be distributed (or begin to be distributed) to the Participant in (a) April of the calendar year immediately following the calendar year of the Participant’s Separation from Service,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60"/>
          </w:cols>
          <w:pgMar w:left="320" w:top="1422" w:right="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a Separation from Service Account or (b) April of the Specific Deferral Year, with respect to a Specified Year Account.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7.2 - Method of Distribution</w:t>
      </w:r>
    </w:p>
    <w:p>
      <w:pPr>
        <w:spacing w:after="0" w:line="224"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Except as provided in Section 7.5 (Death) and Section 7.6 (Accelerated Distribution in the Case of an Unforeseeable Emergency), a Participant’s accounts under a Plan Account will be distributed to the Participant in a series of annual installment distributions, or in a single lump-sum distribution, in accordance with the Participant’s elections on file. For purposes of determining the amount to be distributed, except as otherwise expressly provided in this Plan or as otherwise determined by the Committee from time to time, the value of the Participant’s Plan Account shall be determined as of the 25th day of the month preceding the month in which the applicable distribution occurs.</w:t>
      </w:r>
    </w:p>
    <w:p>
      <w:pPr>
        <w:spacing w:after="0" w:line="19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Annual installment distributions shall be payable to the Participant beginning on the distribution commencement date and continuing as of each anniversary of the distribution commencement date thereafter until all installments have been distributed. To determine the amount of each installment, the value of the Participant’s Plan Account will be multiplied by a fraction, the numerator of which is one and the denominator of which is the remaining number of scheduled installments. By way of illustration, if a Participant elects ten (10) annual installments, the amount of the first installment will be determined using one tenth (1/10th) of the Plan Account balance as of the valuation date, and the second distribution will be determined using one ninth (1/9th) of the Plan Account balance as of the valuation date and so on, until all installments have been distributed.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7.3 - Form of Distribution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Plan Account distributions will be made in cash.</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7.4 - Separation from Service of Specified Employees</w:t>
      </w:r>
    </w:p>
    <w:p>
      <w:pPr>
        <w:spacing w:after="0" w:line="22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Distributions to a Participant, who is a Specified Employee at the time of Separation from Service, on account of such Separation from Service, will not be made or commence earlier than the first day of the seventh month following the date of Separation from Service. A Plan Account shall continue to accrue hypothetical investment gains and losses as provided in Article VI. For purposes of determining the amount to be distributed, the value of the Participant’s Plan Account will be determined as of the 25th day of the month (or as otherwise determined by the Committee from time to time) preceding the month in which the distribution occurs. Distribution shall be made in the first pay cycle on or after the first day of the seventh month following the Separation from Service. In the case of a distribution in installments, the date of subsequent installments shall not be affected by the delay of any installment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7.5 - Death</w:t>
      </w:r>
    </w:p>
    <w:p>
      <w:pPr>
        <w:spacing w:after="0" w:line="220" w:lineRule="exact"/>
        <w:rPr>
          <w:sz w:val="20"/>
          <w:szCs w:val="20"/>
          <w:color w:val="auto"/>
        </w:rPr>
      </w:pPr>
    </w:p>
    <w:p>
      <w:pPr>
        <w:ind w:right="560" w:firstLine="656"/>
        <w:spacing w:after="0" w:line="259"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Benefit. </w:t>
      </w:r>
      <w:r>
        <w:rPr>
          <w:rFonts w:ascii="Times New Roman" w:cs="Times New Roman" w:eastAsia="Times New Roman" w:hAnsi="Times New Roman"/>
          <w:sz w:val="22"/>
          <w:szCs w:val="22"/>
          <w:color w:val="auto"/>
        </w:rPr>
        <w:t>In the event of the death of a Participant before the Participant’s Plan Account has been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distributed, the full remaining value of the Participant’s Plan Account will be distributed to the designated Beneficiary (if applicable), or the Participant’s estate, in a lump sum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70" w:name="page71"/>
    <w:bookmarkEnd w:id="70"/>
    <w:p>
      <w:pPr>
        <w:ind w:right="260"/>
        <w:spacing w:after="0" w:line="271" w:lineRule="auto"/>
        <w:rPr>
          <w:sz w:val="20"/>
          <w:szCs w:val="20"/>
          <w:color w:val="auto"/>
        </w:rPr>
      </w:pPr>
      <w:r>
        <w:rPr>
          <w:rFonts w:ascii="Times New Roman" w:cs="Times New Roman" w:eastAsia="Times New Roman" w:hAnsi="Times New Roman"/>
          <w:sz w:val="22"/>
          <w:szCs w:val="22"/>
          <w:color w:val="auto"/>
        </w:rPr>
        <w:t>the first business day of the third month following the Participant’s death. Upon notification of death, pending distribution, the value of the Participant’s Plan Account will be allocated to the Default Investment Option.</w:t>
      </w:r>
    </w:p>
    <w:p>
      <w:pPr>
        <w:spacing w:after="0" w:line="154" w:lineRule="exact"/>
        <w:rPr>
          <w:sz w:val="20"/>
          <w:szCs w:val="20"/>
          <w:color w:val="auto"/>
        </w:rPr>
      </w:pPr>
    </w:p>
    <w:p>
      <w:pPr>
        <w:ind w:right="20" w:firstLine="656"/>
        <w:spacing w:after="0" w:line="249"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Beneficiary. </w:t>
      </w:r>
      <w:r>
        <w:rPr>
          <w:rFonts w:ascii="Times New Roman" w:cs="Times New Roman" w:eastAsia="Times New Roman" w:hAnsi="Times New Roman"/>
          <w:sz w:val="22"/>
          <w:szCs w:val="22"/>
          <w:color w:val="auto"/>
        </w:rPr>
        <w:t>Each Participant shall designate a Beneficiary for his or her Plan Account on an electronic 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provided by the Committee. A Participant may change such designation on an electronic or written form acceptable to the Committee and any change will be effective on the date received by the Committee. Designations received after the date of the Participant’s death shall not be effective. If a Beneficiary designation is not filed with the Committee before the Participant’s death, or if the Beneficiary (and any contingent Beneficiary) does not survive the Participant, the value of the Participant’s Plan Account shall be paid to the Participant’s estate. If a Participant designates the Participant’s spouse as the Participant’s Beneficiary, that designation shall not be revoked or otherwise altered or affected by any (a) change in the marital status of the Participant; (b) agreement between the 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7.5.</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7.6 - Accelerated Distribution in the Case of an Unforeseeable Emergency</w:t>
      </w:r>
    </w:p>
    <w:p>
      <w:pPr>
        <w:spacing w:after="0" w:line="237" w:lineRule="exact"/>
        <w:rPr>
          <w:sz w:val="20"/>
          <w:szCs w:val="20"/>
          <w:color w:val="auto"/>
        </w:rPr>
      </w:pPr>
    </w:p>
    <w:p>
      <w:pPr>
        <w:ind w:firstLine="656"/>
        <w:spacing w:after="0" w:line="248"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upon a Participant’s written application, agree to an accelerated distribution of some or all of the value of a Participant’s Plan Account upon the occurrence of an Unforeseeable Emergency. An “Unforeseeable Emergency” is a severe financial hardship to the Participant resulting from (i) an illness or accident of the Participant, the Participant’s spouse, the Participant’s Beneficiary, or the Participant’s dependent (as defined in IRC Section 152, without regard to Section 152(b)(1), (b)(2), and (d)(1)(B)); (ii) loss of the Participant’s property due to casualty; or (iii) other similar extraordinary and unforeseeable circumstances arising as a result of events beyond the control of the Participant. Whether a Participant is faced with an Unforeseeable Emergency permitting a distribution to be made under the Plan is to be determined by the Committee based on the relevant facts and circumstances of each case. Acceleration will not be granted if (1) the Committee determines that the facts and circumstances do not meet the Plan requirements for an Unforeseeable Emergency, or (2) the emergency is or may be relieved through reimbursement or compensation from insurance or otherwise, or by liquidation of the Participant’s assets (to the extent the liquidation of such assets would not cause severe financial hardship).</w:t>
      </w:r>
    </w:p>
    <w:p>
      <w:pPr>
        <w:spacing w:after="0" w:line="188" w:lineRule="exact"/>
        <w:rPr>
          <w:rFonts w:ascii="Times New Roman" w:cs="Times New Roman" w:eastAsia="Times New Roman" w:hAnsi="Times New Roman"/>
          <w:sz w:val="22"/>
          <w:szCs w:val="22"/>
          <w:color w:val="auto"/>
        </w:rPr>
      </w:pPr>
    </w:p>
    <w:p>
      <w:pPr>
        <w:ind w:right="220" w:firstLine="656"/>
        <w:spacing w:after="0" w:line="252"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on account of an Unforeseeable Emergency shall be limited to the amount reasonably necessary to satisfy the emergency need, as supported by documentation submitted to the Committee. Such amount may include amounts necessary to pay any federal, state, local, or foreign income taxes or penalties reasonably anticipated to result from the distribution.</w:t>
      </w:r>
    </w:p>
    <w:p>
      <w:pPr>
        <w:spacing w:after="0" w:line="179"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The Committee will determine from which Investment Funds hardship distributions will be made. Any Participant who is an officer or director of the Corporation within the meaning of Section 16 of the Securities Exchange Act of 1934 is not eligible for distributions on account of an Unforeseeable Emergency, pursuant to this Section 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20" w:top="1422" w:right="37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2"/>
          <w:szCs w:val="22"/>
          <w:b w:val="1"/>
          <w:bCs w:val="1"/>
          <w:color w:val="auto"/>
        </w:rPr>
        <w:t>Section 7.7 - Disability</w:t>
      </w:r>
    </w:p>
    <w:p>
      <w:pPr>
        <w:spacing w:after="0" w:line="224"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2"/>
          <w:szCs w:val="22"/>
          <w:color w:val="auto"/>
        </w:rPr>
        <w:t>In the event of the Disability of a Participant that qualifies as a “Separation from Service” for purposes of Section 409A, the Participant’s Plan Account will be distributed in accordance with the Participant’s elections on file. The Participant’s Specified Year Accounts that are designated to be deferred to a Specific Deferral Year will be maintained and distributed in accordance with Section 7.1. The Participant’s Separation from Service Account will be distributed as if such Participant had a Separation from Service on the date of the Participant’s Disability.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7.8 - Administrative Adjustments in Distribution Date</w:t>
      </w:r>
    </w:p>
    <w:p>
      <w:pPr>
        <w:spacing w:after="0" w:line="224"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auto"/>
        </w:rPr>
        <w:t>A distribution is treated as being made on the date when it is due under the Plan if the distribution is made on the due date specified by the Plan, or on a later date that is either (a) in the same calendar year (for a distribution whose specified due date is on or before September 30), or (b) by the fifteenth (15th) day of the third (3rd) calendar month following the date specified by the Plan (for a distribution whose specified due date is on or after October 1). A distribution is also treated as being made on the date when it is due under the Plan if the distribution is made not more than thirty (30) days before the due date specified by the Plan. In no event will a distribution to a Specified Employee due to a “Separation from Service” be made or commence earlier than the first business day of the seventh (7th) month following the date of Separation from Service. A Participant may not, directly or indirectly, designate the taxable year of a distribution made in reliance on the administrative rules in this Section 7.8.</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7.9 - Minimum Balance Payout Provision</w:t>
      </w:r>
    </w:p>
    <w:p>
      <w:pPr>
        <w:spacing w:after="0" w:line="224"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If a Participant’s aggregate Plan Account balance under this Plan (and under all other nonqualified deferred compensation plans of the Corporation and its affiliates (determined for this purpose under Treas. Regs. §1.409A-1(g))that are required to be aggregated with this Plan under Section 409A), , is less than the amount set as the limit on elective deferrals under Section 402(g)</w:t>
      </w:r>
    </w:p>
    <w:p>
      <w:pPr>
        <w:spacing w:after="0" w:line="2"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2"/>
          <w:szCs w:val="22"/>
          <w:color w:val="auto"/>
        </w:rPr>
        <w:t>(1)(B) of the Code in effect for the year in which the Participant’s Separation from Service occurs, the Committee retains discretion to distribute the Participant’s entire Plan Account (and the Participant’s entire interest in any other nonqualified deferred compensation plan that is required to be aggregated with this Plan) in a lump sum in the month of April following the year of the Participant’s Separation from Service, even if the Participant has elected to receive a different form of distribution. Any exercise of the Committee’s discretion taken pursuant to this Section 7.9 shall be evidenced in writing, no later than the distribution 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 - AMENDMENT AND TERMINATION OF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8.1 - Amendment</w:t>
      </w:r>
    </w:p>
    <w:p>
      <w:pPr>
        <w:spacing w:after="0" w:line="224"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2"/>
          <w:szCs w:val="22"/>
          <w:color w:val="auto"/>
        </w:rPr>
        <w:t>The Committee may, at any time, amend the Plan in whole or in part, provided that no amendment may directly decrease the value of any Plan Accounts as of the date of such amendment. In the event of any change in law or regulation relating to the Plan or the tax treatment of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72" w:name="page73"/>
    <w:bookmarkEnd w:id="72"/>
    <w:p>
      <w:pPr>
        <w:spacing w:after="0" w:line="253" w:lineRule="auto"/>
        <w:rPr>
          <w:sz w:val="20"/>
          <w:szCs w:val="20"/>
          <w:color w:val="auto"/>
        </w:rPr>
      </w:pPr>
      <w:r>
        <w:rPr>
          <w:rFonts w:ascii="Times New Roman" w:cs="Times New Roman" w:eastAsia="Times New Roman" w:hAnsi="Times New Roman"/>
          <w:sz w:val="22"/>
          <w:szCs w:val="22"/>
          <w:color w:val="auto"/>
        </w:rPr>
        <w:t>Accounts, the Plan shall, without further action by the Committee, be deemed to be amended to comply with any such change in law or regulation effective as of the first date necessary to prevent the taxation, constructive receipt or deemed distribution of Plan Accounts prior to the date Plan Accounts would be distributed under the provisions of Article VII. To the extent any rule or procedure adopted by the Committee is inconsistent with a provision of the Plan that is administrative, technical or ministerial in nature, the Plan shall be deemed amended to the extent of the inconsistency.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8.2 - Plan Suspension and Termination</w:t>
      </w:r>
    </w:p>
    <w:p>
      <w:pPr>
        <w:spacing w:after="0" w:line="224" w:lineRule="exact"/>
        <w:rPr>
          <w:sz w:val="20"/>
          <w:szCs w:val="20"/>
          <w:color w:val="auto"/>
        </w:rPr>
      </w:pPr>
    </w:p>
    <w:p>
      <w:pPr>
        <w:jc w:val="both"/>
        <w:ind w:right="340" w:firstLine="656"/>
        <w:spacing w:after="0" w:line="263"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at any time, suspend or terminate the Plan if, in its sole judgment, the continuance of the Plan, the tax, accounting, or other effects thereof, or potential distributions thereunder would not be in the best interest of the Corporation or for any other reason.</w:t>
      </w:r>
    </w:p>
    <w:p>
      <w:pPr>
        <w:spacing w:after="0" w:line="167" w:lineRule="exact"/>
        <w:rPr>
          <w:rFonts w:ascii="Times New Roman" w:cs="Times New Roman" w:eastAsia="Times New Roman" w:hAnsi="Times New Roman"/>
          <w:sz w:val="22"/>
          <w:szCs w:val="22"/>
          <w:color w:val="auto"/>
        </w:rPr>
      </w:pPr>
    </w:p>
    <w:p>
      <w:pPr>
        <w:jc w:val="both"/>
        <w:ind w:right="60" w:firstLine="656"/>
        <w:spacing w:after="0" w:line="257"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suspension of the Plan, no additional contributions shall be made under the Plan. All previous contributions shall be distributed in accordance with the otherwise applicable provisions of the Plan and the applicable elections on file.</w:t>
      </w:r>
    </w:p>
    <w:p>
      <w:pPr>
        <w:spacing w:after="0" w:line="172" w:lineRule="exact"/>
        <w:rPr>
          <w:rFonts w:ascii="Times New Roman" w:cs="Times New Roman" w:eastAsia="Times New Roman" w:hAnsi="Times New Roman"/>
          <w:sz w:val="22"/>
          <w:szCs w:val="22"/>
          <w:color w:val="auto"/>
        </w:rPr>
      </w:pPr>
    </w:p>
    <w:p>
      <w:pPr>
        <w:ind w:right="20" w:firstLine="656"/>
        <w:spacing w:after="0" w:line="260" w:lineRule="auto"/>
        <w:tabs>
          <w:tab w:leader="none" w:pos="129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termination of the Plan with respect to all Participants, and the termination of all arrangements sponsored by the Corporation or its affiliates that would be aggregated with the Plan under Section 409A, the Corporation shall have the right, in its sole discretion, and notwithstanding any elections made by the Participant, to pay the Participant’s Plan Account in a lump sum, to the extent permitted under Section 409A. All distributions that may be made pursuant to this Section 8.2(c) shall be made no earlier than the thirteenth (13th) month and no later than the twenty-fourth (24th) month after the termination of the Plan. The Corporation may not accelerate distributions pursuant to this Section 8.2(c) if the termination of the Plan is proximate to a downturn in the Corporation’s financial health within the meaning of Treas. Regs. § 1.409A-3(j)(4)(ix)(C)</w:t>
      </w:r>
    </w:p>
    <w:p>
      <w:pPr>
        <w:spacing w:after="0" w:line="3" w:lineRule="exact"/>
        <w:rPr>
          <w:rFonts w:ascii="Times New Roman" w:cs="Times New Roman" w:eastAsia="Times New Roman" w:hAnsi="Times New Roman"/>
          <w:sz w:val="21"/>
          <w:szCs w:val="21"/>
          <w:color w:val="auto"/>
        </w:rPr>
      </w:pPr>
    </w:p>
    <w:p>
      <w:pPr>
        <w:ind w:right="2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If the Corporation exercises its discretion to accelerate distributions under this Section 8.2(c), it shall not adopt any new arrangement that would have been aggregated with the Plan under Section 409A within three (3) years following the date of the Plan’s termination. The Committee may also provide for distribution of Plan Accounts following a termination of the Plan under any other circumstances permitted by Section 409A, including without limitation in connection with the occurrence of a change in control event in accordance with Treas. Regs. § 1.409A-3(j)(4)(ix)(B).</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8.3 - No Consent Required</w:t>
      </w:r>
    </w:p>
    <w:p>
      <w:pPr>
        <w:spacing w:after="0" w:line="210"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The consent of any Participant, Beneficiary, or other person shall not be required with respect to any amendment, suspension, or termination of the Plan.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IX - GENERAL PROVISIONS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9.1 -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40"/>
          </w:cols>
          <w:pgMar w:left="320" w:top="1422" w:right="439" w:bottom="1440" w:gutter="0" w:footer="0" w:header="0"/>
        </w:sectPr>
      </w:pPr>
    </w:p>
    <w:bookmarkStart w:id="73" w:name="page74"/>
    <w:bookmarkEnd w:id="73"/>
    <w:p>
      <w:pPr>
        <w:ind w:firstLine="648"/>
        <w:spacing w:after="0" w:line="257" w:lineRule="auto"/>
        <w:rPr>
          <w:sz w:val="20"/>
          <w:szCs w:val="20"/>
          <w:color w:val="auto"/>
        </w:rPr>
      </w:pPr>
      <w:r>
        <w:rPr>
          <w:rFonts w:ascii="Times New Roman" w:cs="Times New Roman" w:eastAsia="Times New Roman" w:hAnsi="Times New Roman"/>
          <w:sz w:val="22"/>
          <w:szCs w:val="22"/>
          <w:color w:val="auto"/>
        </w:rPr>
        <w:t>The Committee may make any appropriate arrangements to deduct from all deferrals, contributions, vested Plan Accounts and distributions under the Plan any taxes that the Committee reasonably determines to be required by law to be withheld from such credits and distributions.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9.2 - Unsecured General Creditor</w:t>
      </w:r>
    </w:p>
    <w:p>
      <w:pPr>
        <w:spacing w:after="0" w:line="22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The Corporation’s obligations under the Plan constitute an unfunded and unsecured promise to pay money in the future. Participants’ and Beneficiaries’ rights under the Plan are solely those of a general unsecured creditor of the Corporation. No assets will be required to be placed in trust, set aside or otherwise segregated to fund or offset liabilities in respect of the Plan or Participants’ Plan Accounts. The Corporation may, however, at its sole and exclusive option, elect to place in trust, set aside or otherwise segregate assets to fund or offset liabilities in respect of the Plan or Participants’ Plan accounts. Any such assets would be and must remain general assets of the Corporation subject to the claims of its creditors. Neither the Corporation nor this Plan gives a Participant any beneficial ownership interest in any assets of the Corporation.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9.3 - Nonassignability</w:t>
      </w:r>
    </w:p>
    <w:p>
      <w:pPr>
        <w:spacing w:after="0" w:line="224" w:lineRule="exact"/>
        <w:rPr>
          <w:sz w:val="20"/>
          <w:szCs w:val="20"/>
          <w:color w:val="auto"/>
        </w:rPr>
      </w:pPr>
    </w:p>
    <w:p>
      <w:pPr>
        <w:ind w:right="60" w:firstLine="656"/>
        <w:spacing w:after="0" w:line="253" w:lineRule="auto"/>
        <w:tabs>
          <w:tab w:leader="none" w:pos="12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Participant or Beneficiary or any other person shall have the right to sell, assign, transfer, pledge, or otherwise encumber any interest in the Plan. All Plan Accounts and the rights to all distributions are unassignable and non-transferable. Plan Accounts or payments hereunder, prior to actual distribution, will not be subject to attachment or seizure for the payment of any debts, judgments or other obligations. Plan Accounts or any other Plan benefit will not be transferred by operation of law in the event of a Participant’s or any Beneficiary’s bankruptcy or insolvency.</w:t>
      </w:r>
    </w:p>
    <w:p>
      <w:pPr>
        <w:spacing w:after="0" w:line="178" w:lineRule="exact"/>
        <w:rPr>
          <w:rFonts w:ascii="Times New Roman" w:cs="Times New Roman" w:eastAsia="Times New Roman" w:hAnsi="Times New Roman"/>
          <w:sz w:val="22"/>
          <w:szCs w:val="22"/>
          <w:color w:val="auto"/>
        </w:rPr>
      </w:pPr>
    </w:p>
    <w:p>
      <w:pPr>
        <w:ind w:right="20" w:firstLine="656"/>
        <w:spacing w:after="0" w:line="251"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Participant, Beneficiary or other person receives an excess or erroneous distribution under the Plan, the amount of such excess or erroneous distribution shall be held in a constructive trust for the benefit of the Corporation and the Plan and shall be repaid by such person upon demand. The Committee may reduce any other benefit payable to such person or may pursue any remedy available at law or equity to recover the amount of such excess or erroneous distribution or the proceeds thereof. Notwithstanding the foregoing, the amount payable to a Participant or Beneficiary may be offset by any amount owed to any RTX Company to the extent permitted by Section 409A.</w:t>
      </w:r>
    </w:p>
    <w:p>
      <w:pPr>
        <w:spacing w:after="0" w:line="181" w:lineRule="exact"/>
        <w:rPr>
          <w:rFonts w:ascii="Times New Roman" w:cs="Times New Roman" w:eastAsia="Times New Roman" w:hAnsi="Times New Roman"/>
          <w:sz w:val="22"/>
          <w:szCs w:val="22"/>
          <w:color w:val="auto"/>
        </w:rPr>
      </w:pPr>
    </w:p>
    <w:p>
      <w:pPr>
        <w:ind w:right="40" w:firstLine="656"/>
        <w:spacing w:after="0" w:line="253" w:lineRule="auto"/>
        <w:tabs>
          <w:tab w:leader="none" w:pos="12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comply with the terms of any valid domestic relations order submitted to the Committee. Any payment of a Participant’s Plan Account to a party other than the Participant pursuant to the terms of a domestic relations order shall be charged against and reduce the Participant’s Plan Account. Neither the Plan, the Corporation, the Committee, nor any other party shall be liable in any manner to any person, including but not limited to any Participant or Beneficiary, for complying with the terms of a domestic relations order.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9.4 - No Contract of Employment</w:t>
      </w:r>
    </w:p>
    <w:p>
      <w:pPr>
        <w:spacing w:after="0" w:line="224"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Participation in the Plan shall not be construed to constitute a direct or indirect contract of employment between any RTX Company and any Participant. Participants and Beneficiaries will have no rights against any RTX Company resulting from participation in the Plan other than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20" w:top="1422" w:right="379" w:bottom="1440" w:gutter="0" w:footer="0" w:header="0"/>
        </w:sectPr>
      </w:pPr>
    </w:p>
    <w:bookmarkStart w:id="74" w:name="page75"/>
    <w:bookmarkEnd w:id="74"/>
    <w:p>
      <w:pPr>
        <w:ind w:right="320"/>
        <w:spacing w:after="0" w:line="257" w:lineRule="auto"/>
        <w:rPr>
          <w:sz w:val="20"/>
          <w:szCs w:val="20"/>
          <w:color w:val="auto"/>
        </w:rPr>
      </w:pPr>
      <w:r>
        <w:rPr>
          <w:rFonts w:ascii="Times New Roman" w:cs="Times New Roman" w:eastAsia="Times New Roman" w:hAnsi="Times New Roman"/>
          <w:sz w:val="22"/>
          <w:szCs w:val="22"/>
          <w:color w:val="auto"/>
        </w:rPr>
        <w:t>specifically provided herein. Nothing in the Plan shall be deemed to give a Participant the right to be retained in the service of any RTX Company for any length of time or to interfere with the right of any RTX Company to terminate a Participant’s employment.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9.5 - Governing Law</w:t>
      </w:r>
    </w:p>
    <w:p>
      <w:pPr>
        <w:spacing w:after="0" w:line="22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The provisions of the Plan will be construed and interpreted according to the laws of the State of Delaware, to the extent not preempted by federal law.</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9.6 - Validity</w:t>
      </w:r>
    </w:p>
    <w:p>
      <w:pPr>
        <w:spacing w:after="0" w:line="224"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22"/>
          <w:szCs w:val="22"/>
          <w:color w:val="auto"/>
        </w:rPr>
        <w:t>If any provision of the Plan is held to be illegal or invalid for any reason, the remaining provisions of the Plan will be construed and enforced as if such illegal and invalid provision had never been inserted herein.</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9.7 - Notice</w:t>
      </w:r>
    </w:p>
    <w:p>
      <w:pPr>
        <w:spacing w:after="0" w:line="22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Any notice or filing required or permitted to be given to the Committee under the Plan shall be sufficient if drafted to the attention of the Deferred Compensation Committee, and sent by first-class mail to RTX Corporation, c/o Vice President, Executive Compensation, 4 Farm Springs Road, Farmington, Connecticut 06032. Any notice or filing required or permitted to be given to any Participant or Beneficiary under the Plan shall be sufficient if provided either electronically, hand-delivered,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9.8 - Successors</w:t>
      </w:r>
    </w:p>
    <w:p>
      <w:pPr>
        <w:spacing w:after="0" w:line="2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9.9 - Incompetence</w:t>
      </w:r>
    </w:p>
    <w:p>
      <w:pPr>
        <w:spacing w:after="0" w:line="21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If the Committee determines, upon evidence satisfactory to the Committee, that any Participant or Beneficiary to whom a benefit is payable under the Plan is unable to care for his or her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 Participant or Beneficiary. Any such distribution from a Participant’s Plan Account shall be a complete discharge of any liability under the Plan with respect to the amount so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22" w:right="35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22"/>
          <w:szCs w:val="22"/>
          <w:b w:val="1"/>
          <w:bCs w:val="1"/>
          <w:color w:val="auto"/>
        </w:rPr>
        <w:t>Section 9.10 - Section 409A Compliance</w:t>
      </w:r>
    </w:p>
    <w:p>
      <w:pPr>
        <w:spacing w:after="0" w:line="21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To the extent that rights or distributions under this Plan are subject to Section 409A, the Plan shall be construed and administered in compliance with the conditions of Section 409A, and regulations and other guidance issued pursuant to Section 409A for deferral of income taxation. Each payment that constitutes “nonqualified deferred compensation” subject to Section 409A of the Code shall be treated as a separate payment for purposes of Section 409A of the Code. Any distribution election that would not comply with Section 409A shall not be effective for purposes of this Plan. To the extent that a provision of this Plan does not comply with Section 409A, such provision shall be void and without effect. The Corporation does not warrant that the Plan will comply with Section 409A with respect to any Participant or with respect to any distribution. In no event shall any RTX Company; any director, officer, or employee of a RTX Company (other than the Participant); or any member of the Committee be liable for any additional tax, interest, or penalty incurred by a Participant or Beneficiary as a result of the Plan’s failure to satisfy the requirements of Section 409A, or as a result of the Plan’s failure to satisfy any other requirements of applicable tax laws.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X - ADMINISTRATION AND CLAIMS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10.1 - Plan Administration</w:t>
      </w:r>
    </w:p>
    <w:p>
      <w:pPr>
        <w:spacing w:after="0" w:line="22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The Committee shall be solely responsible for the administration and operation of the Plan and shall be the “administrator” of the Plan for purposes of ERISA. The Committee shall have full and exclusive authority and discretion to interpret the provisions of the Plan and to establish such administrative procedures as it deems necessary and appropriate to carry out the purposes of the Plan. All decisions and interpretations of the Committee shall be final and binding on all parties.</w:t>
      </w:r>
    </w:p>
    <w:p>
      <w:pPr>
        <w:spacing w:after="0" w:line="176"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Any person claiming a benefit, requesting an interpretation or ruling under the Plan, or requesting information under the Plan shall present the request in writing to the attention of the Deferred Compensation Committee via email to the RTX Total Rewards mailbox at RTXTotalRewards@rtx.com (preferred) or via postal mail to RTX Corporation, c/o Vice President, Executive Compensation, 4 Farm Springs Road, Farmington, CT 06032. The Committee shall respond in writing as soon as practicable.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10.2 - Claim Procedures</w:t>
      </w:r>
    </w:p>
    <w:p>
      <w:pPr>
        <w:spacing w:after="0" w:line="224"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A Participant or Beneficiary who believes that he or she has been denied a benefit to which he or she is entitled under the Plan (referred to in this Section 10.2 as a “Claimant”) may file a written request with the Committee setting forth the claim. The Committee shall consider and resolve the claim as set forth below. In making a claim for benefits, a Participant must fully and finally exhaust the administrative claim and appeal procedures set out in this Section 10.2; failure to do so will cause the denial of benefits to be final and binding and preclude the Participant from filing suit in a court of law with respect to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1" w:right="339" w:bottom="1440" w:gutter="0" w:footer="0" w:header="0"/>
        </w:sectPr>
      </w:pPr>
    </w:p>
    <w:bookmarkStart w:id="76" w:name="page77"/>
    <w:bookmarkEnd w:id="76"/>
    <w:p>
      <w:pPr>
        <w:ind w:left="-60" w:right="240" w:firstLine="656"/>
        <w:spacing w:after="0" w:line="256" w:lineRule="auto"/>
        <w:tabs>
          <w:tab w:leader="none" w:pos="123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claim, the Committee shall advise the Claimant that a response will be forthcoming within ninety (90) days. The Committee may, however, extend the response period for up to an additional ninety (90) days for reasonable cause, and shall notify the Claimant of the reason for the extension and the expected response date. The Committee shall respond to the claim within the specified period.</w:t>
      </w:r>
    </w:p>
    <w:p>
      <w:pPr>
        <w:spacing w:after="0" w:line="176" w:lineRule="exact"/>
        <w:rPr>
          <w:rFonts w:ascii="Times New Roman" w:cs="Times New Roman" w:eastAsia="Times New Roman" w:hAnsi="Times New Roman"/>
          <w:sz w:val="22"/>
          <w:szCs w:val="22"/>
          <w:color w:val="auto"/>
        </w:rPr>
      </w:pPr>
    </w:p>
    <w:p>
      <w:pPr>
        <w:ind w:left="-60" w:firstLine="656"/>
        <w:spacing w:after="0" w:line="250" w:lineRule="auto"/>
        <w:tabs>
          <w:tab w:leader="none" w:pos="123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claim is denied in whole or in part, the Committee shall provide the Claimant with a written decision, using language calculated to be understood by the Claimant, setting forth (i) the specific reason or reasons for such denial; (ii) the specific reference to relevant provisions of this Plan on which such denial is based; (iii) a description of any additional material or information necessary for the Claimant to perfect his or her claim and an explanation why such material or such information is necessary; (iv) appropriate information as to the steps to be taken if the Claimant wishes to submit the claim for review; (v) the time limits for requesting a review of the claim; and (vi) the Claimant’s right to bring an action for benefits under Section 502(a) of ERISA.</w:t>
      </w:r>
    </w:p>
    <w:p>
      <w:pPr>
        <w:spacing w:after="0" w:line="180" w:lineRule="exact"/>
        <w:rPr>
          <w:rFonts w:ascii="Times New Roman" w:cs="Times New Roman" w:eastAsia="Times New Roman" w:hAnsi="Times New Roman"/>
          <w:sz w:val="22"/>
          <w:szCs w:val="22"/>
          <w:color w:val="auto"/>
        </w:rPr>
      </w:pPr>
    </w:p>
    <w:p>
      <w:pPr>
        <w:ind w:left="-60" w:right="40" w:firstLine="656"/>
        <w:spacing w:after="0" w:line="253" w:lineRule="auto"/>
        <w:tabs>
          <w:tab w:leader="none" w:pos="123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days after the Claimant’s receipt of the written decision denying the claim in whole or in part, the Claimant may request in writing that the Committee review the determination. The Claimant or his or her duly authorized representative may, but need not, review the relevant documents and submit issues and comments in writing for consideration by the Committee. If the Claimant does not request a review of the initial determination within such sixty (60)-day period, the Claimant shall be barred from challenging the determination.</w:t>
      </w:r>
    </w:p>
    <w:p>
      <w:pPr>
        <w:spacing w:after="0" w:line="178" w:lineRule="exact"/>
        <w:rPr>
          <w:rFonts w:ascii="Times New Roman" w:cs="Times New Roman" w:eastAsia="Times New Roman" w:hAnsi="Times New Roman"/>
          <w:sz w:val="22"/>
          <w:szCs w:val="22"/>
          <w:color w:val="auto"/>
        </w:rPr>
      </w:pPr>
    </w:p>
    <w:p>
      <w:pPr>
        <w:jc w:val="both"/>
        <w:ind w:left="-60" w:firstLine="656"/>
        <w:spacing w:after="0" w:line="275" w:lineRule="auto"/>
        <w:tabs>
          <w:tab w:leader="none" w:pos="123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sixty (60) days after the Committee receives a request for review, it will review the initial determination. If special circumstances require that the sixty (60)-day time period be extended, the Committee will so notify the Claimant and will render the decision as soon as possible, but no later than one hundred twenty (120) days after receipt of the request for review.</w:t>
      </w:r>
    </w:p>
    <w:p>
      <w:pPr>
        <w:spacing w:after="0" w:line="168" w:lineRule="exact"/>
        <w:rPr>
          <w:rFonts w:ascii="Times New Roman" w:cs="Times New Roman" w:eastAsia="Times New Roman" w:hAnsi="Times New Roman"/>
          <w:sz w:val="21"/>
          <w:szCs w:val="21"/>
          <w:color w:val="auto"/>
        </w:rPr>
      </w:pPr>
    </w:p>
    <w:p>
      <w:pPr>
        <w:ind w:left="-60" w:right="100" w:firstLine="656"/>
        <w:spacing w:after="0" w:line="251" w:lineRule="auto"/>
        <w:tabs>
          <w:tab w:leader="none" w:pos="123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on review shall be final and binding with respect to all concerned parties, unless determined to be arbitrary and capricious by a court having jurisdiction. The decision on review shall set forth, in a manner calculated to be understood by the Claimant, (i) the specific reasons for the decision, including references to the relevant Plan provisions upon which the decision is based; (ii) the Claimant’s right to receive, upon request and free of charge, reasonable access to and copies of all documents, records, and other information, relevant to his or her benefits; and (iii) the Claimant’s right to bring an action for benefits under Section 502(a) of ERISA.</w:t>
      </w:r>
    </w:p>
    <w:p>
      <w:pPr>
        <w:spacing w:after="0" w:line="181" w:lineRule="exact"/>
        <w:rPr>
          <w:rFonts w:ascii="Times New Roman" w:cs="Times New Roman" w:eastAsia="Times New Roman" w:hAnsi="Times New Roman"/>
          <w:sz w:val="22"/>
          <w:szCs w:val="22"/>
          <w:color w:val="auto"/>
        </w:rPr>
      </w:pPr>
    </w:p>
    <w:p>
      <w:pPr>
        <w:ind w:left="-60" w:right="80" w:firstLine="656"/>
        <w:spacing w:after="0" w:line="257" w:lineRule="auto"/>
        <w:tabs>
          <w:tab w:leader="none" w:pos="12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Claimant who has exhausted all of the above claim procedures in this Section 10.1 and continues to contest the final determination of the Committee must bring an action for benefits under Section 502(a) of ERISA within one-year of the Committee’s final determination of a denial for benefits under Section 10.1(e).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20"/>
          </w:cols>
          <w:pgMar w:left="380" w:top="1422" w:right="399" w:bottom="1440" w:gutter="0" w:footer="0" w:header="0"/>
        </w:sectPr>
      </w:pPr>
    </w:p>
    <w:bookmarkStart w:id="77" w:name="page78"/>
    <w:bookmarkEnd w:id="77"/>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REGULATORY MATTERS</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The Plan is subject to ERISA. However, because the Plan is an unfunded plan maintained by an employer primarily for the purpose of providing deferred compensation for a select group of management or highly compensated employees, the Plan is exempt from most of ERISA’s requirements. Although the Plan is subject to Part 1 (Reporting and Disclosure) and Part 5 (Administration and Enforcement) of Title I, Subtitle B of ERISA, the Department of Labor has issued a regulation that exempts the Plan from most of ERISA’s reporting and disclosure requirements. A portion of this Plan constitutes an “excess benefit plan” as defined in Section 3(36) of ERISA.</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WHOM SHOULD QUESTIONS CONCERNING THE PLAN BE DIRECTED?</w:t>
      </w:r>
    </w:p>
    <w:p>
      <w:pPr>
        <w:spacing w:after="0" w:line="237" w:lineRule="exact"/>
        <w:rPr>
          <w:sz w:val="20"/>
          <w:szCs w:val="20"/>
          <w:color w:val="auto"/>
        </w:rPr>
      </w:pPr>
    </w:p>
    <w:p>
      <w:pPr>
        <w:ind w:right="4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All questions concerning the operation of the Plan (including information concerning the administrators of the Plan) should be directed to the RTX Total Rewards mailbox to the attention of the Deferred Compensation Committee at </w:t>
      </w:r>
      <w:r>
        <w:rPr>
          <w:rFonts w:ascii="Times New Roman" w:cs="Times New Roman" w:eastAsia="Times New Roman" w:hAnsi="Times New Roman"/>
          <w:sz w:val="22"/>
          <w:szCs w:val="22"/>
          <w:u w:val="single" w:color="auto"/>
          <w:color w:val="0563C1"/>
        </w:rPr>
        <w:t>RTXTotalRewards@rtx.com</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(preferred) or via postal mail to:</w:t>
      </w:r>
    </w:p>
    <w:p>
      <w:pPr>
        <w:spacing w:after="0" w:line="17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RTX Corporation</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4 Farm Springs Road</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Farmington, CT 06032</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Attn: Vice President,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RTX CORPORATION</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Steve Stevenson</w:t>
      </w:r>
    </w:p>
    <w:p>
      <w:pPr>
        <w:spacing w:after="0" w:line="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Steve Stevenson</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Corporate Vice President, Total Rewards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Attest: </w:t>
      </w:r>
      <w:r>
        <w:rPr>
          <w:rFonts w:ascii="Times New Roman" w:cs="Times New Roman" w:eastAsia="Times New Roman" w:hAnsi="Times New Roman"/>
          <w:sz w:val="22"/>
          <w:szCs w:val="22"/>
          <w:u w:val="single" w:color="auto"/>
          <w:color w:val="auto"/>
        </w:rPr>
        <w:t>/s/ Christine L. Hill</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Christine L. Hill</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Vice President &amp; Associate General Counsel,</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Executive &amp; Global Compensation &amp;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120"/>
          </w:cols>
          <w:pgMar w:left="320" w:top="1440" w:right="4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3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October 21, 2025 on our review of interim financial information of RTX Corporation, which appears in this Quarterly Report on Form 10-Q, is incorporated by reference in the Registration Statements on Form S-3 (No. 333-290364) and S-8 (Nos. 333-273420, 333-273414, 333-234085, 333-228649, 333-225839, 333-197704, 333-175781, 333-150643, 333-125293, 333-110020, and 333-100724) of RTX Corporation.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Calio, certify that:</w:t>
      </w:r>
    </w:p>
    <w:p>
      <w:pPr>
        <w:spacing w:after="0" w:line="171"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CALIO</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8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2025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as amended, and information contained in the Form 10-Q fairly presents, in all material respects, the financial condition and results of operations of the Corporation as of and for the periods presented in the Form 10-Q.</w:t>
      </w:r>
    </w:p>
    <w:p>
      <w:pPr>
        <w:sectPr>
          <w:pgSz w:w="11900" w:h="16838" w:orient="portrait"/>
          <w:cols w:equalWidth="0" w:num="1">
            <w:col w:w="11240"/>
          </w:cols>
          <w:pgMar w:left="320" w:top="887" w:right="339" w:bottom="1440" w:gutter="0" w:footer="0" w:header="0"/>
        </w:sectPr>
      </w:pPr>
    </w:p>
    <w:p>
      <w:pPr>
        <w:spacing w:after="0" w:line="36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21,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21,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21, 2025</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Calio</w:t>
      </w:r>
    </w:p>
    <w:p>
      <w:pPr>
        <w:spacing w:after="0" w:line="27"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color w:val="auto"/>
        </w:rPr>
        <w:t>Corporate Vice President and Controller</w:t>
      </w:r>
    </w:p>
    <w:sectPr>
      <w:pgSz w:w="11900" w:h="16838" w:orient="portrait"/>
      <w:cols w:equalWidth="0" w:num="2">
        <w:col w:w="4380" w:space="720"/>
        <w:col w:w="61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amp;"/>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decimal"/>
      <w:start w:val="36"/>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lvl w:ilvl="1">
      <w:lvlJc w:val="left"/>
      <w:lvlText w:val="(%2)"/>
      <w:numFmt w:val="lowerRoman"/>
      <w:start w:val="1"/>
    </w:lvl>
  </w:abstractNum>
  <w:abstractNum w:abstractNumId="26">
    <w:nsid w:val="77465F01"/>
    <w:multiLevelType w:val="hybridMultilevel"/>
    <w:lvl w:ilvl="0">
      <w:lvlJc w:val="left"/>
      <w:lvlText w:val="(%1)"/>
      <w:numFmt w:val="lowerLetter"/>
      <w:start w:val="2"/>
    </w:lvl>
    <w:lvl w:ilvl="1">
      <w:lvlJc w:val="left"/>
      <w:lvlText w:val="(%2)"/>
      <w:numFmt w:val="lowerRoman"/>
      <w:start w:val="1"/>
    </w:lvl>
  </w:abstractNum>
  <w:abstractNum w:abstractNumId="27">
    <w:nsid w:val="7724C67E"/>
    <w:multiLevelType w:val="hybridMultilevel"/>
    <w:lvl w:ilvl="0">
      <w:lvlJc w:val="left"/>
      <w:lvlText w:val="(%1)"/>
      <w:numFmt w:val="lowerLetter"/>
      <w:start w:val="4"/>
    </w:lvl>
  </w:abstractNum>
  <w:abstractNum w:abstractNumId="28">
    <w:nsid w:val="5C482A97"/>
    <w:multiLevelType w:val="hybridMultilevel"/>
    <w:lvl w:ilvl="0">
      <w:lvlJc w:val="left"/>
      <w:lvlText w:val="(%1)"/>
      <w:numFmt w:val="lowerLetter"/>
      <w:start w:val="5"/>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decimal"/>
      <w:start w:val="1"/>
    </w:lvl>
    <w:lvl w:ilvl="1">
      <w:lvlJc w:val="left"/>
      <w:lvlText w:val="(%2)"/>
      <w:numFmt w:val="lowerLetter"/>
      <w:start w:val="2"/>
    </w:lvl>
  </w:abstractNum>
  <w:abstractNum w:abstractNumId="33">
    <w:nsid w:val="580BD78F"/>
    <w:multiLevelType w:val="hybridMultilevel"/>
    <w:lvl w:ilvl="0">
      <w:lvlJc w:val="left"/>
      <w:lvlText w:val="(%1)"/>
      <w:numFmt w:val="decimal"/>
      <w:start w:val="1"/>
    </w:lvl>
    <w:lvl w:ilvl="1">
      <w:lvlJc w:val="left"/>
      <w:lvlText w:val="(%2)"/>
      <w:numFmt w:val="lowerLetter"/>
      <w:start w:val="4"/>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2"/>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2"/>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2025-10-21T16:05:55Z</dcterms:created>
  <dcterms:modified xsi:type="dcterms:W3CDTF">2025-10-21T16:05:55Z</dcterms:modified>
</cp:coreProperties>
</file>