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214630</wp:posOffset>
            </wp:positionH>
            <wp:positionV relativeFrom="page">
              <wp:posOffset>673100</wp:posOffset>
            </wp:positionV>
            <wp:extent cx="711898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1651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 xml:space="preserve">Date of Report (Date of earliest event reported): </w:t>
      </w:r>
      <w:r>
        <w:rPr>
          <w:rFonts w:ascii="Times New Roman" w:cs="Times New Roman" w:eastAsia="Times New Roman" w:hAnsi="Times New Roman"/>
          <w:sz w:val="17"/>
          <w:szCs w:val="17"/>
          <w:color w:val="auto"/>
        </w:rPr>
        <w:t>January 16, 2023</w:t>
      </w:r>
    </w:p>
    <w:p>
      <w:pPr>
        <w:spacing w:after="0" w:line="6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1"/>
          <w:szCs w:val="41"/>
          <w:b w:val="1"/>
          <w:bCs w:val="1"/>
          <w:color w:val="auto"/>
        </w:rPr>
        <w:t>RAYTHEON TECHNOLOGIES CORPORATION</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ectPr>
          <w:pgSz w:w="11900" w:h="16838" w:orient="portrait"/>
          <w:cols w:equalWidth="0" w:num="1">
            <w:col w:w="11180"/>
          </w:cols>
          <w:pgMar w:left="320" w:top="1249" w:right="399" w:bottom="1440" w:gutter="0" w:footer="0" w:header="0"/>
        </w:sectPr>
      </w:pPr>
    </w:p>
    <w:p>
      <w:pPr>
        <w:spacing w:after="0" w:line="4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6"/>
          <w:szCs w:val="16"/>
          <w:b w:val="1"/>
          <w:bCs w:val="1"/>
          <w:color w:val="auto"/>
        </w:rPr>
        <w:t>001-00812</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06-0570975</w:t>
      </w:r>
    </w:p>
    <w:p>
      <w:pPr>
        <w:spacing w:after="0" w:line="24" w:lineRule="exact"/>
        <w:rPr>
          <w:sz w:val="24"/>
          <w:szCs w:val="24"/>
          <w:color w:val="auto"/>
        </w:rPr>
      </w:pPr>
    </w:p>
    <w:p>
      <w:pPr>
        <w:sectPr>
          <w:pgSz w:w="11900" w:h="16838" w:orient="portrait"/>
          <w:cols w:equalWidth="0" w:num="3">
            <w:col w:w="4520" w:space="720"/>
            <w:col w:w="2980" w:space="720"/>
            <w:col w:w="2240"/>
          </w:cols>
          <w:pgMar w:left="320" w:top="1249" w:right="399" w:bottom="1440" w:gutter="0" w:footer="0" w:header="0"/>
          <w:type w:val="continuous"/>
        </w:sectPr>
      </w:pPr>
    </w:p>
    <w:p>
      <w:pPr>
        <w:spacing w:after="0" w:line="2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500" w:space="720"/>
            <w:col w:w="2720" w:space="720"/>
            <w:col w:w="2520"/>
          </w:cols>
          <w:pgMar w:left="320" w:top="1249" w:right="399" w:bottom="1440" w:gutter="0" w:footer="0" w:header="0"/>
          <w:type w:val="continuous"/>
        </w:sectPr>
      </w:pPr>
    </w:p>
    <w:p>
      <w:pPr>
        <w:spacing w:after="0" w:line="85"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1000 Wilson Blvd.,</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t>Arlington,</w:t>
      </w:r>
      <w:r>
        <w:rPr>
          <w:sz w:val="20"/>
          <w:szCs w:val="20"/>
          <w:color w:val="auto"/>
        </w:rPr>
        <w:tab/>
      </w:r>
      <w:r>
        <w:rPr>
          <w:rFonts w:ascii="Times New Roman" w:cs="Times New Roman" w:eastAsia="Times New Roman" w:hAnsi="Times New Roman"/>
          <w:sz w:val="16"/>
          <w:szCs w:val="16"/>
          <w:b w:val="1"/>
          <w:bCs w:val="1"/>
          <w:color w:val="auto"/>
        </w:rPr>
        <w:t>Virginia</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22209</w:t>
      </w:r>
    </w:p>
    <w:p>
      <w:pPr>
        <w:spacing w:after="0" w:line="114" w:lineRule="exact"/>
        <w:rPr>
          <w:sz w:val="24"/>
          <w:szCs w:val="24"/>
          <w:color w:val="auto"/>
        </w:rPr>
      </w:pPr>
    </w:p>
    <w:p>
      <w:pPr>
        <w:sectPr>
          <w:pgSz w:w="11900" w:h="16838" w:orient="portrait"/>
          <w:cols w:equalWidth="0" w:num="3">
            <w:col w:w="4460" w:space="480"/>
            <w:col w:w="1880" w:space="720"/>
            <w:col w:w="3640"/>
          </w:cols>
          <w:pgMar w:left="320" w:top="1249"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3" w:lineRule="exact"/>
        <w:rPr>
          <w:sz w:val="24"/>
          <w:szCs w:val="24"/>
          <w:color w:val="auto"/>
        </w:rPr>
      </w:pPr>
    </w:p>
    <w:p>
      <w:pPr>
        <w:ind w:left="5600" w:hanging="652"/>
        <w:spacing w:after="0"/>
        <w:tabs>
          <w:tab w:leader="none" w:pos="56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522-3000</w:t>
      </w:r>
    </w:p>
    <w:p>
      <w:pPr>
        <w:spacing w:after="0" w:line="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390" w:lineRule="exact"/>
        <w:rPr>
          <w:sz w:val="24"/>
          <w:szCs w:val="24"/>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A.2.below):</w:t>
      </w:r>
    </w:p>
    <w:p>
      <w:pPr>
        <w:spacing w:after="0" w:line="22" w:lineRule="exact"/>
        <w:rPr>
          <w:sz w:val="24"/>
          <w:szCs w:val="24"/>
          <w:color w:val="auto"/>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9" w:lineRule="exact"/>
        <w:rPr>
          <w:rFonts w:ascii="MS PGothic" w:cs="MS PGothic" w:eastAsia="MS PGothic" w:hAnsi="MS PGothic"/>
          <w:sz w:val="18"/>
          <w:szCs w:val="18"/>
          <w:color w:val="auto"/>
          <w:highlight w:val="black"/>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9" w:lineRule="exact"/>
        <w:rPr>
          <w:rFonts w:ascii="MS PGothic" w:cs="MS PGothic" w:eastAsia="MS PGothic" w:hAnsi="MS PGothic"/>
          <w:sz w:val="18"/>
          <w:szCs w:val="18"/>
          <w:color w:val="auto"/>
          <w:highlight w:val="black"/>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9" w:lineRule="exact"/>
        <w:rPr>
          <w:rFonts w:ascii="MS PGothic" w:cs="MS PGothic" w:eastAsia="MS PGothic" w:hAnsi="MS PGothic"/>
          <w:sz w:val="18"/>
          <w:szCs w:val="18"/>
          <w:color w:val="auto"/>
          <w:highlight w:val="black"/>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ind w:right="340" w:firstLine="394"/>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5" w:lineRule="exact"/>
        <w:rPr>
          <w:sz w:val="24"/>
          <w:szCs w:val="24"/>
          <w:color w:val="auto"/>
        </w:rPr>
      </w:pPr>
    </w:p>
    <w:p>
      <w:pPr>
        <w:ind w:firstLine="394"/>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518160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49" w:right="399" w:bottom="1440" w:gutter="0" w:footer="0" w:header="0"/>
          <w:type w:val="continuous"/>
        </w:sectPr>
      </w:pPr>
    </w:p>
    <w:bookmarkStart w:id="1" w:name="page2"/>
    <w:bookmarkEnd w:id="1"/>
    <w:tbl>
      <w:tblPr>
        <w:tblLayout w:type="fixed"/>
        <w:tblInd w:w="40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9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11"/>
        </w:trPr>
        <w:tc>
          <w:tcPr>
            <w:tcW w:w="1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1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1"/>
        </w:trPr>
        <w:tc>
          <w:tcPr>
            <w:tcW w:w="2980" w:type="dxa"/>
            <w:vAlign w:val="bottom"/>
            <w:gridSpan w:val="3"/>
          </w:tcPr>
          <w:p>
            <w:pPr>
              <w:jc w:val="center"/>
              <w:ind w:left="452"/>
              <w:spacing w:after="0"/>
              <w:rPr>
                <w:sz w:val="20"/>
                <w:szCs w:val="20"/>
                <w:color w:val="auto"/>
              </w:rPr>
            </w:pPr>
            <w:r>
              <w:rPr>
                <w:rFonts w:ascii="Times New Roman" w:cs="Times New Roman" w:eastAsia="Times New Roman" w:hAnsi="Times New Roman"/>
                <w:sz w:val="18"/>
                <w:szCs w:val="18"/>
                <w:b w:val="1"/>
                <w:bCs w:val="1"/>
                <w:color w:val="auto"/>
                <w:w w:val="97"/>
              </w:rPr>
              <w:t>Common Stock ($1 par value)</w:t>
            </w:r>
          </w:p>
        </w:tc>
        <w:tc>
          <w:tcPr>
            <w:tcW w:w="1100" w:type="dxa"/>
            <w:vAlign w:val="bottom"/>
          </w:tcPr>
          <w:p>
            <w:pPr>
              <w:spacing w:after="0"/>
              <w:rPr>
                <w:sz w:val="20"/>
                <w:szCs w:val="20"/>
                <w:color w:val="auto"/>
              </w:rPr>
            </w:pP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4"/>
              </w:rPr>
              <w:t>RTX</w:t>
            </w:r>
          </w:p>
        </w:tc>
        <w:tc>
          <w:tcPr>
            <w:tcW w:w="600" w:type="dxa"/>
            <w:vAlign w:val="bottom"/>
          </w:tcPr>
          <w:p>
            <w:pPr>
              <w:spacing w:after="0"/>
              <w:rPr>
                <w:sz w:val="20"/>
                <w:szCs w:val="20"/>
                <w:color w:val="auto"/>
              </w:rPr>
            </w:pPr>
          </w:p>
        </w:tc>
        <w:tc>
          <w:tcPr>
            <w:tcW w:w="426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185"/>
        </w:trPr>
        <w:tc>
          <w:tcPr>
            <w:tcW w:w="1100" w:type="dxa"/>
            <w:vAlign w:val="bottom"/>
          </w:tcPr>
          <w:p>
            <w:pPr>
              <w:spacing w:after="0"/>
              <w:rPr>
                <w:sz w:val="16"/>
                <w:szCs w:val="16"/>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6"/>
        </w:trPr>
        <w:tc>
          <w:tcPr>
            <w:tcW w:w="298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7"/>
              </w:rPr>
              <w:t>2.150% Notes due 2030</w:t>
            </w:r>
          </w:p>
        </w:tc>
        <w:tc>
          <w:tcPr>
            <w:tcW w:w="1100" w:type="dxa"/>
            <w:vAlign w:val="bottom"/>
          </w:tcPr>
          <w:p>
            <w:pPr>
              <w:spacing w:after="0"/>
              <w:rPr>
                <w:sz w:val="20"/>
                <w:szCs w:val="20"/>
                <w:color w:val="auto"/>
              </w:rPr>
            </w:pPr>
          </w:p>
        </w:tc>
        <w:tc>
          <w:tcPr>
            <w:tcW w:w="20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5"/>
              </w:rPr>
              <w:t>RTX 30</w:t>
            </w:r>
          </w:p>
        </w:tc>
        <w:tc>
          <w:tcPr>
            <w:tcW w:w="600" w:type="dxa"/>
            <w:vAlign w:val="bottom"/>
          </w:tcPr>
          <w:p>
            <w:pPr>
              <w:spacing w:after="0"/>
              <w:rPr>
                <w:sz w:val="20"/>
                <w:szCs w:val="20"/>
                <w:color w:val="auto"/>
              </w:rPr>
            </w:pPr>
          </w:p>
        </w:tc>
        <w:tc>
          <w:tcPr>
            <w:tcW w:w="426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185"/>
        </w:trPr>
        <w:tc>
          <w:tcPr>
            <w:tcW w:w="1100" w:type="dxa"/>
            <w:vAlign w:val="bottom"/>
          </w:tcPr>
          <w:p>
            <w:pPr>
              <w:spacing w:after="0"/>
              <w:rPr>
                <w:sz w:val="16"/>
                <w:szCs w:val="16"/>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06"/>
        </w:trPr>
        <w:tc>
          <w:tcPr>
            <w:tcW w:w="1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3" w:lineRule="exact"/>
        <w:rPr>
          <w:sz w:val="20"/>
          <w:szCs w:val="20"/>
          <w:color w:val="auto"/>
        </w:rPr>
      </w:pPr>
    </w:p>
    <w:p>
      <w:pPr>
        <w:ind w:right="660"/>
        <w:spacing w:after="0" w:line="255"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Election of Director.</w:t>
      </w:r>
    </w:p>
    <w:p>
      <w:pPr>
        <w:spacing w:after="0" w:line="229" w:lineRule="exact"/>
        <w:rPr>
          <w:sz w:val="20"/>
          <w:szCs w:val="20"/>
          <w:color w:val="auto"/>
        </w:rPr>
      </w:pPr>
    </w:p>
    <w:p>
      <w:pPr>
        <w:ind w:right="180" w:firstLine="631"/>
        <w:spacing w:after="0" w:line="303" w:lineRule="auto"/>
        <w:rPr>
          <w:sz w:val="20"/>
          <w:szCs w:val="20"/>
          <w:color w:val="auto"/>
        </w:rPr>
      </w:pPr>
      <w:r>
        <w:rPr>
          <w:rFonts w:ascii="Times New Roman" w:cs="Times New Roman" w:eastAsia="Times New Roman" w:hAnsi="Times New Roman"/>
          <w:sz w:val="16"/>
          <w:szCs w:val="16"/>
          <w:color w:val="auto"/>
        </w:rPr>
        <w:t>The Board of Directors of Raytheon Technologies Corporation (the “Company”) elected Leanne G. Caret as an independent director effective January 16, 2023, with a term expiring at the 2023 Annual Meeting of Shareowners. The Board also appointed Ms. Caret to the Board’s Audit and Special Activities</w:t>
      </w:r>
    </w:p>
    <w:p>
      <w:pPr>
        <w:ind w:right="240"/>
        <w:spacing w:after="0" w:line="247" w:lineRule="auto"/>
        <w:rPr>
          <w:sz w:val="20"/>
          <w:szCs w:val="20"/>
          <w:color w:val="auto"/>
        </w:rPr>
      </w:pPr>
      <w:r>
        <w:rPr>
          <w:rFonts w:ascii="Times New Roman" w:cs="Times New Roman" w:eastAsia="Times New Roman" w:hAnsi="Times New Roman"/>
          <w:sz w:val="18"/>
          <w:szCs w:val="18"/>
          <w:color w:val="auto"/>
        </w:rPr>
        <w:t>Committees. A copy of the Company’s press release issued on January 16, 2023 regarding Ms. Caret’s election is filed as Exhibit 99.1 to this Form 8-K and is hereby incorporated herein by reference.</w:t>
      </w:r>
    </w:p>
    <w:p>
      <w:pPr>
        <w:spacing w:after="0" w:line="240" w:lineRule="exact"/>
        <w:rPr>
          <w:sz w:val="20"/>
          <w:szCs w:val="20"/>
          <w:color w:val="auto"/>
        </w:rPr>
      </w:pPr>
    </w:p>
    <w:p>
      <w:pPr>
        <w:ind w:right="120" w:firstLine="631"/>
        <w:spacing w:after="0"/>
        <w:rPr>
          <w:sz w:val="20"/>
          <w:szCs w:val="20"/>
          <w:color w:val="auto"/>
        </w:rPr>
      </w:pPr>
      <w:r>
        <w:rPr>
          <w:rFonts w:ascii="Times New Roman" w:cs="Times New Roman" w:eastAsia="Times New Roman" w:hAnsi="Times New Roman"/>
          <w:sz w:val="18"/>
          <w:szCs w:val="18"/>
          <w:color w:val="auto"/>
        </w:rPr>
        <w:t>The election of Ms. Caret was not pursuant to any arrangement or understanding between Ms. Caret and any third party. As of the date of this report, neither Ms. Caret, nor any of her immediate family members, is a party, either directly or indirectly, to any transaction that is required to be reported pursuant to Item 404(a) of Regulation S-K.</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Ms. Caret will be compensated consistent with the Company’s compensation programs for non-employee directors.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17"/>
        </w:trPr>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Press Release dated January 16, 2023.</w:t>
            </w:r>
          </w:p>
        </w:tc>
        <w:tc>
          <w:tcPr>
            <w:tcW w:w="7120" w:type="dxa"/>
            <w:vAlign w:val="bottom"/>
          </w:tcPr>
          <w:p>
            <w:pPr>
              <w:spacing w:after="0"/>
              <w:rPr>
                <w:sz w:val="18"/>
                <w:szCs w:val="18"/>
                <w:color w:val="auto"/>
              </w:rPr>
            </w:pPr>
          </w:p>
        </w:tc>
      </w:tr>
      <w:tr>
        <w:trPr>
          <w:trHeight w:val="334"/>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900"/>
        </w:trPr>
        <w:tc>
          <w:tcPr>
            <w:tcW w:w="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73" w:right="239" w:bottom="1440" w:gutter="0" w:footer="0" w:header="0"/>
        </w:sectPr>
      </w:pPr>
    </w:p>
    <w:bookmarkStart w:id="2" w:name="page3"/>
    <w:bookmarkEnd w:id="2"/>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214630</wp:posOffset>
            </wp:positionH>
            <wp:positionV relativeFrom="page">
              <wp:posOffset>606425</wp:posOffset>
            </wp:positionV>
            <wp:extent cx="711898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8985" cy="16510"/>
                    </a:xfrm>
                    <a:prstGeom prst="rect">
                      <a:avLst/>
                    </a:prstGeom>
                    <a:noFill/>
                  </pic:spPr>
                </pic:pic>
              </a:graphicData>
            </a:graphic>
          </wp:anchor>
        </w:drawing>
        <w:t>SIGNATURES</w:t>
      </w:r>
    </w:p>
    <w:p>
      <w:pPr>
        <w:spacing w:after="0" w:line="163"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75" w:lineRule="exact"/>
        <w:rPr>
          <w:sz w:val="20"/>
          <w:szCs w:val="20"/>
          <w:color w:val="auto"/>
        </w:rPr>
      </w:pPr>
    </w:p>
    <w:p>
      <w:pPr>
        <w:ind w:left="460"/>
        <w:spacing w:after="0"/>
        <w:tabs>
          <w:tab w:leader="none" w:pos="5540" w:val="left"/>
          <w:tab w:leader="none" w:pos="6000" w:val="left"/>
        </w:tabs>
        <w:rPr>
          <w:sz w:val="20"/>
          <w:szCs w:val="20"/>
          <w:color w:val="auto"/>
        </w:rPr>
      </w:pPr>
      <w:r>
        <w:rPr>
          <w:rFonts w:ascii="Times New Roman" w:cs="Times New Roman" w:eastAsia="Times New Roman" w:hAnsi="Times New Roman"/>
          <w:sz w:val="18"/>
          <w:szCs w:val="18"/>
          <w:color w:val="auto"/>
        </w:rPr>
        <w:t>Date: January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6"/>
          <w:szCs w:val="16"/>
          <w:color w:val="auto"/>
        </w:rPr>
        <w:t>/ RAMSARAN MAHARAJH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22225</wp:posOffset>
            </wp:positionV>
            <wp:extent cx="3383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83280" cy="8255"/>
                    </a:xfrm>
                    <a:prstGeom prst="rect">
                      <a:avLst/>
                    </a:prstGeom>
                    <a:noFill/>
                  </pic:spPr>
                </pic:pic>
              </a:graphicData>
            </a:graphic>
          </wp:anchor>
        </w:drawing>
      </w:r>
    </w:p>
    <w:p>
      <w:pPr>
        <w:spacing w:after="0" w:line="3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Ramsaran Maharajh</w:t>
      </w:r>
    </w:p>
    <w:p>
      <w:pPr>
        <w:spacing w:after="0" w:line="4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Executive Vice President &amp; General Counsel</w:t>
      </w:r>
    </w:p>
    <w:p>
      <w:pPr>
        <w:sectPr>
          <w:pgSz w:w="11900" w:h="16838" w:orient="portrait"/>
          <w:cols w:equalWidth="0" w:num="1">
            <w:col w:w="10500"/>
          </w:cols>
          <w:pgMar w:left="320" w:top="1157" w:right="107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820"/>
        <w:spacing w:after="0"/>
        <w:rPr>
          <w:sz w:val="20"/>
          <w:szCs w:val="20"/>
          <w:color w:val="auto"/>
        </w:rPr>
      </w:pPr>
      <w:r>
        <w:rPr>
          <w:rFonts w:ascii="Arial" w:cs="Arial" w:eastAsia="Arial" w:hAnsi="Arial"/>
          <w:sz w:val="13"/>
          <w:szCs w:val="13"/>
          <w:b w:val="1"/>
          <w:bCs w:val="1"/>
          <w:color w:val="auto"/>
        </w:rPr>
        <w:t>Media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-69850</wp:posOffset>
            </wp:positionV>
            <wp:extent cx="2086610" cy="525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86610" cy="525780"/>
                    </a:xfrm>
                    <a:prstGeom prst="rect">
                      <a:avLst/>
                    </a:prstGeom>
                    <a:noFill/>
                  </pic:spPr>
                </pic:pic>
              </a:graphicData>
            </a:graphic>
          </wp:anchor>
        </w:drawing>
      </w:r>
    </w:p>
    <w:p>
      <w:pPr>
        <w:spacing w:after="0" w:line="41" w:lineRule="exact"/>
        <w:rPr>
          <w:sz w:val="20"/>
          <w:szCs w:val="20"/>
          <w:color w:val="auto"/>
        </w:rPr>
      </w:pPr>
    </w:p>
    <w:p>
      <w:pPr>
        <w:ind w:left="8820"/>
        <w:spacing w:after="0"/>
        <w:rPr>
          <w:sz w:val="20"/>
          <w:szCs w:val="20"/>
          <w:color w:val="auto"/>
        </w:rPr>
      </w:pPr>
      <w:r>
        <w:rPr>
          <w:rFonts w:ascii="Arial" w:cs="Arial" w:eastAsia="Arial" w:hAnsi="Arial"/>
          <w:sz w:val="13"/>
          <w:szCs w:val="13"/>
          <w:color w:val="auto"/>
        </w:rPr>
        <w:t>C: 202.384.2474</w:t>
      </w:r>
    </w:p>
    <w:p>
      <w:pPr>
        <w:spacing w:after="0" w:line="258" w:lineRule="exact"/>
        <w:rPr>
          <w:sz w:val="20"/>
          <w:szCs w:val="20"/>
          <w:color w:val="auto"/>
        </w:rPr>
      </w:pPr>
    </w:p>
    <w:p>
      <w:pPr>
        <w:ind w:left="8820"/>
        <w:spacing w:after="0"/>
        <w:rPr>
          <w:sz w:val="20"/>
          <w:szCs w:val="20"/>
          <w:color w:val="auto"/>
        </w:rPr>
      </w:pPr>
      <w:r>
        <w:rPr>
          <w:rFonts w:ascii="Arial" w:cs="Arial" w:eastAsia="Arial" w:hAnsi="Arial"/>
          <w:sz w:val="13"/>
          <w:szCs w:val="13"/>
          <w:b w:val="1"/>
          <w:bCs w:val="1"/>
          <w:color w:val="auto"/>
        </w:rPr>
        <w:t>Investor Contact</w:t>
      </w:r>
    </w:p>
    <w:p>
      <w:pPr>
        <w:spacing w:after="0" w:line="61" w:lineRule="exact"/>
        <w:rPr>
          <w:sz w:val="20"/>
          <w:szCs w:val="20"/>
          <w:color w:val="auto"/>
        </w:rPr>
      </w:pPr>
    </w:p>
    <w:p>
      <w:pPr>
        <w:ind w:left="8820"/>
        <w:spacing w:after="0"/>
        <w:rPr>
          <w:sz w:val="20"/>
          <w:szCs w:val="20"/>
          <w:color w:val="auto"/>
        </w:rPr>
      </w:pPr>
      <w:r>
        <w:rPr>
          <w:rFonts w:ascii="Arial" w:cs="Arial" w:eastAsia="Arial" w:hAnsi="Arial"/>
          <w:sz w:val="13"/>
          <w:szCs w:val="13"/>
          <w:color w:val="auto"/>
        </w:rPr>
        <w:t>C: 781.522.5123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 Technologies Appoints Leanne G. Caret to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CE1126"/>
        </w:rPr>
        <w:t>______________________________________________________________________</w:t>
      </w:r>
    </w:p>
    <w:p>
      <w:pPr>
        <w:spacing w:after="0" w:line="23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ARLINGTON, Va. (Jan. 16, 2023) – Raytheon Technologies (NYSE: RTX) today announced that its board of directors has elected Leanne G. Caret as a director. Caret is an experienced aerospace and defense industry leader, most recently serving as executive vice president and senior advisor for The Boeing Company.</w:t>
      </w:r>
    </w:p>
    <w:p>
      <w:pPr>
        <w:spacing w:after="0" w:line="205"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“Leanne Caret is one of the most accomplished leaders in our industry,” said Raytheon Technologies Chief Executive Officer and Chairman Greg Hayes. “With a focus on rapid deployment of highly complex systems, she has driven development of groundbreaking technology solutions throughout her tenure. Raytheon Technologies and our shareholders will benefit tremendously from her customer- and people-first leadership philosophy.”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Prior to her current role, Caret served as executive vice president of The Boeing Company and president and chief executive officer of Boeing Defense, Space</w:t>
      </w:r>
    </w:p>
    <w:p>
      <w:pPr>
        <w:spacing w:after="0" w:line="44" w:lineRule="exact"/>
        <w:rPr>
          <w:sz w:val="20"/>
          <w:szCs w:val="20"/>
          <w:color w:val="auto"/>
        </w:rPr>
      </w:pPr>
    </w:p>
    <w:p>
      <w:pPr>
        <w:jc w:val="both"/>
        <w:ind w:right="140" w:firstLine="5"/>
        <w:spacing w:after="0" w:line="245"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which provides solutions for defense, government, space, intelligence and security customers. Caret previously held roles as president of Boeing’s Global Services &amp; Support organization; Defense, Space &amp; Security chief financial officer; vice president and general manager of Vertical Lift; vice president of H-47 Programs; and general manager of Global Transport &amp; Executive Systems.</w:t>
      </w:r>
    </w:p>
    <w:p>
      <w:pPr>
        <w:spacing w:after="0" w:line="216" w:lineRule="exact"/>
        <w:rPr>
          <w:sz w:val="20"/>
          <w:szCs w:val="20"/>
          <w:color w:val="auto"/>
        </w:rPr>
      </w:pPr>
    </w:p>
    <w:p>
      <w:pPr>
        <w:ind w:right="740"/>
        <w:spacing w:after="0" w:line="268" w:lineRule="auto"/>
        <w:rPr>
          <w:sz w:val="20"/>
          <w:szCs w:val="20"/>
          <w:color w:val="auto"/>
        </w:rPr>
      </w:pPr>
      <w:r>
        <w:rPr>
          <w:rFonts w:ascii="Times New Roman" w:cs="Times New Roman" w:eastAsia="Times New Roman" w:hAnsi="Times New Roman"/>
          <w:sz w:val="18"/>
          <w:szCs w:val="18"/>
          <w:color w:val="auto"/>
        </w:rPr>
        <w:t>Caret has a Bachelor of Science in business administration from Kansas State University and a Master of Business Administration from Wichita State University.</w:t>
      </w:r>
    </w:p>
    <w:p>
      <w:pPr>
        <w:spacing w:after="0" w:line="19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Fortune magazine named Caret to its Most Powerful Women list in 2021 for the fifth consecutive year. In addition to being a 2019 inductee of the Women in Aviation International Pioneer Hall of Fame, Caret is a Royal Aeronautical Society fellow and an American Institute of Aeronautics and Astronautics associate fellow. She is also on the George W. Bush Institute’s Women’s Initiative Policy Advisory Council; the board of trustees for the Kansas State University Foundation; the board of directors for Deere &amp; Company; USO board of governors; and the board of directors for FIRST, a leading youth-serving nonprofit advancing STEM education.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Raytheon Technologies</w:t>
      </w:r>
    </w:p>
    <w:p>
      <w:pPr>
        <w:spacing w:after="0" w:line="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Raytheon Technologies Corporation is an aerospace and defense company that provides advanced systems and services for commercial, military and government customers worldwide. With four industry-leading businesses ― Collins Aerospace, Pratt &amp; Whitney, Raytheon Intelligence &amp; Space and Raytheon Missiles &amp; Defense ― the company delivers solutions that push the boundaries in avionics, cybersecurity, directed energy, electric propulsion, hypersonics, and quantum physics. The company, formed in 2020 through the combination of Raytheon Company and the United Technologies Corporation aerospace businesses, is headquartered in Arlington,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sectPr>
      <w:pgSz w:w="11900" w:h="16838" w:orient="portrait"/>
      <w:cols w:equalWidth="0" w:num="1">
        <w:col w:w="11240"/>
      </w:cols>
      <w:pgMar w:left="320" w:top="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78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2023-01-17T06:48:28Z</dcterms:created>
  <dcterms:modified xsi:type="dcterms:W3CDTF">2023-01-17T06:48:28Z</dcterms:modified>
</cp:coreProperties>
</file>