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Financial Plaza, Hartford, Connecticut 06101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60" w:space="640"/>
            <w:col w:w="180" w:space="40"/>
            <w:col w:w="5220" w:space="720"/>
            <w:col w:w="2000" w:space="720"/>
            <w:col w:w="30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June 30, 2014 there were 914,810,016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2014</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2"/>
        </w:trPr>
        <w:tc>
          <w:tcPr>
            <w:tcW w:w="140" w:type="dxa"/>
            <w:vAlign w:val="bottom"/>
            <w:tcBorders>
              <w:top w:val="single" w:sz="8" w:color="0000FF"/>
            </w:tcBorders>
          </w:tcPr>
          <w:p>
            <w:pPr>
              <w:spacing w:after="0"/>
              <w:rPr>
                <w:sz w:val="24"/>
                <w:szCs w:val="24"/>
                <w:color w:val="auto"/>
              </w:rPr>
            </w:pPr>
          </w:p>
        </w:tc>
        <w:tc>
          <w:tcPr>
            <w:tcW w:w="21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760" w:type="dxa"/>
            <w:vAlign w:val="bottom"/>
            <w:tcBorders>
              <w:top w:val="single" w:sz="8" w:color="0000FF"/>
            </w:tcBorders>
            <w:gridSpan w:val="3"/>
          </w:tcPr>
          <w:p>
            <w:pPr>
              <w:spacing w:after="0"/>
              <w:rPr>
                <w:sz w:val="24"/>
                <w:szCs w:val="24"/>
                <w:color w:val="auto"/>
              </w:rPr>
            </w:pPr>
          </w:p>
        </w:tc>
        <w:tc>
          <w:tcPr>
            <w:tcW w:w="770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 of Operations for the quarters ended June 30, 2014 and 2013</w:t>
              </w:r>
            </w:hyperlink>
          </w:p>
        </w:tc>
        <w:tc>
          <w:tcPr>
            <w:tcW w:w="33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Operations for the six months ended June 30, 2014 and 2013</w:t>
              </w:r>
            </w:hyperlink>
          </w:p>
        </w:tc>
        <w:tc>
          <w:tcPr>
            <w:tcW w:w="31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quarters and six months ended June 30, 2014 and 2013</w:t>
              </w:r>
            </w:hyperlink>
          </w:p>
        </w:tc>
        <w:tc>
          <w:tcPr>
            <w:tcW w:w="1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 at June 30, 2014 and December 31, 2013</w:t>
              </w:r>
            </w:hyperlink>
          </w:p>
        </w:tc>
        <w:tc>
          <w:tcPr>
            <w:tcW w:w="45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 of Cash Flows for the six months ended June 30, 2014 and 2013</w:t>
              </w:r>
            </w:hyperlink>
          </w:p>
        </w:tc>
        <w:tc>
          <w:tcPr>
            <w:tcW w:w="3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7"/>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Item 4. Controls and Procedures</w:t>
              </w:r>
            </w:hyperlink>
          </w:p>
        </w:tc>
        <w:tc>
          <w:tcPr>
            <w:tcW w:w="2580" w:type="dxa"/>
            <w:vAlign w:val="bottom"/>
            <w:gridSpan w:val="5"/>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PART II – OTHER INFORMATION</w:t>
              </w:r>
            </w:hyperlink>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Item 1. Legal Proceedings</w:t>
              </w:r>
            </w:hyperlink>
          </w:p>
        </w:tc>
        <w:tc>
          <w:tcPr>
            <w:tcW w:w="640" w:type="dxa"/>
            <w:vAlign w:val="bottom"/>
            <w:gridSpan w:val="3"/>
          </w:tcPr>
          <w:p>
            <w:pPr>
              <w:spacing w:after="0"/>
              <w:rPr>
                <w:sz w:val="24"/>
                <w:szCs w:val="24"/>
                <w:color w:val="auto"/>
              </w:rPr>
            </w:pPr>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Item 2. 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 Defaults Upon Senior Securities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860" w:type="dxa"/>
            <w:vAlign w:val="bottom"/>
            <w:gridSpan w:val="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6. Exhibits</w:t>
              </w:r>
            </w:hyperlink>
          </w:p>
        </w:tc>
        <w:tc>
          <w:tcPr>
            <w:tcW w:w="770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EXHIBIT INDEX</w:t>
              </w:r>
            </w:hyperlink>
          </w:p>
        </w:tc>
        <w:tc>
          <w:tcPr>
            <w:tcW w:w="942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Quarter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13,017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11,661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4,345</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16,006</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8,712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13,920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1,552</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1,680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1,560</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21,916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8,489</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30,405</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16,560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26,622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2,822</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2,893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2,826</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80"/>
              <w:spacing w:after="0"/>
              <w:rPr>
                <w:sz w:val="20"/>
                <w:szCs w:val="20"/>
                <w:color w:val="auto"/>
              </w:rPr>
            </w:pPr>
            <w:r>
              <w:rPr>
                <w:rFonts w:ascii="Arial" w:cs="Arial" w:eastAsia="Arial" w:hAnsi="Arial"/>
                <w:sz w:val="14"/>
                <w:szCs w:val="14"/>
                <w:b w:val="1"/>
                <w:bCs w:val="1"/>
                <w:color w:val="auto"/>
              </w:rPr>
              <w:t>Quarter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Reclassification adjustments for loss on sale of an investment in a foreign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(loss) gain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(loss) arising during period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Gain reclassified into Other income,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Comprehensive income attributable to 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80" w:type="dxa"/>
            <w:vAlign w:val="bottom"/>
            <w:gridSpan w:val="3"/>
            <w:shd w:val="clear" w:color="auto" w:fill="CCEEFF"/>
          </w:tcPr>
          <w:p>
            <w:pPr>
              <w:jc w:val="center"/>
              <w:ind w:right="3840"/>
              <w:spacing w:after="0" w:line="169" w:lineRule="exact"/>
              <w:rPr>
                <w:sz w:val="20"/>
                <w:szCs w:val="20"/>
                <w:color w:val="auto"/>
              </w:rPr>
            </w:pPr>
            <w:r>
              <w:rPr>
                <w:rFonts w:ascii="Arial" w:cs="Arial" w:eastAsia="Arial" w:hAnsi="Arial"/>
                <w:sz w:val="17"/>
                <w:szCs w:val="17"/>
                <w:b w:val="1"/>
                <w:bCs w:val="1"/>
                <w:color w:val="auto"/>
                <w:w w:val="78"/>
              </w:rPr>
              <w:t>Assets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3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4,962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4,619</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11,458</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9,896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10,330</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1,964</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1,071</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29,442</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1,098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1,156</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1,236</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19,218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18,661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(9,795)</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9,026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8,866</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28,378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28,168</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15,715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15,521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6,205</w:t>
            </w: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6"/>
          </w:tcPr>
          <w:p>
            <w:pPr>
              <w:ind w:left="340"/>
              <w:spacing w:after="0"/>
              <w:rPr>
                <w:sz w:val="20"/>
                <w:szCs w:val="20"/>
                <w:color w:val="auto"/>
              </w:rPr>
            </w:pPr>
            <w:r>
              <w:rPr>
                <w:rFonts w:ascii="Arial" w:cs="Arial" w:eastAsia="Arial" w:hAnsi="Arial"/>
                <w:sz w:val="17"/>
                <w:szCs w:val="17"/>
                <w:color w:val="auto"/>
              </w:rPr>
              <w:t>Total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92,142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90,594</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w w:val="94"/>
              </w:rPr>
              <w:t>Liabilities and Equity</w:t>
            </w:r>
          </w:p>
        </w:tc>
        <w:tc>
          <w:tcPr>
            <w:tcW w:w="3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Short-term borrowings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388</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6,965</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14,798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15,335</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24,330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22,800</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19,741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3,207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3,444</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11,279</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Liabilities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56,803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57,264</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Redeemable noncontrolling interest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111</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15,060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14,764</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(20,431)</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42,343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40,539</w:t>
            </w: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Unearned ESOP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(2,880)</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6"/>
            <w:shd w:val="clear" w:color="auto" w:fill="CCEEFF"/>
          </w:tcPr>
          <w:p>
            <w:pPr>
              <w:ind w:left="1100"/>
              <w:spacing w:after="0"/>
              <w:rPr>
                <w:sz w:val="20"/>
                <w:szCs w:val="20"/>
                <w:color w:val="auto"/>
              </w:rPr>
            </w:pPr>
            <w:r>
              <w:rPr>
                <w:rFonts w:ascii="Arial" w:cs="Arial" w:eastAsia="Arial" w:hAnsi="Arial"/>
                <w:sz w:val="17"/>
                <w:szCs w:val="17"/>
                <w:color w:val="auto"/>
              </w:rPr>
              <w:t>Total Shareowners'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31,866</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Noncontrolling interest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1,408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1,353</w:t>
            </w: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33,219</w:t>
            </w:r>
          </w:p>
        </w:tc>
      </w:tr>
      <w:tr>
        <w:trPr>
          <w:trHeight w:val="244"/>
        </w:trPr>
        <w:tc>
          <w:tcPr>
            <w:tcW w:w="40" w:type="dxa"/>
            <w:vAlign w:val="bottom"/>
          </w:tcPr>
          <w:p>
            <w:pPr>
              <w:spacing w:after="0"/>
              <w:rPr>
                <w:sz w:val="21"/>
                <w:szCs w:val="21"/>
                <w:color w:val="auto"/>
              </w:rPr>
            </w:pPr>
          </w:p>
        </w:tc>
        <w:tc>
          <w:tcPr>
            <w:tcW w:w="8080" w:type="dxa"/>
            <w:vAlign w:val="bottom"/>
            <w:gridSpan w:val="6"/>
          </w:tcPr>
          <w:p>
            <w:pPr>
              <w:ind w:left="3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92,142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90,594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2,997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provided by 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4,909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Condensed Consolidated Financial Statements at June 30, 2014 and for the quarters and six months ended June 30, 2014 and 2013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Certain reclassifications have been made to the prior year amounts to conform to the current year presentation. The financial information included herein should be read in conjunction with the financial statements and notes in our Annual Report to Shareowners (2013 Annual Report) incorporated by reference to our Annual Report on Form 10-K for calendar year 2013 (2013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six months ended June 30, 2014, our cash investment in business acquisitions was $84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a number of small acquisitions, primarily in our commercial businesses.</w:t>
      </w:r>
    </w:p>
    <w:p>
      <w:pPr>
        <w:spacing w:after="0" w:line="166"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As a result of the 2012 transactions related to IAE International Aero Engines AG (IAE), Pratt &amp; Whitney holds a 61% net interest in the collaboration and a 49.5% ownership interest in IAE.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as of June 30, 2014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0"/>
        </w:trPr>
        <w:tc>
          <w:tcPr>
            <w:tcW w:w="858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2014 were as follows:</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9"/>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Goodwill</w:t>
            </w:r>
          </w:p>
        </w:tc>
        <w:tc>
          <w:tcPr>
            <w:tcW w:w="12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Balance as of</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Resulting from</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7"/>
              </w:rPr>
              <w:t>Balance as of</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Business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Translation and</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January 1, 2014</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Combinations</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80" w:type="dxa"/>
            <w:vAlign w:val="bottom"/>
          </w:tcPr>
          <w:p>
            <w:pPr>
              <w:jc w:val="right"/>
              <w:ind w:right="172"/>
              <w:spacing w:after="0" w:line="158" w:lineRule="exact"/>
              <w:rPr>
                <w:sz w:val="20"/>
                <w:szCs w:val="20"/>
                <w:color w:val="auto"/>
              </w:rPr>
            </w:pPr>
            <w:r>
              <w:rPr>
                <w:rFonts w:ascii="Arial" w:cs="Arial" w:eastAsia="Arial" w:hAnsi="Arial"/>
                <w:sz w:val="14"/>
                <w:szCs w:val="14"/>
                <w:b w:val="1"/>
                <w:bCs w:val="1"/>
                <w:color w:val="auto"/>
                <w:w w:val="98"/>
              </w:rPr>
              <w:t>June 30,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15,069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28,163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customer relationships intangible assets include payments made to our customers to secure certain contractual rights. We amortize these intangible assets based on the underlying pattern of economic benefit, which may result in an amortization method other than straight-line. We classify amortization of such payments as a reduction of sales. The IAE collaboration intangible asset is amortized based upon the economic pattern of benefits as represented by the underlying cash flows. Prior to 2014, these cash flows were negative, and, accordingly, no amortization had previously been recorded. Amortization of intangible assets for the quarter and six months ended June 30, 2014 was $178 million and $357 million, respectively, compared with $176 million and $351 million for the same periods of 2013. The following is the expected amortization of intangible assets for the years 2014 through 2019, which reflects an increase in expected amortization expense due to the pattern of economic benefit on certain aerospace intangible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2014</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703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In 2012, the UTC Board of Directors approved plans for the divestiture of a number of non-core businesses, which were completed with the sale of substantially all operations of Pratt &amp; Whitney Rocketdyne (Rocketdyne) on June 14, 2013. Cash generated from these divestitures was used to repay debt incurred to finance the acquisition of Goodrich Corporation (Goodrich) in 2012. On February 12, 2013, we completed the disposition of UTC Power to ClearEdge Power. We have no continuing involvement with the UTC Power business post-disposition.</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summarized financial information for our discontinued operations businesses was segregated from continuing operations and reported as Discontinued Operations in 2013. There was no discontinued operations activity in the six months ended June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2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Quarter Ended June 30,</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72"/>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452"/>
              <w:spacing w:after="0" w:line="158" w:lineRule="exact"/>
              <w:rPr>
                <w:sz w:val="20"/>
                <w:szCs w:val="20"/>
                <w:color w:val="auto"/>
              </w:rPr>
            </w:pPr>
            <w:r>
              <w:rPr>
                <w:rFonts w:ascii="Arial" w:cs="Arial" w:eastAsia="Arial" w:hAnsi="Arial"/>
                <w:sz w:val="14"/>
                <w:szCs w:val="14"/>
                <w:b w:val="1"/>
                <w:bCs w:val="1"/>
                <w:color w:val="auto"/>
              </w:rPr>
              <w:t>30, 2013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sales</w:t>
            </w:r>
          </w:p>
        </w:tc>
        <w:tc>
          <w:tcPr>
            <w:tcW w:w="34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800" w:type="dxa"/>
            <w:vAlign w:val="bottom"/>
            <w:tcBorders>
              <w:bottom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Income tax expense</w:t>
            </w:r>
          </w:p>
        </w:tc>
        <w:tc>
          <w:tcPr>
            <w:tcW w:w="3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Income from operations, net of income taxes</w:t>
            </w:r>
          </w:p>
        </w:tc>
        <w:tc>
          <w:tcPr>
            <w:tcW w:w="3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Loss on disposal</w:t>
            </w:r>
          </w:p>
        </w:tc>
        <w:tc>
          <w:tcPr>
            <w:tcW w:w="3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w:t>
            </w:r>
          </w:p>
        </w:tc>
        <w:tc>
          <w:tcPr>
            <w:tcW w:w="3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Net loss on discontinued operations</w:t>
            </w:r>
          </w:p>
        </w:tc>
        <w:tc>
          <w:tcPr>
            <w:tcW w:w="34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20" w:type="dxa"/>
            <w:vAlign w:val="bottom"/>
            <w:vMerge w:val="restart"/>
          </w:tcPr>
          <w:p>
            <w:pPr>
              <w:jc w:val="right"/>
              <w:ind w:right="227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quarters and six months ended June 30, 2014 and 2013, there were no anti-dilutive stock awards excluded from the computation.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7,929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(7,263)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As of June 30, 2014 and December 31, 2013, inventory also includes capitalized contract development costs of $155 million and $159 million, respectively, primarily related to certain aerospace programs at UTC Aerospace Systems. These capitalized costs are liquidated as production units are delivered to the customer.</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quarter ended June 30, 2014, Sikorsky and the Canadian Government signed amendments to their existing contracts for development, production and support of the CH-148 helicopter. These amendments include significant changes in program scope, governance and delivery methodology. Accordingly, in the quarter ended June 30, 2014, we recognized a change in estimate on this program resulting in the liquidation of approximately $1.3 billion of inventory, including all capitalized contract development costs related to this program. As of December 31, 2013, inventory included approximately $740 million of capitalized contract development costs related to this program.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At June 30, 2014, we had revolving credit agreements with various banks permitting aggregate borrowings of up to $4.35 billion pursuant to a $2.20 billion revolving credit agreement and a $2.15 billion multicurrency revolving credit agreement, both of which expire in May 2019. As of June 30, 2014, there were no borrowings under either of these revolving credit agreements. The undrawn portions of these revolving credit agreements are also available to serve as backup facilities for the issuance of commercial paper. As of June 30, 2014, our maximum commercial paper borrowing limit was $4 billion. We use our commercial paper borrowings for general corporate purposes, including the funding of potential acquisitions, debt refinancing, and repurchases of our common stock.</w:t>
      </w:r>
    </w:p>
    <w:p>
      <w:pPr>
        <w:spacing w:after="0" w:line="193"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On April 1, 2014, we redeemed all remaining outstanding 2016 Goodrich 6.290% notes, representing approximately $188 million in aggregate principal, under our redemption notice issued on February 28, 2014.</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4"/>
                <w:szCs w:val="1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4.875% notes due 2015*</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6.290% notes due 2016</w:t>
            </w:r>
            <w:r>
              <w:rPr>
                <w:rFonts w:ascii="Arial" w:cs="Arial" w:eastAsia="Arial" w:hAnsi="Arial"/>
                <w:sz w:val="25"/>
                <w:szCs w:val="25"/>
                <w:color w:val="auto"/>
                <w:vertAlign w:val="superscript"/>
              </w:rPr>
              <w:t>‡</w:t>
            </w:r>
          </w:p>
        </w:tc>
        <w:tc>
          <w:tcPr>
            <w:tcW w:w="2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5.375% notes due 2017*</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1.800% notes due 2017*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8.875% notes due 2019</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3.100% notes due 2022*</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7.500% notes due 2029*</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5.400% notes due 2035*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6.050% notes due 2036*</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6.125% notes due 2038*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5.700% notes due 2040*</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4.500% notes due 2042*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(including capitalized leases)</w:t>
            </w:r>
            <w:r>
              <w:rPr>
                <w:rFonts w:ascii="Arial" w:cs="Arial" w:eastAsia="Arial" w:hAnsi="Arial"/>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19,468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19,643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 (fair market value adjustments and discounts)</w:t>
            </w:r>
            <w:r>
              <w:rPr>
                <w:rFonts w:ascii="Arial" w:cs="Arial" w:eastAsia="Arial" w:hAnsi="Arial"/>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19,665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19,853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5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17,837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p>
      <w:pPr>
        <w:ind w:left="340" w:hanging="332"/>
        <w:spacing w:after="0" w:line="27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-570230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6" w:lineRule="exact"/>
        <w:rPr>
          <w:sz w:val="20"/>
          <w:szCs w:val="20"/>
          <w:color w:val="auto"/>
        </w:rPr>
      </w:pPr>
    </w:p>
    <w:p>
      <w:pPr>
        <w:ind w:left="340" w:right="440" w:hanging="332"/>
        <w:spacing w:after="0" w:line="30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340" w:hanging="332"/>
        <w:spacing w:after="0" w:line="225"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June 30, 2014 was approximately 0.2%.</w:t>
      </w:r>
    </w:p>
    <w:p>
      <w:pPr>
        <w:spacing w:after="0" w:line="15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2000.</w:t>
      </w:r>
    </w:p>
    <w:p>
      <w:pPr>
        <w:spacing w:after="0" w:line="8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a range of $165 million to $335 million of unrecognized tax benefits may occur within the next twelve months as a result of additional worldwide uncertain tax positions, the revaluation of current uncertain tax positions arising from developments in examinations, in appeals, or in the courts, or the closure of tax statutes. See Note 14, Contingent Liabilities, for discussion regarding uncertain tax positions which are not included in this range related to previously disclosed German tax litigation.</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As previously disclosed, the French Tax Authority had assessed €237 million (approximately $323 million) related to the proposed disallowance of certain recurring deductions claimed in France for tax years 2008 through 2011, with which assessment the Company disagreed. Based on ongoing resolution discussions, the Company had accrued an amount it believed to be a potential settlement amount for the matter, including potential applicability to subsequent tax years. During the quarter ended June 30, 2014, the matter was settled in an amount consistent with the accrual.</w:t>
      </w:r>
    </w:p>
    <w:p>
      <w:pPr>
        <w:spacing w:after="0" w:line="171"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UTC tax years 2006 through 2008 are currently before the Appeals Division of the Internal Revenue Service (IRS Appeals) for resolution of certain proposed adjustments with which UTC does not agree. Settlement of these years is expected to be achieved during 2014. Review of UTC tax years 2009 and 2010 by the Examination Division of the IRS was completed during the quarter ended June 30, 2014. Examination activity for UTC tax years 2011 and 2012 is expected to commence during the third quarter of 2014.</w:t>
      </w:r>
    </w:p>
    <w:p>
      <w:pPr>
        <w:spacing w:after="0" w:line="187"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The Company is engaged in litigation with respect to an issue involving the proper timing of deductions taken by Goodrich Corporation in its tax years 2005 and 2006, prior to its acquisition by UTC. This is a recurring issue, and the IRS may continue to challenge it in subsequent tax years until the issue is resolved. Goodrich Corporation tax years 2007 through 2010 are currently before IRS Appeals for resolution discussions regarding certain proposed adjustments with which UTC does not agree, including the recurring timing issue described above. Both the 2005 - 2006 litigation and the 2007 - 2010 appeals proceedings, together with all final computations for open tax years through 2010, are expected to be resolved during 2014. Examination activity for Goodrich Corporation tax years 2011 and 2012, prior to its acquisition by UTC, is expected to commence during the third quarter of 2014.</w:t>
      </w:r>
    </w:p>
    <w:p>
      <w:pPr>
        <w:spacing w:after="0" w:line="165" w:lineRule="exact"/>
        <w:rPr>
          <w:sz w:val="20"/>
          <w:szCs w:val="20"/>
          <w:color w:val="auto"/>
        </w:rPr>
      </w:pPr>
    </w:p>
    <w:p>
      <w:pPr>
        <w:ind w:right="300" w:firstLine="392"/>
        <w:spacing w:after="0" w:line="277" w:lineRule="auto"/>
        <w:rPr>
          <w:sz w:val="20"/>
          <w:szCs w:val="20"/>
          <w:color w:val="auto"/>
        </w:rPr>
      </w:pPr>
      <w:r>
        <w:rPr>
          <w:rFonts w:ascii="Arial" w:cs="Arial" w:eastAsia="Arial" w:hAnsi="Arial"/>
          <w:sz w:val="18"/>
          <w:szCs w:val="18"/>
          <w:color w:val="auto"/>
        </w:rPr>
        <w:t>During the quarter ended June 30, 2014, the Examination Division of the Connecticut Department of Revenue Services completed its examination of UTC's 2010 - 2012 tax years.</w:t>
      </w:r>
    </w:p>
    <w:p>
      <w:pPr>
        <w:spacing w:after="0" w:line="170"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As a result of completed examination activity as described above, the Company recognized non-cash gains in the quarter ended June 30, 2014 of approximately $274 million, including a pre-tax interest adjustment of $21 million. As a result of the anticipated conclusion of tax examination, appeal and litigation activity and associated re-evaluation of tax related liabilities and contingencies, we currently expect to recognize additional net gains, primarily non-cash, in the range of $210 million to $230 million prior to the end of 2014, including pre-tax interest in the range of $90 million to $110 million.</w:t>
      </w:r>
    </w:p>
    <w:p>
      <w:pPr>
        <w:spacing w:after="0" w:line="154" w:lineRule="exact"/>
        <w:rPr>
          <w:sz w:val="20"/>
          <w:szCs w:val="20"/>
          <w:color w:val="auto"/>
        </w:rPr>
      </w:pPr>
    </w:p>
    <w:p>
      <w:pPr>
        <w:ind w:right="340" w:firstLine="392"/>
        <w:spacing w:after="0" w:line="308" w:lineRule="auto"/>
        <w:rPr>
          <w:sz w:val="20"/>
          <w:szCs w:val="20"/>
          <w:color w:val="auto"/>
        </w:rPr>
      </w:pPr>
      <w:r>
        <w:rPr>
          <w:rFonts w:ascii="Arial" w:cs="Arial" w:eastAsia="Arial" w:hAnsi="Arial"/>
          <w:sz w:val="17"/>
          <w:szCs w:val="17"/>
          <w:color w:val="auto"/>
        </w:rPr>
        <w:t>During the quarter ended June 30, 2014, we reached an agreement with a state taxing authority for the monetization of tax credits. As a result of this agreement, we recorded a gain of approximately $220 million through Other income, net in the quarter ended June 30,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58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6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17"/>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to our domestic defined benefit pension plans in the quarters and six months ended June 30, 2014 and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components of net periodic benefit cost for our defined pension and other postretirement benefit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Quarter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4"/>
              </w:rPr>
              <w:t>Quarter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 (gain)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 (gain)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Net settlement and curtailment gain for pension benefits includes curtailment gains of approximately $19 million and $24 million related to, and recorded in, discontinued operations for the quarter and six months ended June 30,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six months ended June 30, 2014, we recorded net pre-tax restructuring costs totaling $180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Restructuring charges incurred during the six months ended June 30, 2014 primarily relate to actions initiated during 2014 and 2013, and were recorded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six months ended June 30, 2014,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field operations. We recorded net pre-tax restructuring costs totaling $151 million, including $83 million in cost of sales and $68 million in selling, general and administrative expenses.</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2014. No specific plans for significant other actions have been finalized at this time. The following table summarizes the accrual balances and utilization by cost type for the 2014 restructuring actions: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Asset</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Write-Downs</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April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Balance at June 30,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2014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Quarter Ended</w:t>
            </w: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Quarter Ended June</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60" w:type="dxa"/>
            <w:vAlign w:val="bottom"/>
            <w:gridSpan w:val="3"/>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3"/>
                <w:szCs w:val="13"/>
                <w:color w:val="auto"/>
              </w:rPr>
            </w:pPr>
          </w:p>
        </w:tc>
        <w:tc>
          <w:tcPr>
            <w:tcW w:w="120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30, 2014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During the six months ended June 30, 2014, we recorded net pre-tax restructuring costs totaling $33 million for restructuring actions initiated</w:t>
      </w:r>
      <w:r>
        <w:rPr>
          <w:rFonts w:ascii="Arial" w:cs="Arial" w:eastAsia="Arial" w:hAnsi="Arial"/>
          <w:sz w:val="18"/>
          <w:szCs w:val="18"/>
          <w:b w:val="1"/>
          <w:bCs w:val="1"/>
          <w:color w:val="auto"/>
        </w:rPr>
        <w:t xml:space="preserve"> </w:t>
      </w:r>
      <w:r>
        <w:rPr>
          <w:rFonts w:ascii="Arial" w:cs="Arial" w:eastAsia="Arial" w:hAnsi="Arial"/>
          <w:sz w:val="18"/>
          <w:szCs w:val="18"/>
          <w:color w:val="auto"/>
        </w:rPr>
        <w:t>in 2013, including $30 million in cost of sales and $3 million in selling, general and administrative expenses. The 2013 actions relate to ongoing cost reduction efforts, including workforce reductions and the consolidation of field operations. The following table summarizes the accrual balances and utilization by cost type for the 2013 restructuring actions: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Asset</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Write-Downs</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April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Balance at June 30,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 Incurred</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Costs Incurred in 2013</w:t>
            </w:r>
          </w:p>
        </w:tc>
        <w:tc>
          <w:tcPr>
            <w:tcW w:w="20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Quarter Ended</w:t>
            </w: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Quarter Ended June</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Costs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13"/>
                <w:szCs w:val="13"/>
                <w:color w:val="auto"/>
              </w:rPr>
            </w:pPr>
          </w:p>
        </w:tc>
        <w:tc>
          <w:tcPr>
            <w:tcW w:w="128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1"/>
              </w:rPr>
              <w:t>30, 2014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119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479</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As of June 30, 2014, we have approximately $67 million of accrual balances remaining related to 2012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$12.7 billion and $12.3 billion at June 30, 2014 and December 31, 2013, respectively.</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June 30, 2014 and December 31, 2013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Asset Derivatives</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 2013</w:t>
            </w:r>
          </w:p>
        </w:tc>
        <w:tc>
          <w:tcPr>
            <w:tcW w:w="20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Quarter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recorded in Accumulated other comprehensive loss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w w:val="93"/>
              </w:rPr>
              <w:t>Loss reclassified from Accumulated other comprehensive loss into Product</w:t>
            </w: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gridSpan w:val="3"/>
            <w:vMerge w:val="continue"/>
          </w:tcPr>
          <w:p>
            <w:pPr>
              <w:spacing w:after="0"/>
              <w:rPr>
                <w:sz w:val="16"/>
                <w:szCs w:val="16"/>
                <w:color w:val="auto"/>
              </w:rPr>
            </w:pPr>
          </w:p>
        </w:tc>
        <w:tc>
          <w:tcPr>
            <w:tcW w:w="920" w:type="dxa"/>
            <w:vAlign w:val="bottom"/>
            <w:vMerge w:val="restart"/>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6"/>
                <w:szCs w:val="16"/>
                <w:color w:val="auto"/>
              </w:rPr>
            </w:pPr>
          </w:p>
        </w:tc>
        <w:tc>
          <w:tcPr>
            <w:tcW w:w="920" w:type="dxa"/>
            <w:vAlign w:val="bottom"/>
            <w:vMerge w:val="restart"/>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sales (effective portion)</w:t>
            </w:r>
          </w:p>
        </w:tc>
        <w:tc>
          <w:tcPr>
            <w:tcW w:w="9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$31 million pre-tax loss is expected to be reclassified from Accumulated other comprehensive loss into Product sales to reflect the fixed prices obtained from foreign exchange hedging within the next 12 months. At June 30, 2014, all derivative contracts accounted for as cash flow hedges will mature by June 2016.</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gain recognized in Other income, net</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Fair Value Measurements and Disclosure Topic of the FASB ASC establishes a valuation hierarchy for disclosure of the inputs to the valuations used to measure fair value. A financial asset or liability's classification within the hierarchy is determined based on the lowest level input that is significant to the fair value measurement. This hierarchy prioritizes the inputs into three broad levels as follows:</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based on our own assumptions used to measure assets and liabilities at fair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and nonrecurring basis in our Condensed Consolidated Balance Sheet as of June 30, 2014 and December 31, 2013: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2014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2013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Business dispositions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have recorded charges of approximately $85 million, including a $60 million charge during the six months ended June 30, 2014, to adjust the fair value of a Pratt &amp; Whitney joint venture investment. During the six months ended June 30, 2014, we also recorded a charge of approximately $28 million to adjust the fair value of a Sikorsky joint venture investment.</w:t>
      </w:r>
    </w:p>
    <w:p>
      <w:pPr>
        <w:spacing w:after="0" w:line="181"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During the six months ended June 30, 2013, we recorded an approximately $38 million net gain from UTC Climate, Controls &amp; Security's ongoing portfolio transformation, primarily due to a gain on the sale of a business in Hong Kong. In addition, during that six-month period we recorded a gain of approximately $193 million from the sale of the Pratt &amp; Whitney Power Systems business.</w:t>
      </w:r>
    </w:p>
    <w:p>
      <w:pPr>
        <w:spacing w:after="0" w:line="177"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June 30, 2014, there were no significant transfers in and out of Level 1 and Level 2.</w:t>
      </w:r>
    </w:p>
    <w:p>
      <w:pPr>
        <w:spacing w:after="0" w:line="15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June 30, 2014,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2014 and December 31,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3"/>
                <w:szCs w:val="13"/>
                <w:color w:val="auto"/>
              </w:rPr>
            </w:pPr>
          </w:p>
        </w:tc>
        <w:tc>
          <w:tcPr>
            <w:tcW w:w="12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June 30, 2014: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had commercial aerospace financing and other contractual commitments totaling approximately $11.4 billion and $11.3 billion as of June 30, 2014 and December 31, 2013,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these commitments is not readily determinable.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121"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40" w:firstLine="567"/>
        <w:spacing w:after="0" w:line="302"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business-related long-term receivables as of June 30, 2014 and December 31,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4"/>
                <w:szCs w:val="14"/>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7% and 9% of the total long-term receivables reflected in the table above were considered to bear high credit risk as of June 30, 2014 and December 31, 2013, respectively.</w:t>
      </w:r>
    </w:p>
    <w:p>
      <w:pPr>
        <w:spacing w:after="0" w:line="188"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 reserves of $16 million and $49 million as of June 30, 2014 and December 31, 2013, respectively, are individually evaluated for impairment. At both June 30, 2014 and December 31, 2013, we did not have any significant balances that are considered to be delinquent, on non-accrual status, past due 90 days or more, or considered to be impaired.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six months ended June 30, 2014 and 2013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9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2"/>
              </w:rPr>
              <w:t>Purchase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Sale of subsidiary shares in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in subsidiaries'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in total 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reclassification to</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26,987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2"/>
              </w:rPr>
              <w:t>Purchase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Sale of subsidiary shares in noncontrolling interest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Redeemable noncontrolling interest in subsidiaries'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in total 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Redeemable noncontrolling interest reclassification to</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3"/>
          </w:tcPr>
          <w:p>
            <w:pPr>
              <w:ind w:left="34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26,987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the changes in each component of accumulated other comprehensive income (loss), net of tax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is provided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March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June 30, 2013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related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and six months ended June 30, 2014 and 2013 is provided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translation,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Dividends attributable to noncontrolling interest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Disposition of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0" w:type="dxa"/>
            <w:vAlign w:val="bottom"/>
          </w:tcPr>
          <w:p>
            <w:pPr>
              <w:spacing w:after="0"/>
              <w:rPr>
                <w:sz w:val="19"/>
                <w:szCs w:val="19"/>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w w:val="97"/>
              </w:rPr>
              <w:t>Redeemable noncontrolling interest reclassification to noncontrolling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pro-forma effect on Net income attributable to common shareowners had they been recorded through net income for the quarters and six months ended June 30, 2014 and 2013 is provided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24"/>
                <w:szCs w:val="24"/>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Transfers to noncontrolling interests: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Increase in common stock for sale of subsidiary shares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Decrease in common stock for purchase of subsidiary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 after transfers to</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extend a variety of financial, market value and product performance guarantees to third parties. Following the sale of substantially all of Rocketdyne on June 14, 2013, certain guarantees of Rocketdyne's performance under then existing contracts remained in place, which resulted in an increase in our performance guarantees of approximately $90 million, with no associated significant carrying amount of a liability, as of June 30, 2014. There have been no other material changes to guarantees outstanding since December 31, 2013.</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2014 and 2013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2013 Annual Report, incorporated by reference in our 2013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2013 Annual Report, we have accrued for the costs of environmental remediation activities and periodically reassess these amounts. We believe that the likelihood of incurring losses materially in excess of amounts accrued is remote. Additional information pertaining to environmental matters is included in Note 1 to the Consolidated Financial Statements in our 2013 Annual Report.</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60" w:firstLine="540"/>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F100 Engine Litigation</w:t>
      </w:r>
    </w:p>
    <w:p>
      <w:pPr>
        <w:spacing w:after="0" w:line="22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previously disclosed, the United States government sued us in 1999 in the United States District Court for the Southern District of Ohio,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approximately $7 million, or $10,000 for each of the 709 invoices Pratt &amp; Whitney submitted in 1989 and later under the contracts. In September 2008, both the government and UTC appealed the decision to the United States Court of Appeals for the Sixth Circuit. On November 18, 2010, the Sixth Circuit affirmed Pratt &amp; Whitney's liability under the False Claims Act, but remanded the case to the trial court for further proceedings on the issues of False Claims Act damages and common law liability and damages.</w:t>
      </w:r>
    </w:p>
    <w:p>
      <w:pPr>
        <w:spacing w:after="0" w:line="18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is entitled to seek damages for events occurring before March 3, 1989, which are not recoverable under the False Claims Act.</w:t>
      </w:r>
    </w:p>
    <w:p>
      <w:pPr>
        <w:spacing w:after="0" w:line="1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of damages: (1) common law damages of approximately $109 million; (2) prejudgment interest on common law damages of approximately $191 million; (3) False Claims Act treble damages of approximately $357 million; and (4) penalties of approximately $7 million. The penalty component of the judgment previously was affirmed by the United States Court of Appeals in 2010.</w:t>
      </w:r>
    </w:p>
    <w:p>
      <w:pPr>
        <w:spacing w:after="0" w:line="18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strongly disagree with the trial court's analysis and conclusions. We filed an appeal from the judgment to the United States Court of Appeals for the Sixth Circuit on August 26, 2013. Based on our analysis, we continue to believe that there is no basis for any common law liability for the inaccurate statements. We also believe that the government suffered no actual damages as a result of the inaccurate statements made in 1983 and, therefore, there is no basis in fact or law for the award of common law damages, prejudgment interest or False Claims Act treble damages. If, contrary to our expectations, all or any portion of the judgment should ultimately be affirmed, we estimate a range of reasonably possible loss from approximately $24 million to $657 million in excess of amounts previously accrued, plus postjudgment interest. The outcome of this matter could result in a material adverse effect on our results of operations in the period in which a liability would be recognized and cash flows for the period in which damages would be paid.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$98 million (including interest through June 30, 2014).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The DOD has appealed this decision.</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By letter dated December 24, 2013, a Divisional Administrative Contracting Officer of the United States Defense Contract Management Agency asserted a claim and demand for payment of $210,968,414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We believe this claim is without merit. On March 18, 2014, Pratt &amp; Whitney filed an appeal to the Armed Services Board of Contract Appeals.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2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previously disclosed, UTC has been involved in administrative review proceedings and tax litigation with the German Tax Office, which concern €203 million (approximately $277 million) of tax benefits that we have claimed related to a 1998 reorganization of the corporate structure of Otis operations in Germany. Upon audit, these tax benefits were disallowed by the German Tax Office. On August 3, 2012, we filed suit in the local German Tax Court (Berlin-Brandenburg). In 2008 the German Federal Tax Court (FTC) denied benefits to another taxpayer in a case involving a German tax law relevant to our reorganization. The determination of the FTC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FTC for further consideration of certain related issues. In May 2010, the FTC released its decision, in which it resolved certain tax issues that may be relevant to our suit and remanded the case to a lower court for further development. In 2012, the lower court decided in favor of the other taxpayer and the government appealed the findings to the FTC. On July 2, 2014, the FTC conducted a hearing in the aforementioned case involving the other taxpayer and a decision is expected later this year. After consideration of the ECJ decision, the May 2010 FTC decision and the lower court decision, we believe that it is more likely than not that the relevant German tax law is violative of EU principles and we have not accrued for this matter. We intend to litigate vigorously the matter to conclusion.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described in Note 16 to the Consolidated Financial Statements in our 2013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8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9"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June 30, 2014 and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Operating Profits</w:t>
            </w:r>
          </w:p>
        </w:tc>
        <w:tc>
          <w:tcPr>
            <w:tcW w:w="26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Results for the six months ended June 30, 2014 and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Operating Profits</w:t>
            </w:r>
          </w:p>
        </w:tc>
        <w:tc>
          <w:tcPr>
            <w:tcW w:w="26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31,936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23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During the quarter ended June 30, 2014, Sikorsky and the Canadian Government signed amendments to their existing contracts for development, production and support of the CH-148 helicopter. These amendments include significant changes in program scope, governance and delivery methodology. Accordingly, in the quarter ended June 30, 2014, we recognized a change in estimate on this program resulting in the recognition of approximately $830 million of sales and $1,268 million of cost of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Accounting Pronouncements</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April 2014, the FASB issued Accounting Standards Update (ASU) No. 2014-08, "Reporting Discontinued Operations and Disclosures of Disposals of Components of an Entity." This ASU relates to discontinued operations reporting for disposals of components of an entity that represent strategic shifts that have, or will have, a major effect on an entity's operations and financial results. The standard expands the disclosures for discontinued operations and requires new disclosures related to individually material disposals that do not meet the definition of a discontinued operation. The provisions of this ASU are effective for interim and annual periods beginning after December 15, 2014. This ASU is not expected to have an impact on our financial statements or disclosures.</w:t>
      </w:r>
    </w:p>
    <w:p>
      <w:pPr>
        <w:spacing w:after="0" w:line="15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May 2014, the FASB issued ASU No. 2014-09, "Revenue from Contracts with Customers" (Topic 606). This ASU is intended to clarify the principles for recognizing revenue by removing inconsistencies and weaknesses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The provisions of this ASU are effective for interim and annual periods beginning after December 15, 2016. We are currently evaluating the impact of this ASU.</w:t>
      </w:r>
    </w:p>
    <w:p>
      <w:pPr>
        <w:spacing w:after="0" w:line="17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In June 2014, the FASB issued ASU No. 2014-11, "Repurchase-to-Maturity Transactions, Repurchase Financings and Disclosures." This ASU aligns the accounting for repurchase-to-maturity transactions and repurchase financing arrangements with the accounting for other typical repurchase agreements. Under this ASU, these transactions will be accounted for as secured borrowings. The provisions of this ASU are effective for interim and annual periods beginning after December 15, 2014. This ASU is not expected to have a significant impact on our financial statements or disclosures.</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June 2014, the FASB issued ASU No. 2014-12, "Accounting for Share-Based Payments When the Terms of an Award Provide That a Performance Target Could Be Achieved after the Requisite Service Period." This ASU requires a reporting entity to treat a performance target that affects vesting and that could be achieved after the requisite service period as a performance condition, and apply existing guidance under the Stock Compensation Topic of the ASC as it relates to awards with performance conditions that affect vesting to account for such awards. The provisions of this ASU are effective for interim and annual periods beginning after December 15, 2015. We are currently evaluating the impact of this ASU.</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2014 and 2013, PricewaterhouseCoopers LLP (PricewaterhouseCoopers) reported that it has applied limited procedures in accordance with professional standards for a review of such information. However, its report dated July 25, 2014,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reviewed the accompanying condensed consolidated balance sheet of United Technologies Corporation and its subsidiaries as of June 30, 2014 and the related condensed consolidated statements of operations and condensed consolidated statements of comprehensive income for the three-month and six-month periods ended June 30, 2014 and 2013 and the condensed consolidated statement of cash flows for the six-month periods ended June 30, 2014 and 2013. This interim financial information is the responsibility of the Corporation's management.</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previously audited, in accordance with the standards of the Public Company Accounting Oversight Board (United States), the consolidated balance sheet as of December 31, 2013, and the related consolidated statements of operations, of comprehensive income, of cash flows, and of changes in equity for the year then ended (not presented herein), and in our report dated February 6, 2014, we expressed an unqualified opinion on those consolidated financial statements. In our opinion, the information set forth in the accompanying condensed consolidated balance sheet as of December 31, 2013,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 On September 23, 2013, we announced the formation of UTC Building and Industrial Systems, a new organizational structure consisting of Otis and UTC Climate, Controls &amp; Security. This new organizational structure is expected to enhance our ability to deliver more integrated solutions to our customers and accelerate innovation in smart building technologies and sustainable designs. Otis and UTC Climate, Controls &amp; Security each continue to report their financial and operational results as separate segments, which is consistent with how we allocate resources and measure the financial performance of these businesses.</w:t>
      </w:r>
    </w:p>
    <w:p>
      <w:pPr>
        <w:spacing w:after="0" w:line="1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The current status of significant factors affecting our business environment in 2014 is discussed below. For additional discussion, refer to the "Business Overview" section in Management's Discussion and Analysis of Financial Condition and Results of Operations in our 2013 Annual Report, which is incorporated by reference in our 2013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Growth in emerging markets continues to be led by China, where our sales for the quarter ended June 30, 2014 grew 11% over the same quarter of the prior year. Growth in China, along with U.S. economic expansion, is expected to drive global growth throughout 2014. Consumer confidence in the U.S. reached a six-year high in June 2014, while consumer confidence and commercial construction in the U.S. remain strong. During the first six months of 2014, organic sales in Europe grew 3%. Despite elevated political tensions in Eastern Europe and the Middle East, Europe continues a slow economic recovery which we expect will accelerate modestly in the second half of the year.</w:t>
      </w:r>
    </w:p>
    <w:p>
      <w:pPr>
        <w:spacing w:after="0" w:line="188"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U.S. Government deficit reduction measures continue to pressure U.S. Department of Defense spending and adversely affect our military businesses. Total sales to the U.S. Government were $2.2 billion and $2.4 billion, or 13% and 15% of total UTC sales in the quarters ended June 30, 2014 and 2013,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Disposition Activity</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previously disclosed, we disposed of a number of businesses in 2013. On February 12, 2013, we completed the disposition of UTC Power to ClearEdge Power, and on June 14, 2013, we completed the sale of substantially all operations of Pratt &amp; Whitney Rocketdyne (Rocketdyne) to GenCorp Inc. The results from these businesses were reclassified to Discontinued Operations in our Condensed Consolidated Statements of Operations and Cash Flows. On May 17, 2013, we completed the sale of the Pratt &amp; Whitney Power Systems business to Mitsubishi Heavy Industries (MHI) and entered into a long-term engineering and manufacturing agreement with MHI. Pratt &amp; Whitney Power Systems was not reclassified to Discontinued Operations due to our level of continuing involvement in the business post-sale.</w:t>
      </w:r>
    </w:p>
    <w:p>
      <w:pPr>
        <w:spacing w:after="0" w:line="19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In connection with regulatory approval of the Goodrich acquisition, regulatory authorities required UTC to dispose of the Goodrich electric power systems and the pumps and engine controls businesses. Pursuant to these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S.A. Combined proceeds from the sales of the two businesses were approximately $600 million.</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six months ended June 30, 2014, our cash investment in business acquisitions was approximately $84 million and consisted of a number of small acquisitions primarily in our commercial businesses. We expect cash investment in businesses to be less than $1 billion in 2014. However, actual acquisition spending may vary depending upon the timing, availability and value of acquisition opportunities.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Commercial airline financial distress and consolidation, global economic and political conditions, changes in raw material and commodity prices, interest rates, foreign currency exchange rates, energy costs, and the impact from natural disasters and weather conditions create uncertainties that could impact our earnings outlook for the remainder of 2014. See Part I, Item 1A, "Risk Factors" in our 2013 Form 10-K for further discussion.</w:t>
      </w:r>
    </w:p>
    <w:p>
      <w:pPr>
        <w:spacing w:after="0" w:line="3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As previously reported, Sikorsky is developing the CH-148 derivative of the H-92 helicopter (the "Cyclone"), a military variant of the S-92 helicopter, for the Canadian Government. The Cyclone is being developed under a fixed-price acquisition contract (the "Acquisition Contract") that provides for a program to develop and produce 28 helicopters, and a related contract to provide in-service support (collectively, the "Arrangements"). Delivery of the final configuration aircraft, which was scheduled to begin in 2012, has not occurred due to a number of disputes between the Canadian Government and Sikorsky related to contractual requirements and contract performance.</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June 18, 2014, Sikorsky and the Canadian Government signed amendments to the Arrangements (the "Amended Arrangements"). The Amended Arrangements finalize the scope of the aircraft, change the governance of the program, and establish a phased approach to the delivery of interim and final configuration helicopters starting in 2015. The Amended Arrangements also extend the in-service support contract through approximately 2038. The contract value of the Amended Arrangements is estimated to be approximately $6.4 billion.</w:t>
      </w:r>
    </w:p>
    <w:p>
      <w:pPr>
        <w:spacing w:after="0" w:line="18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Prior to the amendments, sales and losses under the Acquisition Contract were recognized using an output-based method, consistent with the practices and policies the Company applies to other comparable production contracts. In light of the significant changes in program scope, governance and delivery, we have re-assessed the method we utilize in estimating the extent of progress under the Acquisition Contract. The Acquisition Contract, as amended, now reflects the significant developmental nature of the contract that has evolved over time. Under the Company's practices and policies, contracts that are comparable to the Amended Arrangements are accounted for utilizing a cost-to-cost percentage of completion method, as this best reflects the efforts expended and more appropriately aligns the sales and loss recognition with these efforts. Employing the cost-to-cost percentage of completion method, we recorded a cumulative adjustment to reflect the percentage of completion under the Amended Arrangements in the second quarter of 2014 as a change in estimate. This adjustment along with changes in the in-service support contract have resulted in the recognition in the second quarter of 2014 of $830 million in sales and $438 million in losses. Remaining losses under the Amended Arrangements of approximately $300 million will be recognized as the costs are incurred. These losses will be partially offset by the in-service support aftermarket contract with the expectation of generating positive annual margin beginning in 2018.</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2013 Annual Report, incorporated by reference in our 2013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2014.</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17,191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16,006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31,936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30,405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six months ended June 30, 2014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4"/>
                <w:szCs w:val="14"/>
                <w:b w:val="1"/>
                <w:bCs w:val="1"/>
                <w:color w:val="auto"/>
              </w:rPr>
              <w:t>Quarter Ended June 30,</w:t>
            </w:r>
          </w:p>
        </w:tc>
        <w:tc>
          <w:tcPr>
            <w:tcW w:w="1700" w:type="dxa"/>
            <w:vAlign w:val="bottom"/>
          </w:tcPr>
          <w:p>
            <w:pPr>
              <w:jc w:val="right"/>
              <w:ind w:right="19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2014</w:t>
            </w:r>
          </w:p>
        </w:tc>
        <w:tc>
          <w:tcPr>
            <w:tcW w:w="13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4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5 %</w:t>
            </w:r>
          </w:p>
        </w:tc>
        <w:tc>
          <w:tcPr>
            <w:tcW w:w="1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6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3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6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quarter ended June 30, 2014, organic sales growth at UTC Aerospace Systems (9%) and Otis (7%), was partially offset by organic sales contraction at UTC Climate, Controls, &amp; Security (1%) and Sikorsky (1%). Organic sales growth at UTC Aerospace Systems was driven by higher commercial aerospace OEM and aftermarket sales volumes, while organic growth at Otis was primarily due to higher new equipment sales volume in the U.S. and China.</w:t>
      </w:r>
    </w:p>
    <w:p>
      <w:pPr>
        <w:spacing w:after="0" w:line="18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During the six months ended June 30, 2014, all five business segments experienced organic sales growth, led by UTC Aerospace Systems (7%), Otis (6%), and Sikorsky (4%). Organic sales growth at UTC Aerospace Systems was driven by higher commercial aerospace OEM and aftermarket sales volumes. Organic growth at Otis was primarily due to higher new equipment sales volume in the U.S. and China, while organic growth at Sikorsky was led by higher international military and commercial aircraft sales volumes. Organic sales growth was also driven by Pratt &amp; Whitney (2%) and UTC Climate, Controls &amp; Security (1%). See the Segment Review section of Management's Discussion and Analysis for further discussion of segment performance.</w:t>
      </w:r>
    </w:p>
    <w:p>
      <w:pPr>
        <w:spacing w:after="0" w:line="158"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The sales decrease from net acquisitions and divestitures for the quarter and six months ended June 30, 2014 was primarily a result of the disposition of the Pratt &amp; Whitney Power Systems business and portfolio transformation initiatives at UTC Climate, Controls &amp; Security in 2013. The increase in "Other" in the quarter and six months ended June 30, 2014 is attributable to the cumulative adjustment to record sales of $830 million based upon the change in estimate arising out of the Amended Arrangements signed with the Canadian Government for the Cyclone helicopter program.</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580"/>
              <w:spacing w:after="0"/>
              <w:rPr>
                <w:sz w:val="20"/>
                <w:szCs w:val="20"/>
                <w:color w:val="auto"/>
              </w:rPr>
            </w:pPr>
            <w:r>
              <w:rPr>
                <w:rFonts w:ascii="Arial" w:cs="Arial" w:eastAsia="Arial" w:hAnsi="Arial"/>
                <w:sz w:val="14"/>
                <w:szCs w:val="14"/>
                <w:b w:val="1"/>
                <w:bCs w:val="1"/>
                <w:color w:val="auto"/>
              </w:rPr>
              <w:t>Quarter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18,263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16,560</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5,457</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23,621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22,017</w:t>
            </w: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six months ended June 30, 2014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4"/>
                <w:szCs w:val="14"/>
                <w:b w:val="1"/>
                <w:bCs w:val="1"/>
                <w:color w:val="auto"/>
              </w:rPr>
              <w:t>Quarter Ended June 30,</w:t>
            </w:r>
          </w:p>
        </w:tc>
        <w:tc>
          <w:tcPr>
            <w:tcW w:w="1700" w:type="dxa"/>
            <w:vAlign w:val="bottom"/>
          </w:tcPr>
          <w:p>
            <w:pPr>
              <w:jc w:val="right"/>
              <w:ind w:right="19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3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4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304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57"/>
        </w:trPr>
        <w:tc>
          <w:tcPr>
            <w:tcW w:w="66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34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6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organic increase in total cost of products and services sold in the quarter and six months ended June 30, 2014 was driven by the organic sales increase noted above, partially offset by the benefits of previous restructuring actions and lower commodity costs, particularly within UTC Climate, Controls &amp; Security.</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decrease in "Acquisitions and divestitures, net" in the quarter and six months ended June 30, 2014 is attributable to the disposition of the Pratt &amp; Whitney Power Systems business and portfolio transformation initiatives at UTC Climate, Controls &amp; Security in 2013. The increase in "Other" in the quarter and six months ended June 30, 2014 is attributable to the cumulative adjustment to record costs of $1,268 million based upon the change in estimate arising out of the Amended Arrangements signed with the Canadian Government for the Cyclone helicopter program.</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8,388</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12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300 basis point decline in gross margin as a percentage of sales for the quarter ended June 30, 2014 is primarily due to the cumulative adjustment to record $830 million in sales and $1,268 million in cost of sales based upon the change in estimate arising out of the Amended Arrangements signed with the Canadian Government for the Cyclone helicopter program (390 basis points). This was partially offset by lower restructuring costs (40 basis points) and the benefits of previous restructuring actions and lower commodity costs and productivity gains at UTC Climate, Controls &amp; Security (30 basis points).</w:t>
      </w:r>
    </w:p>
    <w:p>
      <w:pPr>
        <w:spacing w:after="0" w:line="15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160 basis point decline in gross margin as a percentage of sales for the six months ended June 30, 2014 is primarily due to the previously noted cumulative adjustment to record $830 million in sales and $1,268 million in cost of sales on the Cyclone helicopter program (210 basis points). This was partially offset by the benefits of previous restructuring actions and lower commodity costs and productivity gains at UTC Climate, Controls &amp; Security (30 basis points).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1,290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1,241</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1,164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1,093</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(6%) for the quarter ended June 30, 2014 is primarily related to higher research and development within the UTC Aerospace Systems segment related to several commercial aerospace programs. Customer-funded research and development increased (17%) primarily due to higher customer-funded spending at Pratt &amp; Whitney on military (11%) and commercial (6%) programs.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year-over-year increase in company-funded research and development (4%) for the six months ended June 30, 2014 is primarily related to higher research and development within the UTC Aerospace Systems segment related to several commercial aerospace programs. Customer-funded research and development increased (6%) primarily due to higher customer-funded spending at Pratt &amp; Whitney on military (8%) and commercial (6%) programs, partially offset by lower customer-funded spending at UTC Aerospace Systems, primarily on U.S. military and space programs (3%) and within U.S. Government programs at Sikorsky (5%).</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company-funded research and development for the full year 2014 to remain consistent with 2013 levels.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3,364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Selling, general and administrative expenses declined 7% in the quarter ended June 30, 2014 due to lower restructuring costs (5%) and lower divestiture costs (1%). The benefit from savings from previous restructuring actions was partially offset by an increase in overhead expenses at Otis due primarily to continued investment in emerging markets. The 150 basis point year-over-year decrease as a percentage of sales reflects higher sales volume, lower restructuring costs and benefits from previous restructuring actions.</w:t>
      </w:r>
    </w:p>
    <w:p>
      <w:pPr>
        <w:spacing w:after="0" w:line="187"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Selling, general and administrative expenses declined 4% in the six months ended June 30, 2014 due to lower restructuring costs (2%) and lower divestiture costs (1%). The benefit from savings from previous restructuring actions was partially offset by higher overhead expenses at Otis.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730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Other income, net includes equity earnings in unconsolidated entities, royalty income, foreign exchange gains and losses as well as other ongoing and non-recurring items. The year-over-year decrease in other income, net in the quarter ended June 30, 2014 (9%) is a result of a charge to adjust the fair value of a Pratt &amp; Whitney joint venture (14%), an impairment loss on a Sikorsky joint venture investment (6%) and the absence of a gain on the sale of Pratt &amp; Whitney Power Systems (46%) recognized in the second quarter of 2013. These factors were partially offset by a gain on an agreement with a state taxing authority for the monetization of tax credits (53%), a gain on the sale of a Pratt &amp; Whitney product line (4%), and by normal recurring operational activity.</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year-over-year decrease in other income, net in the six months ended June 30, 2014 (11%) is a result of a charge to adjust the fair value of a Pratt &amp; Whitney joint venture (8%); an impairment loss on a Sikorsky joint venture investment (4%); and the absence of: the gain on the sale of Pratt &amp; Whitney Power Systems (26%) recognized in the second quarter of 2013, a gain on a settlement with an engine program partner (5%) recognized in the first quarter of 2013, and net gains related to the UTC Climate, Controls &amp; Security portfolio transformation (5%). These factors were partially offset by a gain on an agreement with a state taxing authority for the monetization of tax credits (30%), higher licensing income (5%), a gain on the sale of a Pratt &amp; Whitney product line (2%), and other normal recurring operational activity.</w:t>
      </w:r>
    </w:p>
    <w:p>
      <w:pPr>
        <w:spacing w:after="0" w:line="301"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5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527</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453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55"/>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decrease in interest expense in the quarter and six months ended June 30, 2014 is a result of lower average debt balances as a result of debt repayments made since June 30, 2013. The decrease in interest income in the quarter and six months ended June 30, 2014 reflects the absence of $36 million of favorable pre-tax interest adjustments related to settlements of the company's tax years prior to 2006 as well as the conclusion of certain IRS examinations of the 2009 and 2010 tax years that were recorded during the second quarter of 2013, which were partially offset by $21 million of favorable pre-tax interest adjustments, primarily related to the conclusion of the IRS's examination of the Company's 2009 and 2010 tax years recorded during the quarter ended June 30, 2014.</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r>
      <w:tr>
        <w:trPr>
          <w:trHeight w:val="243"/>
        </w:trPr>
        <w:tc>
          <w:tcPr>
            <w:tcW w:w="6320" w:type="dxa"/>
            <w:vAlign w:val="bottom"/>
            <w:gridSpan w:val="2"/>
            <w:shd w:val="clear" w:color="auto" w:fill="CCEEFF"/>
          </w:tcPr>
          <w:p>
            <w:pPr>
              <w:jc w:val="right"/>
              <w:ind w:right="496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decrease in the effective tax rate for the quarter ended June 30, 2014, primarily reflects the favorable non-cash income tax impact of $253 million related to the conclusion of the IRS's examination of the Company's 2009 - 2010 tax years, as well as the conclusion of the State of Connecticut's examination of the Company's 2010 - 2012 tax years, both of which were recorded in the second quarter of 2014.</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decrease in the effective tax rate for the six months ended June 30, 2014 includes the items noted above, and is partially offset by the absence of the favorable tax impact of $95 million recorded in the first quarter of 2013, associated with the legislative corporate tax extenders enacted in January 2013, as part of the American Taxpayer Relief Act of 2012.</w:t>
      </w:r>
    </w:p>
    <w:p>
      <w:pPr>
        <w:spacing w:after="0" w:line="181"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We estimate our full year annual effective income tax rate in 2014 to be approximately 30%, absent one-time adjustments. We anticipate some variability in the tax rate for the remainder of 2014.</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Income from continuing operations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2,822</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 attributable to</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common shareowners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3.09</w:t>
            </w:r>
          </w:p>
        </w:tc>
      </w:tr>
    </w:tbl>
    <w:p>
      <w:pPr>
        <w:spacing w:after="0" w:line="12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Net income attributable to common shareowners from continuing operations for the quarter ended June 30, 2014 includes restructuring charges, net of tax benefit, of $38 million as well as a net benefit from non-recurring items, net of tax expense of $37 million. The effect on diluted earnings per share for the quarter ended June 30, 2014 of restructuring charges was $0.04 per share, offset by a net $0.04 benefit from non-recurring items. The impact of foreign currency translation and hedging generated a favorable effect of $0.03 per diluted share on our operational performance in the quarter ended June 30, 2014.</w:t>
      </w:r>
    </w:p>
    <w:p>
      <w:pPr>
        <w:spacing w:after="0" w:line="15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income attributable to common shareowners from continuing operations for the six months ended June 30, 2014 includes restructuring charges, net of tax benefit, of $121 million as well as a net benefit from non-recurring items, net of tax expense of $37 million. The effect on diluted earnings per share for the six months ended June 30, 2014 of restructuring charges was $0.13 per share, offset by a net $0.04 benefit from non-recurring items. The impact of foreign currency translation and hedging generated a favorable effect of $0.03 per diluted share on our operational performance in the six months ended June 30,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Restructuring actions are an essential component of our operating margin improvement efforts and relate to both existing operations and those recently acquired. We expect to incur restructuring costs in 2014 of approximately $375 million, including trailing costs related to prior actions associated with our continuing cost reduction efforts and the integration of acquisitions. The expected adverse impact on earnings in 2014 from anticipated additional restructuring costs is expected to be offset by the beneficial impact from gains and other items that are outside the normal operating activities of the Company. Although no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specific plans for significant other actions have been finalized at this time, we continue to closely monitor the economic environment and may undertake further restructuring actions to keep our cost structure aligned with the demands of the prevailing market conditions.</w:t>
      </w:r>
    </w:p>
    <w:p>
      <w:pPr>
        <w:spacing w:after="0" w:line="6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As described below, the charges incurred in the six months ended June 30, 2014 primarily relate to actions initiated during 2014 and 2013, while the charges incurred in the six months ended June 30, 2013 primarily relate to actions initiated during 2013 and 2012.</w:t>
      </w:r>
    </w:p>
    <w:p>
      <w:pPr>
        <w:spacing w:after="0" w:line="166"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2014 Actions. </w:t>
      </w:r>
      <w:r>
        <w:rPr>
          <w:rFonts w:ascii="Arial" w:cs="Arial" w:eastAsia="Arial" w:hAnsi="Arial"/>
          <w:sz w:val="18"/>
          <w:szCs w:val="18"/>
          <w:color w:val="auto"/>
        </w:rPr>
        <w:t>During the six months ended June 30, 2014, we recorded net pre-tax restructuring charges of $151 million relating to ongoing cost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2014. The charges include severance related to workforce reductions and asset write-downs and facility exit and lease termination costs related to the consolidation of field and manufacturing operations.</w:t>
      </w:r>
    </w:p>
    <w:p>
      <w:pPr>
        <w:spacing w:after="0" w:line="18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targeting the majority of the remaining workforce and facility related cost reduction actions for completion during 2014. Approximately 60% of the total pre-tax charge will require cash payments, which we have funded and expect to continue to fund with cash generated from operations. During the six months ended June 30, 2014, we had cash outflows of approximately $32 million related to the 2014 actions. We expect to incur additional restructuring and other charges of $88 million to complete these actions. We expect recurring pre-tax savings to increase over the two-year period subsequent to initiating the actions to approximately $180 million annually, of which, approximately $9 million was realized during the six months ended June 30, 2014.</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2013 Actions. </w:t>
      </w:r>
      <w:r>
        <w:rPr>
          <w:rFonts w:ascii="Arial" w:cs="Arial" w:eastAsia="Arial" w:hAnsi="Arial"/>
          <w:sz w:val="17"/>
          <w:szCs w:val="17"/>
          <w:color w:val="auto"/>
        </w:rPr>
        <w:t>During the quarters and six months ended June 30, 2014 and 2013, we recorded net pre-tax restructuring charges of $33 million and</w:t>
      </w:r>
    </w:p>
    <w:p>
      <w:pPr>
        <w:spacing w:after="0" w:line="39"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$202 million, respectively, for actions initiated in 2013. The 2013 actions relate to ongoing cost reduction efforts, including severance related to workforce reductions and asset write-downs and facility exit and lease termination costs related to the consolidation of field and manufacturing operations.</w:t>
      </w:r>
    </w:p>
    <w:p>
      <w:pPr>
        <w:spacing w:after="0" w:line="13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targeting to complete in 2014 the majority of the remaining workforce and all facility related cost reduction actions initiated in 2013. Approximately 80% of the total pre-tax charge will require cash payments, which we have and expect to continue to fund with cash generated from operations. During the six months ended June 30, 2014, we had cash outflows of approximately $87 million related to the 2013 actions. We expect to incur additional restructuring charges of $25 million to complete these actions. We expect recurring pre-tax savings to increase over the two-year period subsequent to initiating the actions to approximately $425 million annually, of which, approximately $189 million was realized during the six months ended June 30, 2014.</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2014 and 2013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Within the UTC Climate, Controls &amp; Security segment, North American residential heating, ventilation, and air conditioning (HVAC) orders declined 2% in the quarter ended June 30, 2014 after increasing 19% in the first quarter of 2014</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when distributors ordered ahead of the summer cooling season. Global commercial HVAC orders increased 3% with increases in Asia (4%), North America (3%) and Europe (2%). Within the Otis segment, new equipment orders increased 1% in the quarter ended June 30, 2014 with growth in North America (43%) and Europe (9%). New equipment orders in China were consistent with the prior year, after increasing 39% in the quarter ended June 30, 2013. Order growth rates in China are moderating to levels consistent with our expectations for the year.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June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3,138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4,543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2,102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3,206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1,036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1,337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386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585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650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752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six months ended June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5,952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8,380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3,974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5,960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1,978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2,420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753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1,148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1,225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1,272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 Margins</w:t>
            </w:r>
          </w:p>
        </w:tc>
        <w:tc>
          <w:tcPr>
            <w:tcW w:w="15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580" w:type="dxa"/>
            <w:vAlign w:val="bottom"/>
          </w:tcPr>
          <w:p>
            <w:pPr>
              <w:jc w:val="right"/>
              <w:ind w:right="318"/>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gridSpan w:val="3"/>
          </w:tcPr>
          <w:p>
            <w:pPr>
              <w:jc w:val="right"/>
              <w:ind w:right="488"/>
              <w:spacing w:after="0"/>
              <w:rPr>
                <w:sz w:val="20"/>
                <w:szCs w:val="20"/>
                <w:color w:val="auto"/>
              </w:rPr>
            </w:pPr>
            <w:r>
              <w:rPr>
                <w:rFonts w:ascii="Arial" w:cs="Arial" w:eastAsia="Arial" w:hAnsi="Arial"/>
                <w:sz w:val="18"/>
                <w:szCs w:val="18"/>
                <w:color w:val="auto"/>
              </w:rPr>
              <w:t>16.3%</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15.2%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tcPr>
          <w:p>
            <w:pPr>
              <w:spacing w:after="0"/>
              <w:rPr>
                <w:sz w:val="20"/>
                <w:szCs w:val="20"/>
                <w:color w:val="auto"/>
              </w:rPr>
            </w:pPr>
            <w:r>
              <w:rPr>
                <w:rFonts w:ascii="Arial" w:cs="Arial" w:eastAsia="Arial" w:hAnsi="Arial"/>
                <w:sz w:val="18"/>
                <w:szCs w:val="18"/>
                <w:b w:val="1"/>
                <w:bCs w:val="1"/>
                <w:color w:val="auto"/>
              </w:rPr>
              <w:t>Otis –</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Quarter Ended June 30, 2014 Compared with Quarter Ended June 30, 2013</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6"/>
          </w:tcPr>
          <w:p>
            <w:pPr>
              <w:jc w:val="center"/>
              <w:ind w:left="438"/>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4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Organic /</w:t>
            </w:r>
          </w:p>
        </w:tc>
        <w:tc>
          <w:tcPr>
            <w:tcW w:w="168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FX</w:t>
            </w:r>
          </w:p>
        </w:tc>
        <w:tc>
          <w:tcPr>
            <w:tcW w:w="124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4"/>
          </w:tcPr>
          <w:p>
            <w:pPr>
              <w:jc w:val="center"/>
              <w:ind w:right="50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7"/>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Organic sales increased in the quarter (7%) due to higher new equipment sales primarily in China (3%), the Americas (3%) and the Middle East (1%).</w:t>
      </w:r>
    </w:p>
    <w:p>
      <w:pPr>
        <w:spacing w:after="0" w:line="2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operational profit increase in the quarter (4%) was due to an increase in new equipment contribution (8%) partially offset by a decrease in service contribution (1%) due primarily to continued pricing pressures and higher overhead expenses (2%) due primarily to continued investment in emerging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center"/>
              <w:ind w:right="12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jc w:val="center"/>
              <w:ind w:left="750"/>
              <w:spacing w:after="0"/>
              <w:rPr>
                <w:sz w:val="20"/>
                <w:szCs w:val="20"/>
                <w:color w:val="auto"/>
              </w:rPr>
            </w:pPr>
            <w:r>
              <w:rPr>
                <w:rFonts w:ascii="Arial" w:cs="Arial" w:eastAsia="Arial" w:hAnsi="Arial"/>
                <w:sz w:val="18"/>
                <w:szCs w:val="18"/>
                <w:color w:val="auto"/>
                <w:w w:val="89"/>
              </w:rPr>
              <w:t>34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Organic sales increased (6%) due to higher new equipment sales primarily in China (2%), the Americas (2%) and the Middle East (1%).</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Operational profit increased (3%) due primarily to an increase in new equipment contribution (5%) partially offset by higher overhead expenses (2%) due primarily to continued investment in emerging markets, and continued pricing pressures.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2014 Compared with Quarter Ended June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2"/>
              </w:rPr>
              <w:t>Translation</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20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Organic sales decreased by 1% primarily driven by decreases in Americas and Asia (combined 1%) as a result of slower backlog conversion for commercial projects. The decrease in "Acquisitions and divestitures, net" (2%) reflects the year over year impact of divestitures completed in the preceding twelve months associated with UTC Climate, Controls &amp; Security's ongoing portfolio transformation.</w:t>
      </w:r>
    </w:p>
    <w:p>
      <w:pPr>
        <w:spacing w:after="0" w:line="181"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The 8% operational profit increase was driven largely by the benefits of restructuring actions and cost productivity (combined 5%), favorable commodity costs (2%) and higher equity income (2%) partially offset by the volume decreases noted above (1%).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6"/>
          </w:tcPr>
          <w:p>
            <w:pPr>
              <w:ind w:left="1180"/>
              <w:spacing w:after="0"/>
              <w:rPr>
                <w:sz w:val="20"/>
                <w:szCs w:val="20"/>
                <w:color w:val="auto"/>
              </w:rPr>
            </w:pPr>
            <w:r>
              <w:rPr>
                <w:rFonts w:ascii="Arial" w:cs="Arial" w:eastAsia="Arial" w:hAnsi="Arial"/>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FX</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Organic sales increased by 1% primarily reflecting growth in Americas (1%) driven by the U.S. residential HVAC business. The decrease in "Acquisitions and divestitures, net" (2%) reflects the year over year impact of divestitures completed in the preceding twelve months associated with UTC Climate, Controls &amp; Security's ongoing portfolio transformation.</w:t>
      </w:r>
    </w:p>
    <w:p>
      <w:pPr>
        <w:spacing w:after="0" w:line="18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11% operational profit increase was driven largely by the benefits of restructuring actions and cost productivity (combined 4%), positive net volume, mix and price (combined 3%), favorable commodity costs (2%) and higher equity income (2%). The 3% decrease in "Other" primarily reflects net year-over-year impact from UTC Climate, Controls &amp; Security's portfolio transformation.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Pratt &amp; Whitney also serves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8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Airline traffic, as measured by RPMs, grew over 6% in the first five months of 2014. We continue to benefit from a strong airline industry with airlines' profitability forecasted by third party analysts to be almost $18 billion in 2014. Commercial aerospace spares orders at UTC Aerospace Systems increased 28% in the second quarter of 2014 as compared to the same period of 2013 on higher provisioning orders. Spares orders within Pratt &amp; Whitney's large commercial engine business declined 6% in the second quarter of 2014 after increasing 18% in the second quarter of the prior year. Lower 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Government defense spending levels have constrained military sales growth, and we expect U.S. Government deficit reduction measures to continue to adversely affect our military aerospace businesses in 2014.</w:t>
      </w:r>
    </w:p>
    <w:p>
      <w:pPr>
        <w:spacing w:after="0" w:line="17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record changes in contract estimates using the cumulative catch-up method in accordance with the Revenue Recognition Topic of the FASB ASC. Partially offsetting the unfavorable impact of the revision in estimate on the Cyclone helicopter program discussed above in the Business Overview, operating profit included significant net favorable changes in aerospace contract estimates of $9 million and $64 million in the quarter and six months ended June 30, 2014, respectively. Favorable contract adjustments recorded at Pratt &amp; Whitney were offset by unfavorable adjustments at Sikorsky.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June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Pratt &amp; Whitney</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w w:val="90"/>
              </w:rPr>
              <w:t>UTC Aerospace Systems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2"/>
              </w:rPr>
              <w:t>Sikorsky</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29"/>
        </w:trPr>
        <w:tc>
          <w:tcPr>
            <w:tcW w:w="2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3,592</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3,624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1,566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2,717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2,798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1,274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w w:val="94"/>
              </w:rPr>
              <w:t>Operating Expenses &amp; Other</w:t>
            </w:r>
          </w:p>
        </w:tc>
        <w:tc>
          <w:tcPr>
            <w:tcW w:w="2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432</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230"/>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six months ended June 30, 2014 and 2013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Pratt &amp; Whitney</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0"/>
              </w:rPr>
              <w:t>UTC Aerospace Systems</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Sikorsky</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90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96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6,921</w:t>
            </w:r>
          </w:p>
        </w:tc>
        <w:tc>
          <w:tcPr>
            <w:tcW w:w="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7,026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7"/>
              </w:rPr>
              <w:t>6,584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3,745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2,815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5,263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16"/>
              <w:spacing w:after="0"/>
              <w:rPr>
                <w:sz w:val="20"/>
                <w:szCs w:val="20"/>
                <w:color w:val="auto"/>
              </w:rPr>
            </w:pPr>
            <w:r>
              <w:rPr>
                <w:rFonts w:ascii="Arial" w:cs="Arial" w:eastAsia="Arial" w:hAnsi="Arial"/>
                <w:sz w:val="18"/>
                <w:szCs w:val="18"/>
                <w:color w:val="auto"/>
                <w:w w:val="97"/>
              </w:rPr>
              <w:t>4,694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2,313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1,658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7"/>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w w:val="94"/>
              </w:rPr>
              <w:t>Operating Expenses &amp; Other</w:t>
            </w:r>
          </w:p>
        </w:tc>
        <w:tc>
          <w:tcPr>
            <w:tcW w:w="2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16"/>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820</w:t>
            </w: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Operating Profit Margins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17"/>
          </w:tcPr>
          <w:p>
            <w:pPr>
              <w:spacing w:after="0"/>
              <w:rPr>
                <w:sz w:val="20"/>
                <w:szCs w:val="20"/>
                <w:color w:val="auto"/>
              </w:rPr>
            </w:pPr>
            <w:r>
              <w:rPr>
                <w:rFonts w:ascii="Arial" w:cs="Arial" w:eastAsia="Arial" w:hAnsi="Arial"/>
                <w:sz w:val="18"/>
                <w:szCs w:val="18"/>
                <w:b w:val="1"/>
                <w:bCs w:val="1"/>
                <w:i w:val="1"/>
                <w:iCs w:val="1"/>
                <w:color w:val="auto"/>
                <w:w w:val="93"/>
              </w:rPr>
              <w:t>Quarter Ended June 30, 2014 Compared with Quarter Ended June 30, 2013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2"/>
          </w:tcPr>
          <w:p>
            <w:pPr>
              <w:jc w:val="center"/>
              <w:ind w:left="33"/>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w w:val="98"/>
              </w:rPr>
              <w:t>Organic /</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rPr>
              <w:t>FX</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3"/>
          </w:tcPr>
          <w:p>
            <w:pPr>
              <w:jc w:val="right"/>
              <w:ind w:right="1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Organic sales remain unchanged during the second quarter of 2014 as higher commercial aftermarket sales (6%) were offset by lower military business (4%) and commercial engine sales (2%). The decrease in "Acquisitions and divestitures, net" (1%) reflects the divestiture of Pratt &amp; Whitney Power Systems in the second quarter of 2013.</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Pratt &amp; Whitney's operating profit benefited from lower pension costs and restructuring savings across its businesses. The operating profit increase (2%) was due to the net volume increase (6%), mentioned above, and favorable contract performance (3%), partially offset by the absence of a benefit from a commercial contract closeout (7%) that was recorded in the second quarter of 2013. The decrease in "Acquisitions and divestitures, net" (1%) reflects the divestiture of Pratt &amp; Whitney Power Systems in the second quarter of 2013. "Other" reflects a loss to adjust the fair value of a joint venture investment (11%), the impairment of assets related to a joint venture (4%), and the absence of the gain on the sale of Pratt &amp; Whitney Power Systems (34%), partially offset by a gain on the sale of a product line (3%).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5"/>
          </w:tcPr>
          <w:p>
            <w:pPr>
              <w:jc w:val="center"/>
              <w:ind w:left="1159"/>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20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The organic sales increase (2%) primarily reflects higher commercial aftermarket sales (5%) offset by lower military sales (3%). The decrease in "Acquisitions and divestitures, net" (3%) reflects the divestiture of Pratt &amp; Whitney Power Systems in the second quarter of 2013.</w:t>
      </w:r>
    </w:p>
    <w:p>
      <w:pPr>
        <w:spacing w:after="0" w:line="14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Pratt &amp; Whitney's operating profit benefited from lower pension costs and restructuring savings across its businesses. The operating profit increase (3%) was due to the net volume increase (8%), mentioned above, and favorable contract performance (5%), partially offset by the absence of a settlement with an engine program partner (4%), and a commercial contract closeout (4%), each of which was recorded in the six months ended June 30, 2013, and a decline in contract termination benefits (2%). The decrease in "Acquisitions and divestitures, net" (2%) reflects the divestiture of Pratt &amp; Whitney Power Systems in the second quarter of 2013. "Other" reflects a loss to adjust the fair value of a joint venture investment (6%), the impairment of assets related to a joint venture (2%), and the absence of the gain on the sale of Pratt &amp; Whitney Power Systems (20%), partially offset by a gain on the sale of a product line (2%).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2014 Compared with Quarter Ended June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center"/>
              <w:ind w:right="13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146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60" w:type="dxa"/>
            <w:vAlign w:val="bottom"/>
            <w:gridSpan w:val="3"/>
          </w:tcPr>
          <w:p>
            <w:pPr>
              <w:jc w:val="right"/>
              <w:ind w:right="1468"/>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organic sales growth (9%) primarily reflects an increase in commercial aerospace OEM and commercial aftermarket sales volumes (7%) and the favorable sales impact of a customer contract settlement (2%), partially offset by lower military OEM and aftermarket volume (1%).</w:t>
      </w:r>
    </w:p>
    <w:p>
      <w:pPr>
        <w:spacing w:after="0" w:line="147"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increase in operational profit (13%) primarily reflects the profit contribution from the volume changes noted above (9%) and the favorable impact of a customer contract settlement (8%), partially offset by higher research and development costs (7%), and lower income from licensing agreements (5%). The remainder of the increase in operational profit is primarily due to lower selling, general and administrative expenses including lower pension expense.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center"/>
              <w:ind w:right="130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Translation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Divestitures, net</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organic sales growth (7%) primarily reflects an increase in commercial aerospace OEM and commercial aftermarket sales volumes (7%) and the favorable sales impact of a customer contract settlement (1%), partially offset by lower military OEM and aftermarket volume (1%).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increase in operational profit (15%) primarily reflects the profit contribution from the volume changes noted above (9%) and the favorable impact of a customer contract settlement (4%), partially offset by higher research and development costs (5%). The remainder of the increase in operational profit is primarily due to lower selling, general and administrative expenses including lower pension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2014 Compared with Quarter Ended June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6"/>
          </w:tcPr>
          <w:p>
            <w:pPr>
              <w:ind w:left="112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Organic /</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organic sales decrease (1%) reflects lower sales volume to the U.S. Government (9%), lower volume on customer funded development programs (2%) and lower military and commercial aftermarket sales (2%). These decreases were partially offset by an increase in both international military sales volume (11%) and commercial aircraft sales volume (2%). "Other" reflects a cumulative adjustment to record $830 million in sales and $1,268 million in cost of sales based upon the change in estimate for the Amended Arrangements signed with the Canadian Government for the Cyclone Helicopter program.</w:t>
      </w:r>
    </w:p>
    <w:p>
      <w:pPr>
        <w:spacing w:after="0" w:line="15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Sikorsky's operating profit benefited from lower pension costs and restructuring savings across its businesses. The operational profit decrease (10%) was driven by lower profitability from U.S. Government contracts (22%) due to unfavorable contract performance, lower profits from customer funded development programs (16%) and lower commercial aftermarket profitability (8%). These decreases were partially offset by higher international military profitability (16%), lower research and development expense (6%), and higher profitability in commercial aircraft (3%) and military aftermarket (12%). "Other" reflects a cumulative adjustment to record losses of $438 million based upon the change in estimate for the Amended Arrangements signed with the Canadian Government for the Cyclone Helicopter program and an approximately $28 million charge for the impairment of a Sikorsky joint venture investment.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rPr>
              <w:t>FX</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1"/>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organic sales increase (4%) reflects higher international sales volume (9%), higher commercial sales (3%), and higher military aftermarket sales (1%). These increases were offset partially by lower sales volume to the U.S. Government (6%) and lower volume on customer funded development programs (3%). "Other" reflects a cumulative adjustment to record $830 million in sales and $1,268 million in cost of sales based upon the change in estimate for the Amended Arrangements signed with the Canadian Government for the Cyclone Helicopter program.</w:t>
      </w:r>
    </w:p>
    <w:p>
      <w:pPr>
        <w:spacing w:after="0" w:line="17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Sikorsky's operating profit benefited from lower pension costs and restructuring savings across its businesses. The operational profit decrease (3%) was driven by lower profitability from U.S. Government contracts (15%), lower profits from customer funded development programs (15%) and lower commercial aftermarket profitability (7%). These decreases were partially offset by higher profitability of international military (10%) and military aftermarket (17%) and lower research and development costs (8%). "Other" reflects a cumulative adjustment to record $438 million in losses based upon the change in estimate for the Amended Arrangements signed with the Canadian Government for the Cyclone Helicopter program and an approximately $28 million charge for the impairment of a Sikorsky joint venture investment.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Net Sales</w:t>
            </w:r>
          </w:p>
        </w:tc>
        <w:tc>
          <w:tcPr>
            <w:tcW w:w="9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w w:val="94"/>
              </w:rPr>
              <w:t>Operating Profits</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200" w:type="dxa"/>
            <w:vAlign w:val="bottom"/>
            <w:gridSpan w:val="3"/>
          </w:tcPr>
          <w:p>
            <w:pPr>
              <w:ind w:left="820"/>
              <w:spacing w:after="0"/>
              <w:rPr>
                <w:sz w:val="20"/>
                <w:szCs w:val="20"/>
                <w:color w:val="auto"/>
              </w:rPr>
            </w:pPr>
            <w:r>
              <w:rPr>
                <w:rFonts w:ascii="Arial" w:cs="Arial" w:eastAsia="Arial" w:hAnsi="Arial"/>
                <w:sz w:val="14"/>
                <w:szCs w:val="14"/>
                <w:b w:val="1"/>
                <w:bCs w:val="1"/>
                <w:color w:val="auto"/>
              </w:rPr>
              <w:t>Quarter Ended June 30,</w:t>
            </w:r>
          </w:p>
        </w:tc>
        <w:tc>
          <w:tcPr>
            <w:tcW w:w="3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Quarter Ended June 30,</w:t>
            </w:r>
          </w:p>
        </w:tc>
        <w:tc>
          <w:tcPr>
            <w:tcW w:w="0" w:type="dxa"/>
            <w:vAlign w:val="bottom"/>
          </w:tcPr>
          <w:p>
            <w:pPr>
              <w:spacing w:after="0"/>
              <w:rPr>
                <w:sz w:val="1"/>
                <w:szCs w:val="1"/>
                <w:color w:val="auto"/>
              </w:rPr>
            </w:pPr>
          </w:p>
        </w:tc>
      </w:tr>
      <w:tr>
        <w:trPr>
          <w:trHeight w:val="80"/>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2"/>
              </w:rPr>
              <w:t>(Dollars in millions)</w:t>
            </w:r>
          </w:p>
        </w:tc>
        <w:tc>
          <w:tcPr>
            <w:tcW w:w="3900" w:type="dxa"/>
            <w:vAlign w:val="bottom"/>
            <w:vMerge w:val="restart"/>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22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1120" w:type="dxa"/>
            <w:vAlign w:val="bottom"/>
          </w:tcPr>
          <w:p>
            <w:pPr>
              <w:jc w:val="right"/>
              <w:ind w:right="148"/>
              <w:spacing w:after="0" w:line="129" w:lineRule="exact"/>
              <w:rPr>
                <w:sz w:val="20"/>
                <w:szCs w:val="20"/>
                <w:color w:val="auto"/>
              </w:rPr>
            </w:pPr>
            <w:r>
              <w:rPr>
                <w:rFonts w:ascii="Arial" w:cs="Arial" w:eastAsia="Arial" w:hAnsi="Arial"/>
                <w:sz w:val="14"/>
                <w:szCs w:val="14"/>
                <w:b w:val="1"/>
                <w:bCs w:val="1"/>
                <w:color w:val="auto"/>
              </w:rPr>
              <w:t>2014</w:t>
            </w:r>
          </w:p>
        </w:tc>
        <w:tc>
          <w:tcPr>
            <w:tcW w:w="1980" w:type="dxa"/>
            <w:vAlign w:val="bottom"/>
          </w:tcPr>
          <w:p>
            <w:pPr>
              <w:jc w:val="right"/>
              <w:ind w:right="528"/>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2120" w:type="dxa"/>
            <w:vAlign w:val="bottom"/>
          </w:tcPr>
          <w:p>
            <w:pPr>
              <w:jc w:val="right"/>
              <w:ind w:right="528"/>
              <w:spacing w:after="0" w:line="129"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Net Sales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7"/>
              </w:rPr>
              <w:t>Operating Profits</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CCEEFF"/>
            </w:tcBorders>
          </w:tcPr>
          <w:p>
            <w:pPr>
              <w:spacing w:after="0"/>
              <w:rPr>
                <w:sz w:val="8"/>
                <w:szCs w:val="8"/>
                <w:color w:val="auto"/>
              </w:rPr>
            </w:pPr>
          </w:p>
        </w:tc>
        <w:tc>
          <w:tcPr>
            <w:tcW w:w="1220" w:type="dxa"/>
            <w:vAlign w:val="bottom"/>
            <w:tcBorders>
              <w:top w:val="single" w:sz="8" w:color="auto"/>
              <w:bottom w:val="single" w:sz="8" w:color="CCEEFF"/>
            </w:tcBorders>
          </w:tcPr>
          <w:p>
            <w:pPr>
              <w:spacing w:after="0"/>
              <w:rPr>
                <w:sz w:val="8"/>
                <w:szCs w:val="8"/>
                <w:color w:val="auto"/>
              </w:rPr>
            </w:pPr>
          </w:p>
        </w:tc>
        <w:tc>
          <w:tcPr>
            <w:tcW w:w="39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changes in sales for the quarter and six months ended June 30, 2014, as compared with the same periods of 2013, reflect an increase in the amount of inter-segment sales eliminations. The year-over-year increases in operating profit for the quarter and six months ended June 30, 2014, as compared with the same periods of 2013, reflect lower divestiture costs in 2014 and an approximately $220 million gain on an agreement with a state taxing authority for the monetization tax credits.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2014</w:t>
            </w: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8"/>
        </w:trPr>
        <w:tc>
          <w:tcPr>
            <w:tcW w:w="65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20,072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20,241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21,656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16,747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35,193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33,219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28,369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53,460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50,025</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50,303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48,841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45,116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 we are targeting to be between 90% and 100% of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9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global economic outlook remains positive, with expected 2014 global GDP growth of approximately 2.5% to 3.0% led by the U.S. and China, with Europe, the United Kingdom and India strengthening, partially offset by some slowing in Japan, Brazil and Russia. In the U.S., consumer confidence and commercial construction have shown continued growth, while commercial construction in Europe has returned to modest growth and China has shown solid but slowing growth. Strengthening air traffic and airline profitability have offset continued weakness in defense spending. In light of these circumstances, we continue to assess our current business and closely monitor the impact on our customers and suppliers, and have determined that overall there was not a significant adverse impact on our financial position, results of operations or liquidity during the first six months of 2014.</w:t>
      </w:r>
    </w:p>
    <w:p>
      <w:pPr>
        <w:spacing w:after="0" w:line="16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domestic pension funds experienced a positive return on assets of 8.54% during the first six months of 2014. Approximately 89% of these domestic pension plans' funds are invested in readily-liquid investments, including equity, fixed income, asset-backed receivables and structured products. The balance of these domestic pension plans' funds (11%) is invested in less-liquid but market-valued investments, including real estate and private equity. Across our global pension plans, the absence of prior pension investment losses, impact of a higher discount rate, and the positive returns experienced during 2013 are expected to result in decreased pension expense in 2014 of approximately $500 million as compared to 2013.</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Our strong debt ratings and financial position have historically enabled us to issue long-term debt at favorable market rates. Our ability to obtain debt financing at comparable risk-based interest rates is partly a function of our existing debt-to-total-capitalization level as well as our credit standing.</w:t>
      </w:r>
    </w:p>
    <w:p>
      <w:pPr>
        <w:spacing w:after="0" w:line="124" w:lineRule="exact"/>
        <w:rPr>
          <w:sz w:val="20"/>
          <w:szCs w:val="20"/>
          <w:color w:val="auto"/>
        </w:rPr>
      </w:pPr>
    </w:p>
    <w:p>
      <w:pPr>
        <w:ind w:right="700" w:firstLine="405"/>
        <w:spacing w:after="0" w:line="342" w:lineRule="auto"/>
        <w:rPr>
          <w:sz w:val="20"/>
          <w:szCs w:val="20"/>
          <w:color w:val="auto"/>
        </w:rPr>
      </w:pPr>
      <w:r>
        <w:rPr>
          <w:rFonts w:ascii="Arial" w:cs="Arial" w:eastAsia="Arial" w:hAnsi="Arial"/>
          <w:sz w:val="16"/>
          <w:szCs w:val="16"/>
          <w:color w:val="auto"/>
        </w:rPr>
        <w:t>On April 1, 2014, we redeemed all remaining outstanding 2016 Goodrich 6.290% notes, representing approximately $188 million in aggregate principal, under our redemption notice issued on February 28, 2014. We expect full year 2014 debt repayments to be approximately $1 billion.</w:t>
      </w:r>
    </w:p>
    <w:p>
      <w:pPr>
        <w:spacing w:after="0" w:line="12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September 27, 2013, we redeemed all remaining outstanding 2021 Goodrich 3.600% notes, representing $294 million in aggregate principal, under our redemption notice issued on August 28, 2013. On August 23, 2013, we redeemed all remaining outstanding 2019 Goodrich 6.125% notes, representing $202 million in aggregate principal, under our redemption notice issued on July 24, 2013. On June 24, 2013 we redeemed all remaining outstanding 2015 UTC 1.200% Senior Notes, representing $327 million in aggregate principal, under our redemption notice issued on May 24, 2013. On May 7, 2013, we commenced cash tender offers for two series of outstanding notes issued by Goodrich and the 2015 UTC 1.200% Senior Notes. A total of $874 million principal amount of all notes subject to the tender offers, and $36 million of the fair value adjustment related to the notes assumed in the Goodrich acquisition, were repaid, including approximately $103 million principal amount of the 2016 Goodrich 6.290% notes, approximately $98 million principal amount of the 2019 Goodrich 6.125% notes, and approximately $674 million principal amount of the 2015 UTC 1.200% Senior Notes. Total payments under these tender offers were approximately $935 million including principal, premium and interest.</w:t>
      </w:r>
    </w:p>
    <w:p>
      <w:pPr>
        <w:spacing w:after="0" w:line="18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Tax payments related to discontinued operations, primarily the December 2012 sale of the legacy Hamilton Sundstrand Industrial businesses, were approximately $715 million for the six months ended June 30, 2013. We do not expect tax payments in 2014 related to these discontinued operations to be significant.</w:t>
      </w:r>
    </w:p>
    <w:p>
      <w:pPr>
        <w:spacing w:after="0" w:line="18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June 30, 2014, we had revolving credit agreements with various banks permitting aggregate borrowings of up to $4.35 billion pursuant to a $2.20 billion revolving credit agreement and a $2.15 billion multicurrency revolving credit agreement, both of which expire in May 2019. As of June 30, 2014, there were no borrowings under either of these revolving credit agreements. The undrawn portions of our revolving credit agreements are also available to serve as backup facilities for the issuance of commercial paper. As of June 30, 2014, our maximum commercial paper borrowing authority was $4 billion. We use our commercial paper borrowings for general corporate purposes, including the funding of acquisitions and repurchases of our common stock.</w:t>
      </w:r>
    </w:p>
    <w:p>
      <w:pPr>
        <w:spacing w:after="0" w:line="15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Given our extensive international operations, most of our cash is denominated in foreign currencies and held outside of the U.S.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our international subsidiaries. Our intention is to reinvest these earnings permanently or to repatriate the earnings only when it is tax effective to do so.</w:t>
      </w:r>
    </w:p>
    <w:p>
      <w:pPr>
        <w:spacing w:after="0" w:line="17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June 30, 2014 and December 31, 2013, the amount of such restricted cash was approximately $61 million and $47 million, respectively.</w:t>
      </w:r>
    </w:p>
    <w:p>
      <w:pPr>
        <w:spacing w:after="0" w:line="18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3,077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3,348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Cash generated from operating activities of continuing operations in the six months ended June 30, 2014 was $271 million lower than the same period in 2013, while income from continuing operations, adjusted for noncash charges, was $162</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million higher. During the six months ended June 30, 2014, the net increase in working capital resulted in a cash outflow of $999 million, an increase in cash outflow of $735 million over the six months ended June 30, 2013. The 2014 cash outflows for working capital were primarily driven by increases in inventory to support deliveries and other contractual commitments across the aerospace businesses, increases in accounts receivable within our commercial businesses attributable to seasonal maintenance billing cycles and higher new equipment volumes at Otis, and inventory and accounts receivable increases to support seasonal demand at UTC Climate, Controls &amp; Security. These working capital increases were partially offset by increases in accounts payable and accrued liabilities, primarily related to the increase in inventory and increases in customer advances, primarily at Otis, offset by net liquidation of advance service billings at Pratt &amp; Whitney.</w:t>
      </w:r>
    </w:p>
    <w:p>
      <w:pPr>
        <w:spacing w:after="0" w:line="18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six months ended June 30, 2014 and 2013 were $144 million and $51 million, respectively. We expect to make total cash contributions of approximately $275 million to our global defined benefit pension plans in 2014. Our domestic pension plans are approximately 96% funded on a projected benefit obligation basis as of June 30, 2014, and we are not required to make additional contributions through the end of 2016. Contributions to our global defined benefit pension plans in 2014 are expected to meet or exceed the current funding requirements.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investing activities of continuing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Cash flows used in investing activities of continuing operations for the six months ended June 30, 2014 primarily reflect capital expenditures of approximately $739 million and payments related to our collaboration intangible assets and contractual rights to provide product on new aircraft platforms of approximately $421 million. Cash flows provided by investing activities of continuing operations for the six months ended June 30, 2013 include net proceeds of approximately $1.3 billion from the disposition of certain businesses, including the sale of the legacy Goodrich pumps and engine controls business to Triumph Group, Inc. on March 18, 2013, the sale of the legacy Goodrich electric power systems business to Safran S.A. on March 26, 2013, and the sale of Pratt &amp; Whitney Power Systems to Mitsubishi Heavy Industries on May 17, 2013, partially offset by capital expenditures of approximately $660 million and payments related to our collaboration intangible assets and contractual rights to provide product on new aircraft platforms of approximately $410 million.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six months ended June 30, 2014, we increased our collaboration intangible assets by approximately $308 million, including net payments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$151 million made under our 2012 agreement to acquire Rolls-Royce's collaboration interest in IAE. Capital expenditures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2014 primarily relate to investments in new programs at Pratt &amp; Whitney and UTC Aerospace Systems, as well as continuing Goodrich integration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at UTC Aerospace Systems. Investments in businesses in the six months ended June 30, 2014 included a number of small acquisitions, primarily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commercial businesses. We expect total cash investments for acquisitions in 2014 to be less than $1 billion, including acquisitions completed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June 30, 2014. However, actual acquisition spending may vary depending upon the timing, availability and appropriate value of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opportunities.</w:t>
      </w:r>
    </w:p>
    <w:p>
      <w:pPr>
        <w:spacing w:after="0" w:line="2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Customer financing activities were a net source of cash of $73 million for the six months ended June 30, 2014 and a net use of cash of $27 million for the six months ended June 30, 2013. While we expect that 2014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$11.4 billion at June 30, 2014 related to commercial aircraft and certain contractual rights to provide product on new aircraft platforms, of which up to $0.7 billion may be required to be disbursed during the remainder of 2014. We had commercial aerospace financing and other contractual commitments of approximately $11.3 billion at December 31, 2013.</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8"/>
              </w:rPr>
              <w:t>Net cash flows used in financing activities of continuing operations</w:t>
            </w:r>
          </w:p>
        </w:tc>
        <w:tc>
          <w:tcPr>
            <w:tcW w:w="3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approximately $230 million of outstanding commercial paper at June 30, 2014.</w:t>
      </w:r>
    </w:p>
    <w:p>
      <w:pPr>
        <w:spacing w:after="0" w:line="18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At June 30, 2014, management had authority to repurchase approximately 45.5 million shares under the share repurchase program announced on February 4, 2013. Under this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During the six months ended June 30, 2014, we repurchased approximately 5.8 million shares of our common stock for approximately $670 million. We expect 2014 full year share repurchases to be approximately $1.25 billion. Our share repurchase levels are influenced by various factors, including the level of other investing activities.</w:t>
      </w:r>
    </w:p>
    <w:p>
      <w:pPr>
        <w:spacing w:after="0" w:line="16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We paid dividends on Common Stock of $0.59 per share in the first quarter of 2014 totaling $514 million in the aggregate and $0.59 per share in the second quarter of 2014 totaling $513 million in the aggregate. On June 11, 2014, the Board of Directors declared, effective as of July 7, 2014, a dividend of $0.59 per share payable September 10, 2014 to shareowners of record at the close of business on August 15, 2014.</w:t>
      </w:r>
    </w:p>
    <w:p>
      <w:pPr>
        <w:spacing w:after="0" w:line="166"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Cash flows used in discontinued operations for the six months ended June 30, 2013 primarily relate to the completed divestiture of the legacy Hamilton Sundstrand Industrial businesses in December 2012 and of Rocketdyne on June 14, 2013. In connection with the sale of the legacy Hamilton Sundstrand Industrial businesses, tax payments of approximately $715 million were made during the six months ended June 30, 2013. Net cash flows used in discontinued operations for the six months ended June 30, 2013 includes positive cash flows of approximately $400 million related to the sale of Rocketdyne, and cash flows from the operating activities of Rocketdyne and of UTC Power, through its date of disposition of February 12, 2013, as well as payments made in settlement of liabilities, transaction costs, and interim funding of UTC Power and of Clipper Windpower, which was divested in 2012. There were no discontinued operations in the six months ended June 30, 2014.</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our 2013 Annual Report, incorporated by reference in our 2013 Form 10-K, we disclosed our off-balance sheet arrangements and contractual obligations. As of June 30, 2014, there have been no material changes to these off-balance sheet arrangements and contractual obligations outside the ordinary course of business except as noted below.</w:t>
      </w:r>
    </w:p>
    <w:p>
      <w:pPr>
        <w:spacing w:after="0" w:line="181"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During the first quarter of 2014, Sikorsky signed agreements with the Turkish government and certain Turkish aerospace contractors to provide manufacturing kits and licenses that will allow Turkey's aerospace industry to assemble 109 T-70 helicopters (Turkish variants of Sikorsky's S-70i International Black Hawk helicopter) for sale to and operation by various Turkish government entities. Under the program, the aircraft will be assembled in Turkey by Turkish Aerospace Industries, Inc. (TAI) and will include kit components supplied by Sikorsky and other companies. Sikorsky has a purchase commitment of $1.4 billion, which is expected to be fulfilled by the purchase of various Black Hawk parts, components, and services by Sikorsky over a thirty-year period from TAI and other Turkish companies.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2014. For discussion of our exposure to market risk, refer to Part II, Item 7A, "Quantitative and Qualitative Disclosures About Market Risk," contained in our 2013 Form 10-K.</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&amp; Chief Executive Officer ("CEO"), the Senior Vice President and Chief Financial Officer ("CFO") and the Acting Controller and Assistant Controller, Financial Reporting ("Controller"), of the effectiveness of the design and operation of our disclosure controls and procedures as of June 30, 2014.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2014,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 months ended June 30, 2014, that has materially affected, or is reasonably likely to materially affect, our internal control over financial reporting.</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15" w:lineRule="exact"/>
        <w:rPr>
          <w:sz w:val="20"/>
          <w:szCs w:val="20"/>
          <w:color w:val="auto"/>
        </w:rPr>
      </w:pPr>
    </w:p>
    <w:p>
      <w:pPr>
        <w:ind w:left="740" w:right="120" w:hanging="327"/>
        <w:spacing w:after="0" w:line="30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00" w:lineRule="exact"/>
        <w:rPr>
          <w:rFonts w:ascii="Arial" w:cs="Arial" w:eastAsia="Arial" w:hAnsi="Arial"/>
          <w:sz w:val="16"/>
          <w:szCs w:val="16"/>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and Company directed cost reduction efforts and restructuring costs and savings and other consequences thereof;</w:t>
      </w:r>
    </w:p>
    <w:p>
      <w:pPr>
        <w:spacing w:after="0" w:line="171" w:lineRule="exact"/>
        <w:rPr>
          <w:rFonts w:ascii="Arial" w:cs="Arial" w:eastAsia="Arial" w:hAnsi="Arial"/>
          <w:sz w:val="18"/>
          <w:szCs w:val="18"/>
          <w:color w:val="auto"/>
        </w:rPr>
      </w:pPr>
    </w:p>
    <w:p>
      <w:pPr>
        <w:ind w:left="740" w:right="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16"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94" w:lineRule="exact"/>
        <w:rPr>
          <w:rFonts w:ascii="Arial" w:cs="Arial" w:eastAsia="Arial" w:hAnsi="Arial"/>
          <w:sz w:val="16"/>
          <w:szCs w:val="16"/>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171" w:lineRule="exact"/>
        <w:rPr>
          <w:rFonts w:ascii="Arial" w:cs="Arial" w:eastAsia="Arial" w:hAnsi="Arial"/>
          <w:sz w:val="18"/>
          <w:szCs w:val="18"/>
          <w:color w:val="auto"/>
        </w:rPr>
      </w:pPr>
    </w:p>
    <w:p>
      <w:pPr>
        <w:ind w:left="740" w:right="28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or political conditions in the U.S. and other countries in which we operate or with which we conduct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122" w:right="3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in this Form 10-Q and in our 2013 Annual Report. This Form 10-Q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2013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Violations</w:t>
      </w:r>
    </w:p>
    <w:p>
      <w:pPr>
        <w:spacing w:after="0" w:line="26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As previously disclosed, on June 28, 2012 the U.S. Attorney for the District of Connecticut filed a three-count criminal information alleging: (1) that in 2002-2003, UTC subsidiary Pratt &amp; Whitney Canada, Inc. ("P&amp;WC") caused Hamilton Sundstrand Corporation ("HSC") to export software modifications controlled under the Arms Export Control Act ("AECA") and International Traffic in Arms Regulations ("ITAR") to Canada and re-exported them to China without the required license; (2) that in 2006, P&amp;WC, HSC and UTC made false statements in disclosures to the U.S. Department of State, Office of Defense Trade Controls Compliance ("DTCC") regarding these AECA and ITAR violations; and (3) that P&amp;WC and HSC violated a separate provision of the AECA and ITAR by failing timely to notify DTCC of the unlicensed software shipments to China. P&amp;WC pleaded guilty to violating the AECA and the ITAR and making false statements as alleged, and was sentenced to probation and to pay fines and forfeitures totaling $6.9 million. UTC, P&amp;WC and HSC (the "UTC Entities") entered into a Deferred Prosecution Agreement ("DPA") regarding the remaining offenses charged with respect to each UTC Entity. The DPA had a two-year term, and provided that the UTC Entities: (1) pay an additional penalty of $13.8 million; (2) appoint, subject to U.S. Department of Justice approval, an independent monitor to oversee compliance with the DPA; (3) provide annual senior officer certifications that all known violations of the AECA and ITAR, Export Administration Regulations and sanctions regimes implemented under the International Emergency Economic Powers Act occurring after the execution date of the DPA have been reported by UTC, its subsidiaries, and its majority-owned or controlled affiliates to the appropriate official(s) of the U.S. Government; (4) cooperate with law enforcement in specified areas; and (5) implement specified compliance training initiatives. On July 9, 2014, the U.S. Attorney for the District of Connecticut, having determined that the UTC Entities were in full compliance with all of their obligations under the DPA, moved to dismiss with prejudice the remaining offenses charged with respect to each UTC Entity. On July 14, 2014, the United States District Court for the District of Connecticut granted this motion and the DPA is now concluded.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Government Contract Claim</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have been informed by the U.S. Department of Justice ("DOJ") that it is contemplating filing a complaint in the United States District Court alleging that two Sikorsky subsidiaries violated the False Claims Act in connection with a 2006 contract with the United States Navy. The DOJ may seek damages of approximately $50 million, plus treble damages and statutory penalties, all totaling in excess of $170 million. We believe that we have substantial legal and factual defenses to the contemplated claim. Given the circumstances, we are currently unable to evaluate whether any loss is probable or reasonably estimate the range of any potential loss. The outcome of any such litigation could result in a material adverse effect on our results of operations in the period in which a liability would be recognized and on our cash flows for the period in which any damages would be paid.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14, Contingent Liabilities, for discussion regarding other legal proceedings.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460" w:firstLine="405"/>
        <w:spacing w:after="0" w:line="342" w:lineRule="auto"/>
        <w:rPr>
          <w:sz w:val="20"/>
          <w:szCs w:val="20"/>
          <w:color w:val="auto"/>
        </w:rPr>
      </w:pPr>
      <w:r>
        <w:rPr>
          <w:rFonts w:ascii="Arial" w:cs="Arial" w:eastAsia="Arial" w:hAnsi="Arial"/>
          <w:sz w:val="16"/>
          <w:szCs w:val="16"/>
          <w:color w:val="auto"/>
        </w:rPr>
        <w:t>Except as otherwise noted above, there have been no material developments in legal proceedings. For previously reported information about legal proceedings refer to Part I, Item 3, "Legal Proceedings," of our 2013 Form 10-K and Part II, Item 1, "Legal Proceedings," of our 2014 Form 10-Q (Q1).</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June 30, 2014 of equity securities that are registered by us pursuant to Section 12 of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Program</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 (000's)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117.23</w:t>
            </w: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2,858</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45,455</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8"/>
              <w:spacing w:after="0"/>
              <w:rPr>
                <w:sz w:val="20"/>
                <w:szCs w:val="20"/>
                <w:color w:val="auto"/>
              </w:rPr>
            </w:pPr>
            <w:r>
              <w:rPr>
                <w:rFonts w:ascii="Arial" w:cs="Arial" w:eastAsia="Arial" w:hAnsi="Arial"/>
                <w:sz w:val="18"/>
                <w:szCs w:val="18"/>
                <w:color w:val="auto"/>
              </w:rPr>
              <w:t>45,455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w:t>
            </w: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45,455</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2,858</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117.23</w:t>
            </w:r>
          </w:p>
        </w:tc>
        <w:tc>
          <w:tcPr>
            <w:tcW w:w="200" w:type="dxa"/>
            <w:vAlign w:val="bottom"/>
          </w:tcPr>
          <w:p>
            <w:pPr>
              <w:spacing w:after="0"/>
              <w:rPr>
                <w:sz w:val="22"/>
                <w:szCs w:val="22"/>
                <w:color w:val="auto"/>
              </w:rPr>
            </w:pPr>
          </w:p>
        </w:tc>
        <w:tc>
          <w:tcPr>
            <w:tcW w:w="2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2,858</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repurchase shares under a program announced on February 4, 2013, which authorized the repurchase of up to 60 million shares of our common stock. Under this current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June 30, 2014.</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jc w:val="center"/>
              <w:ind w:right="140"/>
              <w:spacing w:after="0"/>
              <w:rPr>
                <w:rFonts w:ascii="Arial" w:cs="Arial" w:eastAsia="Arial" w:hAnsi="Arial"/>
                <w:sz w:val="14"/>
                <w:szCs w:val="14"/>
                <w:color w:val="0000EE"/>
                <w:w w:val="92"/>
              </w:rPr>
            </w:pPr>
            <w:hyperlink w:anchor="page1">
              <w:r>
                <w:rPr>
                  <w:rFonts w:ascii="Arial" w:cs="Arial" w:eastAsia="Arial" w:hAnsi="Arial"/>
                  <w:sz w:val="14"/>
                  <w:szCs w:val="14"/>
                  <w:color w:val="0000EE"/>
                  <w:w w:val="92"/>
                </w:rPr>
                <w:t>Table of Contents</w:t>
              </w:r>
            </w:hyperlink>
          </w:p>
        </w:tc>
        <w:tc>
          <w:tcPr>
            <w:tcW w:w="10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0000EE"/>
            </w:tcBorders>
          </w:tcPr>
          <w:p>
            <w:pPr>
              <w:jc w:val="center"/>
              <w:ind w:right="399"/>
              <w:spacing w:after="0"/>
              <w:rPr>
                <w:sz w:val="20"/>
                <w:szCs w:val="20"/>
                <w:color w:val="auto"/>
              </w:rPr>
            </w:pPr>
            <w:r>
              <w:rPr>
                <w:rFonts w:ascii="Arial" w:cs="Arial" w:eastAsia="Arial" w:hAnsi="Arial"/>
                <w:sz w:val="18"/>
                <w:szCs w:val="18"/>
                <w:b w:val="1"/>
                <w:bCs w:val="1"/>
                <w:color w:val="auto"/>
                <w:w w:val="94"/>
              </w:rPr>
              <w:t>Item 6.</w:t>
            </w:r>
          </w:p>
        </w:tc>
        <w:tc>
          <w:tcPr>
            <w:tcW w:w="140" w:type="dxa"/>
            <w:vAlign w:val="bottom"/>
            <w:gridSpan w:val="2"/>
          </w:tcPr>
          <w:p>
            <w:pPr>
              <w:spacing w:after="0"/>
              <w:rPr>
                <w:sz w:val="24"/>
                <w:szCs w:val="24"/>
                <w:color w:val="auto"/>
              </w:rPr>
            </w:pP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6"/>
        </w:trPr>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7"/>
        </w:trPr>
        <w:tc>
          <w:tcPr>
            <w:tcW w:w="1020" w:type="dxa"/>
            <w:vAlign w:val="bottom"/>
            <w:tcBorders>
              <w:top w:val="single" w:sz="8" w:color="auto"/>
            </w:tcBorders>
          </w:tcPr>
          <w:p>
            <w:pPr>
              <w:jc w:val="center"/>
              <w:ind w:right="399"/>
              <w:spacing w:after="0"/>
              <w:rPr>
                <w:sz w:val="20"/>
                <w:szCs w:val="20"/>
                <w:color w:val="auto"/>
              </w:rPr>
            </w:pPr>
            <w:r>
              <w:rPr>
                <w:rFonts w:ascii="Arial" w:cs="Arial" w:eastAsia="Arial" w:hAnsi="Arial"/>
                <w:sz w:val="18"/>
                <w:szCs w:val="18"/>
                <w:color w:val="auto"/>
                <w:w w:val="89"/>
              </w:rPr>
              <w:t>12</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jc w:val="center"/>
              <w:ind w:right="399"/>
              <w:spacing w:after="0"/>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six months ended June 30, 2014 and 2013, (ii) Condensed Consolidated Statements of Comprehensive Income for the quarters and six months ended June 30, 2014 and 2013, (iii) Condensed Consolidated Balance Sheets as of June 30, 2014 and December 31, 2013,</w:t>
      </w:r>
    </w:p>
    <w:p>
      <w:pPr>
        <w:ind w:right="700" w:firstLine="8"/>
        <w:spacing w:after="0" w:line="261"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2014 and 2013, and (v)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4"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Gregory J. Hayes</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jc w:val="center"/>
        <w:ind w:left="5340"/>
        <w:spacing w:after="0"/>
        <w:rPr>
          <w:sz w:val="20"/>
          <w:szCs w:val="20"/>
          <w:color w:val="auto"/>
        </w:rPr>
      </w:pPr>
      <w:r>
        <w:rPr>
          <w:rFonts w:ascii="Arial" w:cs="Arial" w:eastAsia="Arial" w:hAnsi="Arial"/>
          <w:sz w:val="16"/>
          <w:szCs w:val="16"/>
          <w:color w:val="auto"/>
        </w:rPr>
        <w:t>(on behalf of the Registrant and as the Registrant's Principal Financial Officer and</w:t>
      </w:r>
    </w:p>
    <w:p>
      <w:pPr>
        <w:spacing w:after="0" w:line="46" w:lineRule="exact"/>
        <w:rPr>
          <w:sz w:val="20"/>
          <w:szCs w:val="20"/>
          <w:color w:val="auto"/>
        </w:rPr>
      </w:pPr>
    </w:p>
    <w:p>
      <w:pPr>
        <w:jc w:val="center"/>
        <w:ind w:left="5340"/>
        <w:spacing w:after="0"/>
        <w:rPr>
          <w:sz w:val="20"/>
          <w:szCs w:val="20"/>
          <w:color w:val="auto"/>
        </w:rPr>
      </w:pPr>
      <w:r>
        <w:rPr>
          <w:rFonts w:ascii="Arial" w:cs="Arial" w:eastAsia="Arial" w:hAnsi="Arial"/>
          <w:sz w:val="18"/>
          <w:szCs w:val="18"/>
          <w:color w:val="auto"/>
        </w:rPr>
        <w:t>Principal Accounting Officer)</w:t>
      </w:r>
    </w:p>
    <w:p>
      <w:pPr>
        <w:spacing w:after="0" w:line="346" w:lineRule="exact"/>
        <w:rPr>
          <w:sz w:val="20"/>
          <w:szCs w:val="20"/>
          <w:color w:val="auto"/>
        </w:rPr>
      </w:pPr>
    </w:p>
    <w:p>
      <w:pPr>
        <w:ind w:left="40"/>
        <w:spacing w:after="0"/>
        <w:tabs>
          <w:tab w:leader="none" w:pos="820" w:val="left"/>
          <w:tab w:leader="none" w:pos="4940" w:val="left"/>
          <w:tab w:leader="none" w:pos="75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824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48"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John E. Stantial</w:t>
      </w:r>
    </w:p>
    <w:p>
      <w:pPr>
        <w:spacing w:after="0" w:line="96"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Acting Controller and Assistant Controller, Financial Reporting</w:t>
      </w:r>
    </w:p>
    <w:p>
      <w:pPr>
        <w:spacing w:after="0" w:line="23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(on behalf of the Registrant)</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122" w:right="31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utx-20140630_pre.xml)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six months ended June 30, 2014 and 2013, (ii) Condensed Consolidated Statements of Comprehensive Income for the quarters and six months ended June 30, 2014 and 2013, (iii) Condensed Consolidated Balance Sheets as of June 30, 2014 and December 31, 2013,</w:t>
      </w:r>
    </w:p>
    <w:p>
      <w:pPr>
        <w:ind w:right="700" w:firstLine="8"/>
        <w:spacing w:after="0" w:line="261" w:lineRule="auto"/>
        <w:tabs>
          <w:tab w:leader="none" w:pos="3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2014 and 2013,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32"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$20 million and $15 million for the six months ended June 30, 2014 and 2013, respectively. The ratio of earnings to fixed charges would have been 8.26 and 7.82 for the six months ended June 30, 2014 and 2013, respectively, if such interest were excluded from the calculation.</w:t>
      </w:r>
    </w:p>
    <w:p>
      <w:pPr>
        <w:ind w:left="340" w:hanging="332"/>
        <w:spacing w:after="0" w:line="225"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July 25,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are aware that our report dated July 25, 2014 on our review of interim financial information of United Technologies Corporation (the "Corporation") for the three-month and six-month periods ending June 30, 2014 and 2013 and included in the Corporation's quarterly report on Form 10-Q for the quarter ended June 30, 2014 is incorporated by reference in its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333-188957) and in the Registration Statements on Form S-8 (Nos. 333-183123, 333-177520, 333-177517, 333-175781, 333-150643, 333-125293, 333-110020, 333-100724, 333-100723, 333-100718, 333-77817 and 033-51385).</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0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2014</w:t>
      </w:r>
      <w:r>
        <w:rPr>
          <w:sz w:val="20"/>
          <w:szCs w:val="20"/>
          <w:color w:val="auto"/>
        </w:rPr>
        <w:tab/>
      </w:r>
      <w:r>
        <w:rPr>
          <w:rFonts w:ascii="Arial" w:cs="Arial" w:eastAsia="Arial" w:hAnsi="Arial"/>
          <w:sz w:val="17"/>
          <w:szCs w:val="17"/>
          <w:color w:val="auto"/>
        </w:rPr>
        <w:t>/s/ L</w:t>
      </w:r>
      <w:r>
        <w:rPr>
          <w:rFonts w:ascii="Arial" w:cs="Arial" w:eastAsia="Arial" w:hAnsi="Arial"/>
          <w:sz w:val="13"/>
          <w:szCs w:val="13"/>
          <w:color w:val="auto"/>
        </w:rPr>
        <w:t>OUIS</w:t>
      </w:r>
      <w:r>
        <w:rPr>
          <w:rFonts w:ascii="Arial" w:cs="Arial" w:eastAsia="Arial" w:hAnsi="Arial"/>
          <w:sz w:val="17"/>
          <w:szCs w:val="17"/>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&amp;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July 25, 2014</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E. Stantial,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July 25, 2014</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Acting Controller and Assistant Controller, Financial</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Reporting</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Quarterly Report on Form 10-Q for the quarter ended June 30, 2014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600" w:val="left"/>
          <w:tab w:leader="none" w:pos="5260" w:val="left"/>
        </w:tabs>
        <w:rPr>
          <w:sz w:val="20"/>
          <w:szCs w:val="20"/>
          <w:color w:val="auto"/>
        </w:rPr>
      </w:pPr>
      <w:r>
        <w:rPr>
          <w:rFonts w:ascii="Arial" w:cs="Arial" w:eastAsia="Arial" w:hAnsi="Arial"/>
          <w:sz w:val="18"/>
          <w:szCs w:val="18"/>
          <w:color w:val="auto"/>
        </w:rPr>
        <w:t>Date:</w:t>
        <w:tab/>
        <w:t>July 25, 2014</w:t>
      </w:r>
      <w:r>
        <w:rPr>
          <w:sz w:val="20"/>
          <w:szCs w:val="20"/>
          <w:color w:val="auto"/>
        </w:rPr>
        <w:tab/>
      </w:r>
      <w:r>
        <w:rPr>
          <w:rFonts w:ascii="Arial" w:cs="Arial" w:eastAsia="Arial" w:hAnsi="Arial"/>
          <w:sz w:val="17"/>
          <w:szCs w:val="17"/>
          <w:color w:val="auto"/>
        </w:rPr>
        <w:t>/s/ L</w:t>
      </w:r>
      <w:r>
        <w:rPr>
          <w:rFonts w:ascii="Arial" w:cs="Arial" w:eastAsia="Arial" w:hAnsi="Arial"/>
          <w:sz w:val="13"/>
          <w:szCs w:val="13"/>
          <w:color w:val="auto"/>
        </w:rPr>
        <w:t>OUIS</w:t>
      </w:r>
      <w:r>
        <w:rPr>
          <w:rFonts w:ascii="Arial" w:cs="Arial" w:eastAsia="Arial" w:hAnsi="Arial"/>
          <w:sz w:val="17"/>
          <w:szCs w:val="17"/>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&amp; Chief Executive Officer</w:t>
      </w:r>
    </w:p>
    <w:p>
      <w:pPr>
        <w:spacing w:after="0" w:line="387" w:lineRule="exact"/>
        <w:rPr>
          <w:sz w:val="20"/>
          <w:szCs w:val="20"/>
          <w:color w:val="auto"/>
        </w:rPr>
      </w:pPr>
    </w:p>
    <w:p>
      <w:pPr>
        <w:ind w:left="40"/>
        <w:spacing w:after="0"/>
        <w:tabs>
          <w:tab w:leader="none" w:pos="600" w:val="left"/>
          <w:tab w:leader="none" w:pos="5260" w:val="left"/>
        </w:tabs>
        <w:rPr>
          <w:sz w:val="20"/>
          <w:szCs w:val="20"/>
          <w:color w:val="auto"/>
        </w:rPr>
      </w:pPr>
      <w:r>
        <w:rPr>
          <w:rFonts w:ascii="Arial" w:cs="Arial" w:eastAsia="Arial" w:hAnsi="Arial"/>
          <w:sz w:val="18"/>
          <w:szCs w:val="18"/>
          <w:color w:val="auto"/>
        </w:rPr>
        <w:t>Date:</w:t>
        <w:tab/>
        <w:t>July 25, 2014</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600" w:val="left"/>
          <w:tab w:leader="none" w:pos="5260" w:val="left"/>
        </w:tabs>
        <w:rPr>
          <w:sz w:val="20"/>
          <w:szCs w:val="20"/>
          <w:color w:val="auto"/>
        </w:rPr>
      </w:pPr>
      <w:r>
        <w:rPr>
          <w:rFonts w:ascii="Arial" w:cs="Arial" w:eastAsia="Arial" w:hAnsi="Arial"/>
          <w:sz w:val="18"/>
          <w:szCs w:val="18"/>
          <w:color w:val="auto"/>
        </w:rPr>
        <w:t>Date:</w:t>
        <w:tab/>
        <w:t>July 25, 2014</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E</w:t>
      </w:r>
      <w:r>
        <w:rPr>
          <w:rFonts w:ascii="Arial" w:cs="Arial" w:eastAsia="Arial" w:hAnsi="Arial"/>
          <w:sz w:val="13"/>
          <w:szCs w:val="13"/>
          <w:color w:val="auto"/>
        </w:rPr>
        <w:t>.</w:t>
      </w:r>
      <w:r>
        <w:rPr>
          <w:rFonts w:ascii="Arial" w:cs="Arial" w:eastAsia="Arial" w:hAnsi="Arial"/>
          <w:sz w:val="17"/>
          <w:szCs w:val="17"/>
          <w:color w:val="auto"/>
        </w:rPr>
        <w:t xml:space="preserve"> S</w:t>
      </w:r>
      <w:r>
        <w:rPr>
          <w:rFonts w:ascii="Arial" w:cs="Arial" w:eastAsia="Arial" w:hAnsi="Arial"/>
          <w:sz w:val="13"/>
          <w:szCs w:val="13"/>
          <w:color w:val="auto"/>
        </w:rPr>
        <w:t>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John E. Stantial</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Acting Controller and Assistant Controller, Financial Reporting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3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4"/>
    </w:lvl>
  </w:abstractNum>
  <w:abstractNum w:abstractNumId="12">
    <w:nsid w:val="4E6AFB66"/>
    <w:multiLevelType w:val="hybridMultilevel"/>
    <w:lvl w:ilvl="0">
      <w:lvlJc w:val="left"/>
      <w:lvlText w:val="%1"/>
      <w:numFmt w:val="decimal"/>
      <w:start w:val="3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4"/>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2"/>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2019-12-05T15:14:25Z</dcterms:created>
  <dcterms:modified xsi:type="dcterms:W3CDTF">2019-12-05T15:14:25Z</dcterms:modified>
</cp:coreProperties>
</file>