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Maharajh Ramsaran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 WILSON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RTX Corp</w:t>
              </w:r>
            </w:hyperlink>
            <w:r>
              <w:rPr/>
              <w:t xml:space="preserve"> [ </w:t>
            </w:r>
            <w:r>
              <w:rPr>
                <w:rFonts w:ascii="Times;serif" w:hAnsi="Times;serif"/>
                <w:color w:val="0000FF"/>
                <w:sz w:val="24"/>
                <w:shd w:fill="FFFFFF" w:val="clear"/>
              </w:rPr>
              <w:t>RTX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4"/>
        <w:gridCol w:w="928"/>
        <w:gridCol w:w="797"/>
        <w:gridCol w:w="616"/>
        <w:gridCol w:w="343"/>
        <w:gridCol w:w="917"/>
        <w:gridCol w:w="424"/>
        <w:gridCol w:w="1102"/>
        <w:gridCol w:w="1124"/>
        <w:gridCol w:w="973"/>
        <w:gridCol w:w="97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20,069</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71.62</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33,253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6,414</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224.07</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26,839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13,655</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223.9153</w:t>
            </w:r>
            <w:r>
              <w:rPr>
                <w:rFonts w:ascii="Times;serif" w:hAnsi="Times;serif"/>
                <w:color w:val="008000"/>
                <w:position w:val="7"/>
                <w:sz w:val="16"/>
                <w:sz w:val="20"/>
                <w:shd w:fill="FFFFFF" w:val="clear"/>
              </w:rPr>
              <w:t>(1)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13,184</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3,994</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Savings Plan Trustee</w:t>
            </w:r>
          </w:p>
        </w:tc>
      </w:tr>
    </w:tbl>
    <w:tbl>
      <w:tblPr>
        <w:tblW w:w="12494" w:type="dxa"/>
        <w:jc w:val="left"/>
        <w:tblInd w:w="-7" w:type="dxa"/>
        <w:tblLayout w:type="fixed"/>
        <w:tblCellMar>
          <w:top w:w="60" w:type="dxa"/>
          <w:left w:w="60" w:type="dxa"/>
          <w:bottom w:w="60" w:type="dxa"/>
          <w:right w:w="60" w:type="dxa"/>
        </w:tblCellMar>
      </w:tblPr>
      <w:tblGrid>
        <w:gridCol w:w="1220"/>
        <w:gridCol w:w="861"/>
        <w:gridCol w:w="891"/>
        <w:gridCol w:w="771"/>
        <w:gridCol w:w="591"/>
        <w:gridCol w:w="300"/>
        <w:gridCol w:w="276"/>
        <w:gridCol w:w="771"/>
        <w:gridCol w:w="906"/>
        <w:gridCol w:w="801"/>
        <w:gridCol w:w="891"/>
        <w:gridCol w:w="80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Appreciation Right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71.62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20,069</w:t>
            </w:r>
            <w:r>
              <w:rPr>
                <w:rFonts w:ascii="Times;serif" w:hAnsi="Times;serif"/>
                <w:color w:val="008000"/>
                <w:position w:val="7"/>
                <w:sz w:val="16"/>
                <w:sz w:val="20"/>
                <w:shd w:fill="FFFFFF" w:val="clear"/>
              </w:rPr>
              <w:t>(2)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02/04/2029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is based on a weighted average of multiple same-day transactions with prices ranging from $223.86 to $224.09 per share. Full information regarding the number of shares sold at each separate price is available to the Securities and Exchange Commission, the Issuer or any security holder of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Appreciation Rights (SARs) were settled in shares in accordance with the terms of the award. For Section 16 reporting purposes, the exercise of SARs for stock is treated as an exempt acquisition of the shares underlying the SARs at the exercise price per share specified in the award of SARs and a simultaneous sale back to the issuer of a number of the underlying shares having a value, based on the market price of the issuer's stock on the date of the exercise, equal to the product of the number of underlying SARs times the exercise price per share.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Yahl,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7717" TargetMode="External"/><Relationship Id="rId5" Type="http://schemas.openxmlformats.org/officeDocument/2006/relationships/hyperlink" Target="http://www.sec.gov/cgi-bin/browse-edgar?action=getcompany&amp;CIK=0000101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4034</Characters>
  <CharactersWithSpaces>4693</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