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xml:space="preserve">  </w:t>
      </w:r>
    </w:p>
    <w:p>
      <w:pPr>
        <w:pStyle w:val="HorizontalLine"/>
        <w:bidi w:val="0"/>
        <w:jc w:val="left"/>
        <w:rPr/>
      </w:pPr>
      <w:r>
        <w:rPr/>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rFonts w:ascii="Times New Roman" w:hAnsi="Times New Roman"/>
          <w:b w:val="false"/>
          <w:sz w:val="20"/>
        </w:rPr>
      </w:pPr>
      <w:r>
        <w:rPr>
          <w:rFonts w:ascii="Times New Roman" w:hAnsi="Times New Roman"/>
          <w:b w:val="false"/>
          <w:sz w:val="20"/>
        </w:rPr>
      </w:r>
    </w:p>
    <w:p>
      <w:pPr>
        <w:pStyle w:val="HorizontalLine"/>
        <w:bidi w:val="0"/>
        <w:jc w:val="center"/>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4"/>
          <w:shd w:fill="FFFFFF" w:val="clear"/>
        </w:rPr>
      </w:pPr>
      <w:r>
        <w:rPr>
          <w:rFonts w:ascii="Times New Roman" w:hAnsi="Times New Roman"/>
          <w:b/>
          <w:color w:val="000000"/>
          <w:sz w:val="20"/>
          <w:shd w:fill="FFFFFF" w:val="clear"/>
        </w:rPr>
        <w:t xml:space="preserve">Date of Report (Date of earliest event reported): </w:t>
      </w:r>
      <w:r>
        <w:rPr>
          <w:rFonts w:ascii="Times New Roman" w:hAnsi="Times New Roman"/>
          <w:color w:val="000000"/>
          <w:sz w:val="20"/>
          <w:shd w:fill="FFFFFF" w:val="clear"/>
        </w:rPr>
        <w:t>December 14, 2023</w:t>
      </w:r>
    </w:p>
    <w:p>
      <w:pPr>
        <w:pStyle w:val="TextBody"/>
        <w:bidi w:val="0"/>
        <w:spacing w:before="0" w:after="0"/>
        <w:jc w:val="left"/>
        <w:rPr>
          <w:color w:val="000000"/>
          <w:shd w:fill="FFFFFF" w:val="clear"/>
        </w:rPr>
      </w:pPr>
      <w:r>
        <w:rPr>
          <w:color w:val="000000"/>
          <w:shd w:fill="FFFFFF" w:val="clear"/>
        </w:rPr>
        <w:t> </w:t>
      </w:r>
    </w:p>
    <w:p>
      <w:pPr>
        <w:pStyle w:val="HorizontalLine"/>
        <w:bidi w:val="0"/>
        <w:jc w:val="center"/>
        <w:rPr/>
      </w:pPr>
      <w:r>
        <w:rPr/>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RTX CORPORATION</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left"/>
        <w:rPr>
          <w:color w:val="000000"/>
          <w:shd w:fill="FFFFFF" w:val="clear"/>
        </w:rPr>
      </w:pPr>
      <w:r>
        <w:rPr>
          <w:color w:val="000000"/>
          <w:shd w:fill="FFFFFF" w:val="clear"/>
        </w:rPr>
        <w:t> </w:t>
      </w:r>
    </w:p>
    <w:p>
      <w:pPr>
        <w:pStyle w:val="HorizontalLine"/>
        <w:bidi w:val="0"/>
        <w:jc w:val="center"/>
        <w:rPr/>
      </w:pPr>
      <w:r>
        <w:rPr/>
      </w:r>
    </w:p>
    <w:p>
      <w:pPr>
        <w:pStyle w:val="TextBody"/>
        <w:bidi w:val="0"/>
        <w:spacing w:before="0" w:after="0"/>
        <w:jc w:val="left"/>
        <w:rPr/>
      </w:pPr>
      <w:r>
        <w:rPr/>
      </w:r>
    </w:p>
    <w:tbl>
      <w:tblPr>
        <w:tblW w:w="9060" w:type="dxa"/>
        <w:jc w:val="left"/>
        <w:tblInd w:w="0" w:type="dxa"/>
        <w:tblLayout w:type="fixed"/>
        <w:tblCellMar>
          <w:top w:w="0" w:type="dxa"/>
          <w:left w:w="0" w:type="dxa"/>
          <w:bottom w:w="0" w:type="dxa"/>
          <w:right w:w="0" w:type="dxa"/>
        </w:tblCellMar>
      </w:tblPr>
      <w:tblGrid>
        <w:gridCol w:w="3755"/>
        <w:gridCol w:w="2300"/>
        <w:gridCol w:w="3005"/>
      </w:tblGrid>
      <w:tr>
        <w:trPr/>
        <w:tc>
          <w:tcPr>
            <w:tcW w:w="375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300" w:type="dxa"/>
            <w:tcBorders/>
            <w:vAlign w:val="center"/>
          </w:tcPr>
          <w:p>
            <w:pPr>
              <w:pStyle w:val="TableContents"/>
              <w:bidi w:val="0"/>
              <w:spacing w:before="0" w:after="283"/>
              <w:jc w:val="center"/>
              <w:rPr>
                <w:b/>
                <w:sz w:val="20"/>
              </w:rPr>
            </w:pPr>
            <w:r>
              <w:rPr>
                <w:b/>
                <w:sz w:val="20"/>
              </w:rPr>
              <w:t>001-00812</w:t>
            </w:r>
          </w:p>
        </w:tc>
        <w:tc>
          <w:tcPr>
            <w:tcW w:w="30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06-0570975</w:t>
            </w:r>
          </w:p>
        </w:tc>
      </w:tr>
      <w:tr>
        <w:trPr/>
        <w:tc>
          <w:tcPr>
            <w:tcW w:w="375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(State or other jurisdiction of incorporation)</w:t>
            </w:r>
          </w:p>
        </w:tc>
        <w:tc>
          <w:tcPr>
            <w:tcW w:w="23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(Commission File Number)</w:t>
            </w:r>
          </w:p>
        </w:tc>
        <w:tc>
          <w:tcPr>
            <w:tcW w:w="30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53" w:right="0" w:hanging="0"/>
        <w:jc w:val="center"/>
        <w:rPr>
          <w:rFonts w:ascii="Times New Roman" w:hAnsi="Times New Roman"/>
          <w:color w:val="000000"/>
          <w:sz w:val="20"/>
          <w:shd w:fill="FFFFFF" w:val="clear"/>
        </w:rPr>
      </w:pPr>
      <w:r>
        <w:rPr>
          <w:rFonts w:ascii="Times New Roman" w:hAnsi="Times New Roman"/>
          <w:b/>
          <w:color w:val="000000"/>
          <w:sz w:val="20"/>
          <w:shd w:fill="FFFFFF" w:val="clear"/>
        </w:rPr>
        <w:t>1000 Wilson Boulevard,</w:t>
      </w:r>
      <w:r>
        <w:rPr>
          <w:rFonts w:ascii="Times New Roman" w:hAnsi="Times New Roman"/>
          <w:color w:val="000000"/>
          <w:sz w:val="20"/>
          <w:shd w:fill="FFFFFF" w:val="clear"/>
        </w:rPr>
        <w:t xml:space="preserve"> </w:t>
      </w:r>
      <w:r>
        <w:rPr>
          <w:rFonts w:ascii="Times New Roman" w:hAnsi="Times New Roman"/>
          <w:b/>
          <w:color w:val="000000"/>
          <w:sz w:val="20"/>
          <w:shd w:fill="FFFFFF" w:val="clear"/>
        </w:rPr>
        <w:t>Arlington, Virginia 22209</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(Address of principal executive offices, including zip code)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53" w:right="0" w:hanging="0"/>
        <w:jc w:val="center"/>
        <w:rPr>
          <w:rFonts w:ascii="Times New Roman" w:hAnsi="Times New Roman"/>
          <w:color w:val="000000"/>
          <w:sz w:val="20"/>
          <w:shd w:fill="FFFFFF" w:val="clear"/>
        </w:rPr>
      </w:pPr>
      <w:r>
        <w:rPr>
          <w:rFonts w:ascii="Times New Roman" w:hAnsi="Times New Roman"/>
          <w:b/>
          <w:color w:val="000000"/>
          <w:sz w:val="20"/>
          <w:shd w:fill="FFFFFF" w:val="clear"/>
        </w:rPr>
        <w:t>(781)</w:t>
      </w:r>
      <w:r>
        <w:rPr>
          <w:rFonts w:ascii="Times New Roman" w:hAnsi="Times New Roman"/>
          <w:color w:val="000000"/>
          <w:sz w:val="20"/>
          <w:shd w:fill="FFFFFF" w:val="clear"/>
        </w:rPr>
        <w:t xml:space="preserve"> </w:t>
      </w:r>
      <w:r>
        <w:rPr>
          <w:rFonts w:ascii="Times New Roman" w:hAnsi="Times New Roman"/>
          <w:b/>
          <w:color w:val="000000"/>
          <w:sz w:val="20"/>
          <w:shd w:fill="FFFFFF" w:val="clear"/>
        </w:rPr>
        <w:t>522-3000</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(Former name or former address, if changed since last report.)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color w:val="000000"/>
          <w:shd w:fill="FFFFFF" w:val="clear"/>
        </w:rPr>
      </w:pPr>
      <w:r>
        <w:rPr>
          <w:color w:val="000000"/>
          <w:shd w:fill="FFFFFF" w:val="clea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12(b) of the Act:</w:t>
      </w:r>
    </w:p>
    <w:p>
      <w:pPr>
        <w:pStyle w:val="TextBody"/>
        <w:bidi w:val="0"/>
        <w:spacing w:before="0" w:after="0"/>
        <w:jc w:val="center"/>
        <w:rPr>
          <w:rFonts w:ascii="Times New Roman" w:hAnsi="Times New Roman"/>
          <w:b/>
          <w:sz w:val="20"/>
        </w:rPr>
      </w:pPr>
      <w:r>
        <w:rPr>
          <w:rFonts w:ascii="Times New Roman" w:hAnsi="Times New Roman"/>
          <w:b/>
          <w:sz w:val="20"/>
        </w:rPr>
      </w:r>
    </w:p>
    <w:tbl>
      <w:tblPr>
        <w:tblW w:w="7845" w:type="dxa"/>
        <w:jc w:val="left"/>
        <w:tblInd w:w="0" w:type="dxa"/>
        <w:tblLayout w:type="fixed"/>
        <w:tblCellMar>
          <w:top w:w="0" w:type="dxa"/>
          <w:left w:w="0" w:type="dxa"/>
          <w:bottom w:w="0" w:type="dxa"/>
          <w:right w:w="0" w:type="dxa"/>
        </w:tblCellMar>
      </w:tblPr>
      <w:tblGrid>
        <w:gridCol w:w="2540"/>
        <w:gridCol w:w="1610"/>
        <w:gridCol w:w="3695"/>
      </w:tblGrid>
      <w:tr>
        <w:trPr/>
        <w:tc>
          <w:tcPr>
            <w:tcW w:w="2540" w:type="dxa"/>
            <w:tcBorders/>
            <w:vAlign w:val="center"/>
          </w:tcPr>
          <w:p>
            <w:pPr>
              <w:pStyle w:val="TableContents"/>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Title of each class</w:t>
            </w:r>
          </w:p>
        </w:tc>
        <w:tc>
          <w:tcPr>
            <w:tcW w:w="1610" w:type="dxa"/>
            <w:tcBorders/>
            <w:vAlign w:val="center"/>
          </w:tcPr>
          <w:p>
            <w:pPr>
              <w:pStyle w:val="TableContents"/>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Trading Symbol(s)</w:t>
            </w:r>
          </w:p>
        </w:tc>
        <w:tc>
          <w:tcPr>
            <w:tcW w:w="3695" w:type="dxa"/>
            <w:tcBorders/>
            <w:vAlign w:val="center"/>
          </w:tcPr>
          <w:p>
            <w:pPr>
              <w:pStyle w:val="TableContents"/>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Name of each exchange on which registered</w:t>
            </w:r>
          </w:p>
        </w:tc>
      </w:tr>
      <w:tr>
        <w:trPr/>
        <w:tc>
          <w:tcPr>
            <w:tcW w:w="2540" w:type="dxa"/>
            <w:tcBorders/>
            <w:vAlign w:val="center"/>
          </w:tcPr>
          <w:p>
            <w:pPr>
              <w:pStyle w:val="TableContents"/>
              <w:bidi w:val="0"/>
              <w:spacing w:before="0" w:after="283"/>
              <w:jc w:val="center"/>
              <w:rPr>
                <w:b/>
                <w:sz w:val="20"/>
              </w:rPr>
            </w:pPr>
            <w:r>
              <w:rPr>
                <w:b/>
                <w:sz w:val="20"/>
              </w:rPr>
              <w:t>Common Stock ($1 par value)</w:t>
            </w:r>
          </w:p>
        </w:tc>
        <w:tc>
          <w:tcPr>
            <w:tcW w:w="1610" w:type="dxa"/>
            <w:tcBorders/>
            <w:vAlign w:val="center"/>
          </w:tcPr>
          <w:p>
            <w:pPr>
              <w:pStyle w:val="TableContents"/>
              <w:bidi w:val="0"/>
              <w:spacing w:before="0" w:after="283"/>
              <w:jc w:val="center"/>
              <w:rPr>
                <w:b/>
                <w:sz w:val="20"/>
              </w:rPr>
            </w:pPr>
            <w:r>
              <w:rPr>
                <w:b/>
                <w:sz w:val="20"/>
              </w:rPr>
              <w:t>RTX</w:t>
            </w:r>
          </w:p>
        </w:tc>
        <w:tc>
          <w:tcPr>
            <w:tcW w:w="3695" w:type="dxa"/>
            <w:tcBorders/>
            <w:vAlign w:val="center"/>
          </w:tcPr>
          <w:p>
            <w:pPr>
              <w:pStyle w:val="TableContents"/>
              <w:bidi w:val="0"/>
              <w:spacing w:before="0" w:after="283"/>
              <w:jc w:val="center"/>
              <w:rPr>
                <w:b/>
                <w:sz w:val="20"/>
              </w:rPr>
            </w:pPr>
            <w:r>
              <w:rPr>
                <w:b/>
                <w:sz w:val="20"/>
              </w:rPr>
              <w:t>NYSE</w:t>
            </w:r>
          </w:p>
        </w:tc>
      </w:tr>
      <w:tr>
        <w:trPr/>
        <w:tc>
          <w:tcPr>
            <w:tcW w:w="254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(CUSIP 75513E 101)</w:t>
            </w:r>
          </w:p>
        </w:tc>
        <w:tc>
          <w:tcPr>
            <w:tcW w:w="161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center"/>
              <w:rPr>
                <w:b/>
                <w:sz w:val="20"/>
              </w:rPr>
            </w:pPr>
            <w:r>
              <w:rPr>
                <w:b/>
                <w:sz w:val="20"/>
              </w:rPr>
              <w:t>2.150% Notes due 2030</w:t>
            </w:r>
          </w:p>
        </w:tc>
        <w:tc>
          <w:tcPr>
            <w:tcW w:w="1610" w:type="dxa"/>
            <w:tcBorders/>
            <w:vAlign w:val="center"/>
          </w:tcPr>
          <w:p>
            <w:pPr>
              <w:pStyle w:val="TableContents"/>
              <w:bidi w:val="0"/>
              <w:spacing w:before="0" w:after="283"/>
              <w:jc w:val="center"/>
              <w:rPr>
                <w:b/>
                <w:sz w:val="20"/>
              </w:rPr>
            </w:pPr>
            <w:r>
              <w:rPr>
                <w:b/>
                <w:sz w:val="20"/>
              </w:rPr>
              <w:t>RTX 30</w:t>
            </w:r>
          </w:p>
        </w:tc>
        <w:tc>
          <w:tcPr>
            <w:tcW w:w="3695" w:type="dxa"/>
            <w:tcBorders/>
            <w:vAlign w:val="center"/>
          </w:tcPr>
          <w:p>
            <w:pPr>
              <w:pStyle w:val="TableContents"/>
              <w:bidi w:val="0"/>
              <w:spacing w:before="0" w:after="283"/>
              <w:jc w:val="center"/>
              <w:rPr>
                <w:b/>
                <w:sz w:val="20"/>
              </w:rPr>
            </w:pPr>
            <w:r>
              <w:rPr>
                <w:b/>
                <w:sz w:val="20"/>
              </w:rPr>
              <w:t>NYSE</w:t>
            </w:r>
          </w:p>
        </w:tc>
      </w:tr>
      <w:tr>
        <w:trPr/>
        <w:tc>
          <w:tcPr>
            <w:tcW w:w="254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(CUSIP 75513E AB7)</w:t>
            </w:r>
          </w:p>
        </w:tc>
        <w:tc>
          <w:tcPr>
            <w:tcW w:w="161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751"/>
        <w:gridCol w:w="9454"/>
      </w:tblGrid>
      <w:tr>
        <w:trPr/>
        <w:tc>
          <w:tcPr>
            <w:tcW w:w="75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5.02.</w:t>
            </w:r>
          </w:p>
        </w:tc>
        <w:tc>
          <w:tcPr>
            <w:tcW w:w="9454"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Departure of Directors or Certain Officers; Election of Directors; Appointment of Certain Officers; Compensatory Arrangements of Certain Officers.</w:t>
            </w:r>
          </w:p>
        </w:tc>
      </w:tr>
    </w:tbl>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December 14, 2023, the Board of Directors (the “Board”) of RTX Corporation (the “Company”) elected Christopher T. Calio President &amp; Chief Executive Officer, to be effective May 2, 2024, and a member of the Board, effective December 14, 2023. Mr. Calio will no longer serve as the Company’s Chief Operating Officer as of May 2, 2024.</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Mr. Calio will succeed Gregory J. Hayes as Chief Executive Officer. Mr. Hayes will continue to serve as Chairman of the Board and will become Executive Chairman of the Board effective May 2, 2024. Mr. Fredric G. Reynolds will continue to serve as the independent Lead Director.</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Prior to his appointment as the Company’s President &amp; Chief Operating Officer, which was effective March 1, 2023, Mr. Calio, 50, served as the Company’s Chief Operating Officer, beginning March 1, 2022. From January 2020 to February 2022, Mr. Calio served as President, Pratt &amp; Whitney. From February 2017 to December 2019, he served as President, Commercial Engines, Pratt &amp; Whitney, and as Chief of Staff to the Chairman &amp; CEO from February 2015 to January 2017. Mr. Calio joined the Company in 2005 as Counsel and served in positions of increasing responsibility across the Company, including as Vice President &amp; General Counsel of UTC Aerospace Systems and Vice President &amp; Counsel, Commercial Engines, Pratt &amp; Whitney. Mr. Calio received his B.A. in Political Science from Trinity College, as well as a J.D. and an MBA from the University of Connecticut.</w:t>
      </w:r>
    </w:p>
    <w:p>
      <w:pPr>
        <w:pStyle w:val="TextBody"/>
        <w:bidi w:val="0"/>
        <w:spacing w:before="0" w:after="0"/>
        <w:jc w:val="left"/>
        <w:rPr>
          <w:sz w:val="20"/>
        </w:rPr>
      </w:pPr>
      <w:r>
        <w:rPr>
          <w:sz w:val="20"/>
        </w:rPr>
      </w:r>
    </w:p>
    <w:p>
      <w:pPr>
        <w:pStyle w:val="TextBody"/>
        <w:bidi w:val="0"/>
        <w:spacing w:before="0" w:after="0"/>
        <w:ind w:left="0" w:right="0" w:firstLine="720"/>
        <w:jc w:val="left"/>
        <w:rPr>
          <w:color w:val="000000"/>
          <w:shd w:fill="FFFFFF" w:val="clear"/>
        </w:rPr>
      </w:pPr>
      <w:r>
        <w:rPr>
          <w:color w:val="000000"/>
          <w:shd w:fill="FFFFFF" w:val="clear"/>
        </w:rPr>
        <w:t> </w:t>
      </w:r>
      <w:r>
        <w:rPr>
          <w:rFonts w:ascii="Times New Roman" w:hAnsi="Times New Roman"/>
          <w:color w:val="000000"/>
          <w:sz w:val="20"/>
          <w:shd w:fill="FFFFFF" w:val="clear"/>
        </w:rPr>
        <w:t>Mr. Hayes has served as the Company’s Chairman of the Board since June 2021 and previously served as Chairman of the Board from September 2016 to April 2020. Mr. Hayes has served as the Company’s Chief Executive Officer since November 2014. From September 2008 to November 2014, Mr. Hayes served as the Company’s Senior Vice President and Chief Financial Officer. Mr. Hayes joined the Company through the 1999 acquisition of Sundstrand Corporation, where he served as Vice President, Finance for Sundstrand Aerospace.</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December 14, 2023, the Board approved the following compensation actions for Mr. Calio in connection with his appointment as President &amp; Chief Executive Officer: (i) annual base salary increase from $1,010,000 to $1,450,000, effective May 2, 2024, (ii) annual incentive target increase from 150% to 175% of base salary, effective May 2, 2024, and (iii) a 2024 long-term incentive (“LTI”) award with an estimated target value on the grant date of $13,500,000, comprised of 60% performance share units and 40% stock appreciation rights, to be granted on the same day as the Company’s annual executive LTI awards are granted to other Company officers.</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 xml:space="preserve">On December 14, 2023, the Board approved the following compensation for Mr. Hayes in connection with his role change: (i) annual base salary of $1,100,000, effective May 2, 2024, (ii) annual incentive target of 125% of base salary, effective May 2, 2024, and (iii) a 2024 LTI award with an estimated target value on the grant date of $10,000,000, comprised of 60% performance share units and 40% stock appreciation rights, to be granted on the same day as the Company’s annual executive LTI awards are granted to other Company officers. </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 copy of the Company’s press release announcing Mr. Calio’s elections and Mr. Hayes’ change in role is attached hereto as Exhibit 99.1 and is incorporated herein by reference.</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following exhibits are furnished herewith:</w:t>
      </w:r>
    </w:p>
    <w:p>
      <w:pPr>
        <w:pStyle w:val="TextBody"/>
        <w:bidi w:val="0"/>
        <w:spacing w:before="0" w:after="0"/>
        <w:jc w:val="left"/>
        <w:rPr>
          <w:color w:val="000000"/>
          <w:shd w:fill="FFFFFF" w:val="clear"/>
        </w:rPr>
      </w:pPr>
      <w:r>
        <w:rPr>
          <w:color w:val="000000"/>
          <w:shd w:fill="FFFFFF" w:val="clear"/>
        </w:rPr>
        <w:t> </w:t>
      </w:r>
    </w:p>
    <w:tbl>
      <w:tblPr>
        <w:tblW w:w="9670" w:type="dxa"/>
        <w:jc w:val="left"/>
        <w:tblInd w:w="0" w:type="dxa"/>
        <w:tblLayout w:type="fixed"/>
        <w:tblCellMar>
          <w:top w:w="0" w:type="dxa"/>
          <w:left w:w="0" w:type="dxa"/>
          <w:bottom w:w="0" w:type="dxa"/>
          <w:right w:w="0" w:type="dxa"/>
        </w:tblCellMar>
      </w:tblPr>
      <w:tblGrid>
        <w:gridCol w:w="710"/>
        <w:gridCol w:w="8960"/>
      </w:tblGrid>
      <w:tr>
        <w:trPr/>
        <w:tc>
          <w:tcPr>
            <w:tcW w:w="7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Exhibit</w:t>
            </w:r>
          </w:p>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Number</w:t>
            </w:r>
          </w:p>
        </w:tc>
        <w:tc>
          <w:tcPr>
            <w:tcW w:w="8960" w:type="dxa"/>
            <w:tcBorders/>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Exhibit Description</w:t>
            </w:r>
          </w:p>
        </w:tc>
      </w:tr>
      <w:tr>
        <w:trPr/>
        <w:tc>
          <w:tcPr>
            <w:tcW w:w="71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180" w:right="0" w:hanging="0"/>
              <w:jc w:val="left"/>
              <w:rPr/>
            </w:pPr>
            <w:hyperlink w:anchor="ef20016563_ex99-1.htm">
              <w:r>
                <w:rPr>
                  <w:rStyle w:val="InternetLink"/>
                  <w:rFonts w:ascii="Times New Roman" w:hAnsi="Times New Roman"/>
                  <w:sz w:val="20"/>
                </w:rPr>
                <w:t>99.1</w:t>
              </w:r>
            </w:hyperlink>
          </w:p>
        </w:tc>
        <w:tc>
          <w:tcPr>
            <w:tcW w:w="8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Press release, dated December 14, 2023, issued by RTX Corporation.</w:t>
            </w:r>
          </w:p>
        </w:tc>
      </w:tr>
      <w:tr>
        <w:trPr/>
        <w:tc>
          <w:tcPr>
            <w:tcW w:w="71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104</w:t>
            </w:r>
          </w:p>
        </w:tc>
        <w:tc>
          <w:tcPr>
            <w:tcW w:w="89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 the cover page XBRL tags are embedded within the Inline XBRL document.</w:t>
            </w:r>
          </w:p>
        </w:tc>
      </w:tr>
    </w:tbl>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495"/>
        <w:jc w:val="left"/>
        <w:rPr>
          <w:rFonts w:ascii="Times New Roman" w:hAnsi="Times New Roman"/>
          <w:sz w:val="20"/>
        </w:rPr>
      </w:pPr>
      <w:r>
        <w:rPr>
          <w:rFonts w:ascii="Times New Roman" w:hAnsi="Times New Roman"/>
          <w:sz w:val="20"/>
        </w:rPr>
      </w:r>
    </w:p>
    <w:tbl>
      <w:tblPr>
        <w:tblW w:w="6225" w:type="dxa"/>
        <w:jc w:val="left"/>
        <w:tblInd w:w="0" w:type="dxa"/>
        <w:tblLayout w:type="fixed"/>
        <w:tblCellMar>
          <w:top w:w="0" w:type="dxa"/>
          <w:left w:w="0" w:type="dxa"/>
          <w:bottom w:w="0" w:type="dxa"/>
          <w:right w:w="0" w:type="dxa"/>
        </w:tblCellMar>
      </w:tblPr>
      <w:tblGrid>
        <w:gridCol w:w="2120"/>
        <w:gridCol w:w="320"/>
        <w:gridCol w:w="3785"/>
      </w:tblGrid>
      <w:tr>
        <w:trPr/>
        <w:tc>
          <w:tcPr>
            <w:tcW w:w="2120" w:type="dxa"/>
            <w:tcBorders/>
            <w:vAlign w:val="center"/>
          </w:tcPr>
          <w:p>
            <w:pPr>
              <w:pStyle w:val="TableContents"/>
              <w:bidi w:val="0"/>
              <w:spacing w:before="0" w:after="283"/>
              <w:jc w:val="left"/>
              <w:rPr/>
            </w:pPr>
            <w:r>
              <w:rPr/>
              <w:t> </w:t>
            </w:r>
          </w:p>
        </w:tc>
        <w:tc>
          <w:tcPr>
            <w:tcW w:w="4105"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RTX CORPORATION</w:t>
            </w:r>
          </w:p>
        </w:tc>
      </w:tr>
      <w:tr>
        <w:trPr/>
        <w:tc>
          <w:tcPr>
            <w:tcW w:w="2120" w:type="dxa"/>
            <w:tcBorders/>
            <w:vAlign w:val="center"/>
          </w:tcPr>
          <w:p>
            <w:pPr>
              <w:pStyle w:val="TableContents"/>
              <w:bidi w:val="0"/>
              <w:spacing w:before="0" w:after="283"/>
              <w:jc w:val="left"/>
              <w:rPr/>
            </w:pPr>
            <w:r>
              <w:rPr/>
              <w:t> </w:t>
            </w:r>
          </w:p>
        </w:tc>
        <w:tc>
          <w:tcPr>
            <w:tcW w:w="4105"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(Registrant)</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December 14, 2023</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378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RAMSARAN MAHARAJH</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Ramsaran Maharajh</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Executive Vice President &amp; General Counsel</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0" w:name="ef20016563_ex99-1.htm"/>
      <w:bookmarkStart w:id="1" w:name="ksef20016563_ex991"/>
      <w:bookmarkStart w:id="2" w:name="ef20016563_ex99-1.htm"/>
      <w:bookmarkStart w:id="3" w:name="ksef20016563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RTX names Christopher T. Calio to succeed Gregory J. Hayes as CEO</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Hayes to serve as executive chairman; Calio elected to the company’s board of directors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Arlington, VA, Dec. 14, 2023 – In a planned leadership transition, RTX (NYSE: RTX) today announced that President and Chief Operating Officer Christopher T. Calio will succeed Gregory J. Hayes as Chief Executive Officer at the 2024 RTX Annual Shareowners Meeting scheduled for May 2. Hayes will continue to serve as executive chairman of RTX. Calio was also appointed to the company’s board of directors effective today.</w:t>
      </w:r>
    </w:p>
    <w:p>
      <w:pPr>
        <w:pStyle w:val="TextBody"/>
        <w:bidi w:val="0"/>
        <w:spacing w:before="0" w:after="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Today’s announcement reflects the Board’s deliberate, disciplined succession planning process,” said chairman and CEO Greg Hayes. “Chris has a deep understanding of the industry, our customers’ needs and our operations. I have every confidence in his ability to lead RTX and drive the company’s long-term success.”</w:t>
      </w:r>
    </w:p>
    <w:p>
      <w:pPr>
        <w:pStyle w:val="TextBody"/>
        <w:bidi w:val="0"/>
        <w:spacing w:before="0" w:after="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Greg has had a remarkable career leading RTX, his vision to transform from a conglomerate to a top global aerospace and defense company has created tremendous value for shareowners, employees and our nation,” said Fredric G. Reynolds, Board lead director.  “The Board looks forward to Greg’s continued influence and leadership as executive chairman.”</w:t>
      </w:r>
    </w:p>
    <w:p>
      <w:pPr>
        <w:pStyle w:val="TextBody"/>
        <w:bidi w:val="0"/>
        <w:spacing w:before="0" w:after="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The Board is very pleased to have Chris Calio succeed Greg Hayes as RTX CEO,” added Reynolds. “Chris has been disciplined in leading the company’s operations and strategic growth strategy. We look forward to working with and supporting Chris as he leads RTX to continued growth and success.”</w:t>
      </w:r>
    </w:p>
    <w:p>
      <w:pPr>
        <w:pStyle w:val="TextBody"/>
        <w:bidi w:val="0"/>
        <w:spacing w:before="0" w:after="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I deeply value the Board’s confidence in me and am grateful for the opportunity to lead the RTX team forward,” said Chris Calio. “I am honored to succeed Greg, who has built the best positioned portfolio in aerospace and defense.  As a leadership team, we are focused on driving operational excellence and accelerating technological innovation as we deliver on the record backlog of customer demand and meet shareowner expectations.”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Chris Calio</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president and chief operating officer of RTX, Calio, 50, oversees the company’s three business units, as well as its functions for technology, engineering, enterprise services, digital, operations, quality, supply chain and environmental, health and safety. In 2023, Calio oversaw the realignment of RTX from four to three business segments: Collins Aerospace, Pratt &amp; Whitney and Raytheon. Prior to his current role, Calio was president of Pratt &amp; Whitney, where he led the business that designs, manufactures and services aircraft engines and auxiliary power units. He joined the company in 2005 and held various leadership roles and drove significant transformational change throughout his tenure.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Greg Hayes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Responsible for leading 180,000 employees and $67 billion in annual sales, Hayes, 63, has been instrumental in creating a global organization focused on delivering innovative products and solutions for a safer, more connected world.</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Elected chairman of the board in 2021, Hayes had a nearly 21-year career at United Technologies Corporation, holding several senior leadership roles across finance, corporate strategy and business development, culminating with his appointment to chief executive officer in 2014 and chairman in 2016. As CEO, Hayes led the reshaping of UTC from industrial conglomerate to a focused aerospace company. Beginning with the divestiture of Sikorsky Aircraft in 2015 and the acquisition of Rockwell Collins in 2018, Hayes continued to focus the business with the spinoffs of Otis Elevator Company and Carrier Corporation in 2020. Hayes then led the merger of UTC’s remaining aerospace businesses, Pratt &amp; Whitney and Collins Aerospace Systems, with Raytheon Company, to form RTX in April 2020.</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313030"/>
          <w:sz w:val="20"/>
        </w:rPr>
      </w:pPr>
      <w:r>
        <w:rPr>
          <w:rFonts w:ascii="Times New Roman" w:hAnsi="Times New Roman"/>
          <w:b/>
          <w:color w:val="313030"/>
          <w:sz w:val="20"/>
        </w:rPr>
        <w:t>About RTX</w:t>
      </w:r>
    </w:p>
    <w:p>
      <w:pPr>
        <w:pStyle w:val="TextBody"/>
        <w:bidi w:val="0"/>
        <w:spacing w:before="0" w:after="0"/>
        <w:jc w:val="left"/>
        <w:rPr>
          <w:rFonts w:ascii="Times New Roman" w:hAnsi="Times New Roman"/>
          <w:color w:val="313030"/>
          <w:sz w:val="20"/>
        </w:rPr>
      </w:pPr>
      <w:r>
        <w:rPr>
          <w:rFonts w:ascii="Times New Roman" w:hAnsi="Times New Roman"/>
          <w:color w:val="313030"/>
          <w:sz w:val="20"/>
        </w:rPr>
        <w:t>RTX is the world’s largest aerospace and defense company. With more than 180,000 global employees, we push the limits of technology and science to redefine how we connect and protect our world. Through industry-leading businesses – Collins Aerospace, Pratt &amp; Whitney, and Raytheon – we are advancing aviation, engineering integrated defense systems for operational success, and developing next-generation technology solutions and manufacturing to help global customers address their most critical challenges. The company, with 2022 sales of $67 billion, is headquartered in Arlington, VA.</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1633</Words>
  <Characters>8891</Characters>
  <CharactersWithSpaces>10495</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