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6898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8980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Mitchill Neil G. JR</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WILSON BLVD.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RTX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624"/>
        <w:spacing w:after="0"/>
        <w:rPr>
          <w:sz w:val="20"/>
          <w:szCs w:val="20"/>
          <w:color w:val="auto"/>
        </w:rPr>
      </w:pPr>
      <w:r>
        <w:rPr>
          <w:rFonts w:ascii="Times New Roman" w:cs="Times New Roman" w:eastAsia="Times New Roman" w:hAnsi="Times New Roman"/>
          <w:sz w:val="17"/>
          <w:szCs w:val="17"/>
          <w:color w:val="0000FF"/>
        </w:rPr>
        <w:t>EVP, Chief Financial Officer</w:t>
      </w:r>
    </w:p>
    <w:p>
      <w:pPr>
        <w:spacing w:after="0" w:line="305" w:lineRule="exact"/>
        <w:rPr>
          <w:sz w:val="24"/>
          <w:szCs w:val="24"/>
          <w:color w:val="auto"/>
        </w:rPr>
      </w:pPr>
    </w:p>
    <w:p>
      <w:pPr>
        <w:sectPr>
          <w:pgSz w:w="11900" w:h="16838" w:orient="portrait"/>
          <w:cols w:equalWidth="0" w:num="3">
            <w:col w:w="3180" w:space="720"/>
            <w:col w:w="3116" w:space="720"/>
            <w:col w:w="334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460" w:type="dxa"/>
            <w:vAlign w:val="bottom"/>
            <w:gridSpan w:val="9"/>
            <w:vMerge w:val="restart"/>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160" w:type="dxa"/>
            <w:vAlign w:val="bottom"/>
          </w:tcPr>
          <w:p>
            <w:pPr>
              <w:spacing w:after="0"/>
              <w:rPr>
                <w:sz w:val="3"/>
                <w:szCs w:val="3"/>
                <w:color w:val="auto"/>
              </w:rPr>
            </w:pPr>
          </w:p>
        </w:tc>
        <w:tc>
          <w:tcPr>
            <w:tcW w:w="3700" w:type="dxa"/>
            <w:vAlign w:val="bottom"/>
            <w:gridSpan w:val="11"/>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60" w:type="dxa"/>
            <w:vAlign w:val="bottom"/>
            <w:gridSpan w:val="9"/>
            <w:vMerge w:val="continue"/>
          </w:tcPr>
          <w:p>
            <w:pPr>
              <w:spacing w:after="0"/>
              <w:rPr>
                <w:sz w:val="7"/>
                <w:szCs w:val="7"/>
                <w:color w:val="auto"/>
              </w:rPr>
            </w:pPr>
          </w:p>
        </w:tc>
        <w:tc>
          <w:tcPr>
            <w:tcW w:w="160" w:type="dxa"/>
            <w:vAlign w:val="bottom"/>
          </w:tcPr>
          <w:p>
            <w:pPr>
              <w:spacing w:after="0"/>
              <w:rPr>
                <w:sz w:val="7"/>
                <w:szCs w:val="7"/>
                <w:color w:val="auto"/>
              </w:rPr>
            </w:pPr>
          </w:p>
        </w:tc>
        <w:tc>
          <w:tcPr>
            <w:tcW w:w="37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VA</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22209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7"/>
          </w:tcPr>
          <w:p>
            <w:pPr>
              <w:ind w:left="12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8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56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100" w:type="dxa"/>
            <w:vAlign w:val="bottom"/>
          </w:tcPr>
          <w:p>
            <w:pPr>
              <w:spacing w:after="0"/>
              <w:rPr>
                <w:sz w:val="20"/>
                <w:szCs w:val="20"/>
                <w:color w:val="auto"/>
              </w:rPr>
            </w:pPr>
            <w:r>
              <w:rPr>
                <w:rFonts w:ascii="Arial" w:cs="Arial" w:eastAsia="Arial" w:hAnsi="Arial"/>
                <w:sz w:val="11"/>
                <w:szCs w:val="11"/>
                <w:b w:val="1"/>
                <w:bCs w:val="1"/>
                <w:color w:val="auto"/>
                <w:w w:val="86"/>
              </w:rPr>
              <w:t>3.</w:t>
            </w:r>
          </w:p>
        </w:tc>
        <w:tc>
          <w:tcPr>
            <w:tcW w:w="600" w:type="dxa"/>
            <w:vAlign w:val="bottom"/>
          </w:tcPr>
          <w:p>
            <w:pPr>
              <w:spacing w:after="0"/>
              <w:rPr>
                <w:sz w:val="14"/>
                <w:szCs w:val="14"/>
                <w:color w:val="auto"/>
              </w:rPr>
            </w:pPr>
          </w:p>
        </w:tc>
        <w:tc>
          <w:tcPr>
            <w:tcW w:w="218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56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(D) (Instr. 3, 4 and 5)</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20" w:type="dxa"/>
            <w:vAlign w:val="bottom"/>
            <w:gridSpan w:val="3"/>
          </w:tcPr>
          <w:p>
            <w:pPr>
              <w:ind w:left="5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418"/>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10,000</w:t>
            </w:r>
            <w:r>
              <w:rPr>
                <w:rFonts w:ascii="Times New Roman" w:cs="Times New Roman" w:eastAsia="Times New Roman" w:hAnsi="Times New Roman"/>
                <w:sz w:val="21"/>
                <w:szCs w:val="21"/>
                <w:color w:val="008000"/>
                <w:w w:val="91"/>
                <w:vertAlign w:val="superscript"/>
              </w:rPr>
              <w:t>(1)</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76</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93,087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41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126"/>
              <w:spacing w:after="0"/>
              <w:rPr>
                <w:sz w:val="20"/>
                <w:szCs w:val="20"/>
                <w:color w:val="auto"/>
              </w:rPr>
            </w:pPr>
            <w:r>
              <w:rPr>
                <w:rFonts w:ascii="Times New Roman" w:cs="Times New Roman" w:eastAsia="Times New Roman" w:hAnsi="Times New Roman"/>
                <w:sz w:val="17"/>
                <w:szCs w:val="17"/>
                <w:color w:val="0000FF"/>
                <w:w w:val="87"/>
              </w:rPr>
              <w:t>9,394</w:t>
            </w:r>
            <w:r>
              <w:rPr>
                <w:rFonts w:ascii="Times New Roman" w:cs="Times New Roman" w:eastAsia="Times New Roman" w:hAnsi="Times New Roman"/>
                <w:sz w:val="21"/>
                <w:szCs w:val="21"/>
                <w:color w:val="008000"/>
                <w:w w:val="87"/>
                <w:vertAlign w:val="superscript"/>
              </w:rPr>
              <w:t>(1)</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76</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102,481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center"/>
              <w:ind w:right="418"/>
              <w:spacing w:after="0"/>
              <w:rPr>
                <w:sz w:val="20"/>
                <w:szCs w:val="20"/>
                <w:color w:val="auto"/>
              </w:rPr>
            </w:pPr>
            <w:r>
              <w:rPr>
                <w:rFonts w:ascii="Times New Roman" w:cs="Times New Roman" w:eastAsia="Times New Roman" w:hAnsi="Times New Roman"/>
                <w:sz w:val="13"/>
                <w:szCs w:val="13"/>
                <w:color w:val="0000FF"/>
                <w:w w:val="84"/>
              </w:rPr>
              <w:t>D</w:t>
            </w:r>
          </w:p>
        </w:tc>
        <w:tc>
          <w:tcPr>
            <w:tcW w:w="160" w:type="dxa"/>
            <w:vAlign w:val="bottom"/>
          </w:tcPr>
          <w:p>
            <w:pPr>
              <w:spacing w:after="0"/>
              <w:rPr>
                <w:sz w:val="22"/>
                <w:szCs w:val="22"/>
                <w:color w:val="auto"/>
              </w:rPr>
            </w:pPr>
          </w:p>
        </w:tc>
        <w:tc>
          <w:tcPr>
            <w:tcW w:w="720" w:type="dxa"/>
            <w:vAlign w:val="bottom"/>
          </w:tcPr>
          <w:p>
            <w:pPr>
              <w:jc w:val="center"/>
              <w:ind w:right="126"/>
              <w:spacing w:after="0"/>
              <w:rPr>
                <w:sz w:val="20"/>
                <w:szCs w:val="20"/>
                <w:color w:val="auto"/>
              </w:rPr>
            </w:pPr>
            <w:r>
              <w:rPr>
                <w:rFonts w:ascii="Times New Roman" w:cs="Times New Roman" w:eastAsia="Times New Roman" w:hAnsi="Times New Roman"/>
                <w:sz w:val="17"/>
                <w:szCs w:val="17"/>
                <w:color w:val="0000FF"/>
                <w:w w:val="93"/>
              </w:rPr>
              <w:t>3,473</w:t>
            </w:r>
          </w:p>
        </w:tc>
        <w:tc>
          <w:tcPr>
            <w:tcW w:w="4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205.53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99,008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center"/>
              <w:ind w:right="418"/>
              <w:spacing w:after="0"/>
              <w:rPr>
                <w:sz w:val="20"/>
                <w:szCs w:val="20"/>
                <w:color w:val="auto"/>
              </w:rPr>
            </w:pPr>
            <w:r>
              <w:rPr>
                <w:rFonts w:ascii="Times New Roman" w:cs="Times New Roman" w:eastAsia="Times New Roman" w:hAnsi="Times New Roman"/>
                <w:sz w:val="13"/>
                <w:szCs w:val="13"/>
                <w:color w:val="0000FF"/>
                <w:w w:val="84"/>
              </w:rPr>
              <w:t>D</w:t>
            </w:r>
          </w:p>
        </w:tc>
        <w:tc>
          <w:tcPr>
            <w:tcW w:w="160" w:type="dxa"/>
            <w:vAlign w:val="bottom"/>
          </w:tcPr>
          <w:p>
            <w:pPr>
              <w:spacing w:after="0"/>
              <w:rPr>
                <w:sz w:val="22"/>
                <w:szCs w:val="22"/>
                <w:color w:val="auto"/>
              </w:rPr>
            </w:pPr>
          </w:p>
        </w:tc>
        <w:tc>
          <w:tcPr>
            <w:tcW w:w="720" w:type="dxa"/>
            <w:vAlign w:val="bottom"/>
          </w:tcPr>
          <w:p>
            <w:pPr>
              <w:jc w:val="center"/>
              <w:ind w:right="126"/>
              <w:spacing w:after="0"/>
              <w:rPr>
                <w:sz w:val="20"/>
                <w:szCs w:val="20"/>
                <w:color w:val="auto"/>
              </w:rPr>
            </w:pPr>
            <w:r>
              <w:rPr>
                <w:rFonts w:ascii="Times New Roman" w:cs="Times New Roman" w:eastAsia="Times New Roman" w:hAnsi="Times New Roman"/>
                <w:sz w:val="17"/>
                <w:szCs w:val="17"/>
                <w:color w:val="0000FF"/>
                <w:w w:val="93"/>
              </w:rPr>
              <w:t>3,697</w:t>
            </w:r>
          </w:p>
        </w:tc>
        <w:tc>
          <w:tcPr>
            <w:tcW w:w="4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205.56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95,311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418"/>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126"/>
              <w:spacing w:after="0"/>
              <w:rPr>
                <w:sz w:val="20"/>
                <w:szCs w:val="20"/>
                <w:color w:val="auto"/>
              </w:rPr>
            </w:pPr>
            <w:r>
              <w:rPr>
                <w:rFonts w:ascii="Times New Roman" w:cs="Times New Roman" w:eastAsia="Times New Roman" w:hAnsi="Times New Roman"/>
                <w:sz w:val="17"/>
                <w:szCs w:val="17"/>
                <w:color w:val="0000FF"/>
                <w:w w:val="93"/>
              </w:rPr>
              <w:t>5,921</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205.5428</w:t>
            </w:r>
            <w:r>
              <w:rPr>
                <w:rFonts w:ascii="Times New Roman" w:cs="Times New Roman" w:eastAsia="Times New Roman" w:hAnsi="Times New Roman"/>
                <w:sz w:val="21"/>
                <w:szCs w:val="21"/>
                <w:color w:val="008000"/>
                <w:w w:val="93"/>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89,390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418"/>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126"/>
              <w:spacing w:after="0"/>
              <w:rPr>
                <w:sz w:val="20"/>
                <w:szCs w:val="20"/>
                <w:color w:val="auto"/>
              </w:rPr>
            </w:pPr>
            <w:r>
              <w:rPr>
                <w:rFonts w:ascii="Times New Roman" w:cs="Times New Roman" w:eastAsia="Times New Roman" w:hAnsi="Times New Roman"/>
                <w:sz w:val="17"/>
                <w:szCs w:val="17"/>
                <w:color w:val="0000FF"/>
                <w:w w:val="93"/>
              </w:rPr>
              <w:t>6,303</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205.5364</w:t>
            </w:r>
            <w:r>
              <w:rPr>
                <w:rFonts w:ascii="Times New Roman" w:cs="Times New Roman" w:eastAsia="Times New Roman" w:hAnsi="Times New Roman"/>
                <w:sz w:val="21"/>
                <w:szCs w:val="21"/>
                <w:color w:val="008000"/>
                <w:w w:val="93"/>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83,087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418"/>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126"/>
              <w:spacing w:after="0"/>
              <w:rPr>
                <w:sz w:val="20"/>
                <w:szCs w:val="20"/>
                <w:color w:val="auto"/>
              </w:rPr>
            </w:pPr>
            <w:r>
              <w:rPr>
                <w:rFonts w:ascii="Times New Roman" w:cs="Times New Roman" w:eastAsia="Times New Roman" w:hAnsi="Times New Roman"/>
                <w:sz w:val="17"/>
                <w:szCs w:val="17"/>
                <w:color w:val="0000FF"/>
                <w:w w:val="94"/>
              </w:rPr>
              <w:t>23,531</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3"/>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205.575</w:t>
            </w:r>
            <w:r>
              <w:rPr>
                <w:rFonts w:ascii="Times New Roman" w:cs="Times New Roman" w:eastAsia="Times New Roman" w:hAnsi="Times New Roman"/>
                <w:sz w:val="21"/>
                <w:szCs w:val="21"/>
                <w:color w:val="008000"/>
                <w:w w:val="93"/>
                <w:vertAlign w:val="superscript"/>
              </w:rPr>
              <w:t>(4)</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59,556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1,475</w:t>
            </w:r>
          </w:p>
        </w:tc>
        <w:tc>
          <w:tcPr>
            <w:tcW w:w="260" w:type="dxa"/>
            <w:vAlign w:val="bottom"/>
          </w:tcPr>
          <w:p>
            <w:pPr>
              <w:spacing w:after="0"/>
              <w:rPr>
                <w:sz w:val="17"/>
                <w:szCs w:val="17"/>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Savings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Trustee</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80" w:type="dxa"/>
            <w:vAlign w:val="bottom"/>
            <w:tcBorders>
              <w:bottom w:val="single" w:sz="8" w:color="2C2C2C"/>
            </w:tcBorders>
            <w:gridSpan w:val="8"/>
          </w:tcPr>
          <w:p>
            <w:pPr>
              <w:spacing w:after="0"/>
              <w:rPr>
                <w:sz w:val="8"/>
                <w:szCs w:val="8"/>
                <w:color w:val="auto"/>
              </w:rPr>
            </w:pPr>
          </w:p>
        </w:tc>
        <w:tc>
          <w:tcPr>
            <w:tcW w:w="1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7"/>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4"/>
          </w:tcPr>
          <w:p>
            <w:pPr>
              <w:jc w:val="center"/>
              <w:ind w:left="467"/>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jc w:val="right"/>
              <w:ind w:right="1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00" w:type="dxa"/>
            <w:vAlign w:val="bottom"/>
          </w:tcPr>
          <w:p>
            <w:pPr>
              <w:spacing w:after="0"/>
              <w:rPr>
                <w:sz w:val="14"/>
                <w:szCs w:val="14"/>
                <w:color w:val="auto"/>
              </w:rPr>
            </w:pPr>
          </w:p>
        </w:tc>
        <w:tc>
          <w:tcPr>
            <w:tcW w:w="148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1480" w:type="dxa"/>
            <w:vAlign w:val="bottom"/>
            <w:gridSpan w:val="3"/>
          </w:tcPr>
          <w:p>
            <w:pPr>
              <w:ind w:left="10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1"/>
                <w:szCs w:val="11"/>
                <w:color w:val="auto"/>
              </w:rPr>
            </w:pPr>
          </w:p>
        </w:tc>
        <w:tc>
          <w:tcPr>
            <w:tcW w:w="148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340" w:type="dxa"/>
            <w:vAlign w:val="bottom"/>
          </w:tcPr>
          <w:p>
            <w:pPr>
              <w:jc w:val="right"/>
              <w:ind w:right="14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(A) 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of (D) (Instr.</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1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9,394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Appreciation</w:t>
            </w:r>
          </w:p>
        </w:tc>
        <w:tc>
          <w:tcPr>
            <w:tcW w:w="52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76</w:t>
            </w:r>
          </w:p>
        </w:tc>
        <w:tc>
          <w:tcPr>
            <w:tcW w:w="260" w:type="dxa"/>
            <w:vAlign w:val="bottom"/>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02/19/2026</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vMerge w:val="restart"/>
          </w:tcPr>
          <w:p>
            <w:pPr>
              <w:jc w:val="right"/>
              <w:ind w:righ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60" w:type="dxa"/>
            <w:vAlign w:val="bottom"/>
            <w:gridSpan w:val="3"/>
            <w:vMerge w:val="restart"/>
          </w:tcPr>
          <w:p>
            <w:pPr>
              <w:jc w:val="right"/>
              <w:ind w:right="3"/>
              <w:spacing w:after="0" w:line="141" w:lineRule="exact"/>
              <w:rPr>
                <w:sz w:val="20"/>
                <w:szCs w:val="20"/>
                <w:color w:val="auto"/>
              </w:rPr>
            </w:pPr>
            <w:r>
              <w:rPr>
                <w:rFonts w:ascii="Times New Roman" w:cs="Times New Roman" w:eastAsia="Times New Roman" w:hAnsi="Times New Roman"/>
                <w:sz w:val="13"/>
                <w:szCs w:val="13"/>
                <w:color w:val="0000FF"/>
              </w:rPr>
              <w:t>9,394</w:t>
            </w:r>
          </w:p>
        </w:tc>
        <w:tc>
          <w:tcPr>
            <w:tcW w:w="760" w:type="dxa"/>
            <w:vAlign w:val="bottom"/>
            <w:gridSpan w:val="2"/>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01/02/2021</w:t>
            </w:r>
          </w:p>
        </w:tc>
        <w:tc>
          <w:tcPr>
            <w:tcW w:w="72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w w:val="97"/>
              </w:rPr>
              <w:t>01/01/2028</w:t>
            </w:r>
          </w:p>
        </w:tc>
        <w:tc>
          <w:tcPr>
            <w:tcW w:w="6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restart"/>
          </w:tcPr>
          <w:p>
            <w:pPr>
              <w:jc w:val="right"/>
              <w:ind w:right="1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60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10,000</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Appreciation</w:t>
            </w:r>
          </w:p>
        </w:tc>
        <w:tc>
          <w:tcPr>
            <w:tcW w:w="52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76</w:t>
            </w:r>
          </w:p>
        </w:tc>
        <w:tc>
          <w:tcPr>
            <w:tcW w:w="26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0000FF"/>
              </w:rPr>
              <w:t>02/19/2026</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jc w:val="right"/>
              <w:ind w:right="4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6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0000FF"/>
              </w:rPr>
              <w:t>01/02/2021</w:t>
            </w:r>
          </w:p>
        </w:tc>
        <w:tc>
          <w:tcPr>
            <w:tcW w:w="72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w w:val="97"/>
              </w:rPr>
              <w:t>01/01/2028</w:t>
            </w:r>
          </w:p>
        </w:tc>
        <w:tc>
          <w:tcPr>
            <w:tcW w:w="6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21"/>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60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94"/>
              </w:rPr>
              <w:t>0.0000</w:t>
            </w:r>
          </w:p>
        </w:tc>
        <w:tc>
          <w:tcPr>
            <w:tcW w:w="26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-2338070</wp:posOffset>
            </wp:positionV>
            <wp:extent cx="29210" cy="2343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431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Appreciation Rights (SARs) were settled in shares in accordance with the terms of the award. For Section 16 reporting purposes, the exercise of SARs for stock is treated as an exempt acquisition of the shares underlying the SARs at the exercise price per share specified in the award of SARs and a simultaneous sale back to the issuer of a number of the underlying shares having a value, based on the market price of the issuer's stock on the date of the exercise, equal to the product of the number of underlying SARs times the exercise price per share.</w:t>
      </w:r>
    </w:p>
    <w:p>
      <w:pPr>
        <w:spacing w:after="0" w:line="27" w:lineRule="exact"/>
        <w:rPr>
          <w:rFonts w:ascii="Times New Roman" w:cs="Times New Roman" w:eastAsia="Times New Roman" w:hAnsi="Times New Roman"/>
          <w:sz w:val="13"/>
          <w:szCs w:val="13"/>
          <w:color w:val="008000"/>
        </w:rPr>
      </w:pPr>
    </w:p>
    <w:p>
      <w:pPr>
        <w:ind w:left="40" w:right="4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based on a weighted average of multiple same-day transactions with prices ranging from $205.5417 to $205.625 per share. Full information regarding the number of shares sold at each separate price is available to the Securities and Exchange Commission, the Issuer or any security holder of the Issuer upon request.</w:t>
      </w:r>
    </w:p>
    <w:p>
      <w:pPr>
        <w:spacing w:after="0" w:line="19" w:lineRule="exact"/>
        <w:rPr>
          <w:rFonts w:ascii="Times New Roman" w:cs="Times New Roman" w:eastAsia="Times New Roman" w:hAnsi="Times New Roman"/>
          <w:sz w:val="13"/>
          <w:szCs w:val="13"/>
          <w:color w:val="008000"/>
        </w:rPr>
      </w:pPr>
    </w:p>
    <w:p>
      <w:pPr>
        <w:ind w:left="40" w:right="4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based on a weighted average of multiple same-day transactions with prices ranging from $205.5329 to $205.675 per share. Full information regarding the number of shares sold at each separate price is available to the Securities and Exchange Commission, the Issuer or any security holder of the Issuer upon request.</w:t>
      </w:r>
    </w:p>
    <w:p>
      <w:pPr>
        <w:spacing w:after="0" w:line="19"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based on a weighted average of multiple same-day transactions with prices ranging from $205.00 to $206.00 per share. Full information regarding the number of shares sold at each separate price is available to the Securities and Exchange Commission, the Issuer or any security holder of the Issuer upon request.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Yahl, as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02/23/2026</w:t>
            </w:r>
          </w:p>
        </w:tc>
        <w:tc>
          <w:tcPr>
            <w:tcW w:w="0" w:type="dxa"/>
            <w:vAlign w:val="bottom"/>
          </w:tcPr>
          <w:p>
            <w:pPr>
              <w:spacing w:after="0"/>
              <w:rPr>
                <w:sz w:val="1"/>
                <w:szCs w:val="1"/>
                <w:color w:val="auto"/>
              </w:rPr>
            </w:pPr>
          </w:p>
        </w:tc>
      </w:tr>
      <w:tr>
        <w:trPr>
          <w:trHeight w:val="87"/>
        </w:trPr>
        <w:tc>
          <w:tcPr>
            <w:tcW w:w="44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4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bottom w:val="single" w:sz="8" w:color="auto"/>
            </w:tcBorders>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59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3746" TargetMode="External"/><Relationship Id="rId14" Type="http://schemas.openxmlformats.org/officeDocument/2006/relationships/hyperlink" Target="http://www.sec.gov/cgi-bin/browse-edgar?action=getcompany&amp;CIK=0000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2026-02-23T16:30:43Z</dcterms:created>
  <dcterms:modified xsi:type="dcterms:W3CDTF">2026-02-23T16:30:43Z</dcterms:modified>
</cp:coreProperties>
</file>