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4"/>
          <w:szCs w:val="24"/>
          <w:color w:val="auto"/>
        </w:rPr>
      </w:pPr>
    </w:p>
    <w:p>
      <w:pPr>
        <w:ind w:left="680" w:right="2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7"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502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r>
      <w:tr>
        <w:trPr>
          <w:trHeight w:val="380"/>
        </w:trPr>
        <w:tc>
          <w:tcPr>
            <w:tcW w:w="6400" w:type="dxa"/>
            <w:vAlign w:val="bottom"/>
            <w:gridSpan w:val="6"/>
          </w:tcPr>
          <w:p>
            <w:pPr>
              <w:jc w:val="center"/>
              <w:ind w:left="2865"/>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6400" w:type="dxa"/>
            <w:vAlign w:val="bottom"/>
            <w:gridSpan w:val="6"/>
          </w:tcPr>
          <w:p>
            <w:pPr>
              <w:jc w:val="center"/>
              <w:ind w:left="2825"/>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45"/>
        </w:trPr>
        <w:tc>
          <w:tcPr>
            <w:tcW w:w="8720" w:type="dxa"/>
            <w:vAlign w:val="bottom"/>
            <w:gridSpan w:val="8"/>
          </w:tcPr>
          <w:p>
            <w:pPr>
              <w:jc w:val="center"/>
              <w:ind w:left="565"/>
              <w:spacing w:after="0"/>
              <w:rPr>
                <w:sz w:val="20"/>
                <w:szCs w:val="20"/>
                <w:color w:val="auto"/>
              </w:rPr>
            </w:pPr>
            <w:r>
              <w:rPr>
                <w:rFonts w:ascii="Times New Roman" w:cs="Times New Roman" w:eastAsia="Times New Roman" w:hAnsi="Times New Roman"/>
                <w:sz w:val="43"/>
                <w:szCs w:val="43"/>
                <w:b w:val="1"/>
                <w:bCs w:val="1"/>
                <w:color w:val="auto"/>
                <w:w w:val="99"/>
              </w:rPr>
              <w:t>RTX CORPORATION</w:t>
            </w:r>
          </w:p>
        </w:tc>
      </w:tr>
      <w:tr>
        <w:trPr>
          <w:trHeight w:val="237"/>
        </w:trPr>
        <w:tc>
          <w:tcPr>
            <w:tcW w:w="6400" w:type="dxa"/>
            <w:vAlign w:val="bottom"/>
            <w:gridSpan w:val="6"/>
          </w:tcPr>
          <w:p>
            <w:pPr>
              <w:jc w:val="center"/>
              <w:ind w:left="288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88"/>
        </w:trPr>
        <w:tc>
          <w:tcPr>
            <w:tcW w:w="5980" w:type="dxa"/>
            <w:vAlign w:val="bottom"/>
            <w:gridSpan w:val="5"/>
          </w:tcPr>
          <w:p>
            <w:pPr>
              <w:jc w:val="center"/>
              <w:ind w:left="3265"/>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5"/>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90"/>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71"/>
        </w:trPr>
        <w:tc>
          <w:tcPr>
            <w:tcW w:w="41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1000 Wilson Boulevard,</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32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22209</w:t>
            </w:r>
          </w:p>
        </w:tc>
      </w:tr>
      <w:tr>
        <w:trPr>
          <w:trHeight w:val="190"/>
        </w:trPr>
        <w:tc>
          <w:tcPr>
            <w:tcW w:w="5440" w:type="dxa"/>
            <w:vAlign w:val="bottom"/>
            <w:gridSpan w:val="3"/>
          </w:tcPr>
          <w:p>
            <w:pPr>
              <w:ind w:left="3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0"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9"/>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42"/>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660" w:type="dxa"/>
            <w:vAlign w:val="bottom"/>
          </w:tcPr>
          <w:p>
            <w:pPr>
              <w:spacing w:after="0"/>
              <w:rPr>
                <w:sz w:val="21"/>
                <w:szCs w:val="21"/>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6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and “emerging growth company” in Rule 12b-2 of the Exchange Act.</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ind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2024 there were 1,330,239,366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CONTENTS OF QUARTERLY REPORT ON FORM 10-Q</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June 30, 2024</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560" w:type="dxa"/>
            <w:vAlign w:val="bottom"/>
            <w:gridSpan w:val="11"/>
          </w:tcPr>
          <w:p>
            <w:pPr>
              <w:spacing w:after="0"/>
              <w:rPr>
                <w:sz w:val="19"/>
                <w:szCs w:val="19"/>
                <w:color w:val="auto"/>
              </w:rPr>
            </w:pPr>
          </w:p>
        </w:tc>
        <w:tc>
          <w:tcPr>
            <w:tcW w:w="50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9"/>
                <w:szCs w:val="19"/>
                <w:color w:val="auto"/>
              </w:rPr>
            </w:pPr>
          </w:p>
        </w:tc>
      </w:tr>
      <w:tr>
        <w:trPr>
          <w:trHeight w:val="263"/>
        </w:trPr>
        <w:tc>
          <w:tcPr>
            <w:tcW w:w="140" w:type="dxa"/>
            <w:vAlign w:val="bottom"/>
          </w:tcPr>
          <w:p>
            <w:pPr>
              <w:spacing w:after="0"/>
              <w:rPr>
                <w:sz w:val="22"/>
                <w:szCs w:val="22"/>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7500" w:type="dxa"/>
            <w:vAlign w:val="bottom"/>
            <w:gridSpan w:val="10"/>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Operations for the quarters and six months ended June 30, 2024 and 2023</w:t>
            </w:r>
          </w:p>
        </w:tc>
        <w:tc>
          <w:tcPr>
            <w:tcW w:w="2100" w:type="dxa"/>
            <w:vAlign w:val="bottom"/>
            <w:gridSpan w:val="3"/>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quarters and six months ended June 30, 2024 and 2023</w:t>
            </w:r>
          </w:p>
        </w:tc>
        <w:tc>
          <w:tcPr>
            <w:tcW w:w="1180" w:type="dxa"/>
            <w:vAlign w:val="bottom"/>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 at June 30, 2024 and December 31, 2023</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six months ended June 30, 2024 and 2023</w:t>
            </w:r>
          </w:p>
        </w:tc>
        <w:tc>
          <w:tcPr>
            <w:tcW w:w="2980" w:type="dxa"/>
            <w:vAlign w:val="bottom"/>
            <w:gridSpan w:val="4"/>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Equity for the quarters and six months ended June 30, 2024 and 2023</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64"/>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580" w:type="dxa"/>
            <w:vAlign w:val="bottom"/>
            <w:gridSpan w:val="2"/>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0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4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2120" w:type="dxa"/>
            <w:vAlign w:val="bottom"/>
            <w:gridSpan w:val="2"/>
          </w:tcPr>
          <w:p>
            <w:pPr>
              <w:spacing w:after="0"/>
              <w:rPr>
                <w:sz w:val="22"/>
                <w:szCs w:val="22"/>
                <w:color w:val="auto"/>
              </w:rPr>
            </w:pPr>
          </w:p>
        </w:tc>
        <w:tc>
          <w:tcPr>
            <w:tcW w:w="3400" w:type="dxa"/>
            <w:vAlign w:val="bottom"/>
            <w:gridSpan w:val="5"/>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60" w:type="dxa"/>
            <w:vAlign w:val="bottom"/>
            <w:gridSpan w:val="6"/>
          </w:tcPr>
          <w:p>
            <w:pPr>
              <w:spacing w:after="0"/>
              <w:rPr>
                <w:sz w:val="22"/>
                <w:szCs w:val="22"/>
                <w:color w:val="auto"/>
              </w:rPr>
            </w:pPr>
          </w:p>
        </w:tc>
        <w:tc>
          <w:tcPr>
            <w:tcW w:w="5520" w:type="dxa"/>
            <w:vAlign w:val="bottom"/>
            <w:gridSpan w:val="7"/>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2"/>
                <w:szCs w:val="22"/>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Item 1. Legal Proceedings</w:t>
            </w:r>
          </w:p>
        </w:tc>
        <w:tc>
          <w:tcPr>
            <w:tcW w:w="680" w:type="dxa"/>
            <w:vAlign w:val="bottom"/>
            <w:gridSpan w:val="2"/>
          </w:tcPr>
          <w:p>
            <w:pPr>
              <w:spacing w:after="0"/>
              <w:rPr>
                <w:sz w:val="22"/>
                <w:szCs w:val="22"/>
                <w:color w:val="auto"/>
              </w:rPr>
            </w:pPr>
          </w:p>
        </w:tc>
        <w:tc>
          <w:tcPr>
            <w:tcW w:w="7880" w:type="dxa"/>
            <w:vAlign w:val="bottom"/>
            <w:gridSpan w:val="12"/>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60" w:type="dxa"/>
            <w:vAlign w:val="bottom"/>
          </w:tcPr>
          <w:p>
            <w:pPr>
              <w:spacing w:after="0"/>
              <w:rPr>
                <w:sz w:val="22"/>
                <w:szCs w:val="22"/>
                <w:color w:val="auto"/>
              </w:rPr>
            </w:pPr>
          </w:p>
        </w:tc>
        <w:tc>
          <w:tcPr>
            <w:tcW w:w="8560" w:type="dxa"/>
            <w:vAlign w:val="bottom"/>
            <w:gridSpan w:val="14"/>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0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40" w:type="dxa"/>
            <w:vAlign w:val="bottom"/>
            <w:gridSpan w:val="20"/>
          </w:tcPr>
          <w:p>
            <w:pPr>
              <w:ind w:left="12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6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560" w:type="dxa"/>
            <w:vAlign w:val="bottom"/>
            <w:gridSpan w:val="14"/>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60" w:type="dxa"/>
            <w:vAlign w:val="bottom"/>
            <w:gridSpan w:val="1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2"/>
                <w:szCs w:val="22"/>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10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Products sales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14,562</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13,411</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28,865</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26,198</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Services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5,159</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10,161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19,721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18,315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39,026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35,529</w:t>
            </w:r>
          </w:p>
        </w:tc>
        <w:tc>
          <w:tcPr>
            <w:tcW w:w="0" w:type="dxa"/>
            <w:vAlign w:val="bottom"/>
          </w:tcPr>
          <w:p>
            <w:pPr>
              <w:spacing w:after="0"/>
              <w:rPr>
                <w:sz w:val="1"/>
                <w:szCs w:val="1"/>
                <w:color w:val="auto"/>
              </w:rPr>
            </w:pP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 of sales - products</w:t>
            </w: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12,625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24,841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21,789</w:t>
            </w:r>
          </w:p>
        </w:tc>
        <w:tc>
          <w:tcPr>
            <w:tcW w:w="0" w:type="dxa"/>
            <w:vAlign w:val="bottom"/>
          </w:tcPr>
          <w:p>
            <w:pPr>
              <w:spacing w:after="0"/>
              <w:rPr>
                <w:sz w:val="1"/>
                <w:szCs w:val="1"/>
                <w:color w:val="auto"/>
              </w:rPr>
            </w:pPr>
          </w:p>
        </w:tc>
      </w:tr>
      <w:tr>
        <w:trPr>
          <w:trHeight w:val="231"/>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sales - services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3,516</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7,044</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6,374</w:t>
            </w:r>
          </w:p>
        </w:tc>
        <w:tc>
          <w:tcPr>
            <w:tcW w:w="0" w:type="dxa"/>
            <w:vAlign w:val="bottom"/>
          </w:tcPr>
          <w:p>
            <w:pPr>
              <w:spacing w:after="0"/>
              <w:rPr>
                <w:sz w:val="1"/>
                <w:szCs w:val="1"/>
                <w:color w:val="auto"/>
              </w:rPr>
            </w:pPr>
          </w:p>
        </w:tc>
      </w:tr>
      <w:tr>
        <w:trPr>
          <w:trHeight w:val="228"/>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706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1,375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1,449</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2,843</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2,963</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18,296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36,103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32,462</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529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2,399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0" w:type="dxa"/>
            <w:vAlign w:val="bottom"/>
          </w:tcPr>
          <w:p>
            <w:pPr>
              <w:spacing w:after="0"/>
              <w:rPr>
                <w:sz w:val="1"/>
                <w:szCs w:val="1"/>
                <w:color w:val="auto"/>
              </w:rPr>
            </w:pPr>
          </w:p>
        </w:tc>
      </w:tr>
      <w:tr>
        <w:trPr>
          <w:trHeight w:val="23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 (income), net: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475</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880</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0" w:type="dxa"/>
            <w:vAlign w:val="bottom"/>
          </w:tcPr>
          <w:p>
            <w:pPr>
              <w:spacing w:after="0"/>
              <w:rPr>
                <w:sz w:val="1"/>
                <w:szCs w:val="1"/>
                <w:color w:val="auto"/>
              </w:rPr>
            </w:pPr>
          </w:p>
        </w:tc>
      </w:tr>
      <w:tr>
        <w:trPr>
          <w:trHeight w:val="221"/>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non-operating expense (income),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120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428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2,279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w:t>
            </w:r>
          </w:p>
        </w:tc>
        <w:tc>
          <w:tcPr>
            <w:tcW w:w="0" w:type="dxa"/>
            <w:vAlign w:val="bottom"/>
          </w:tcPr>
          <w:p>
            <w:pPr>
              <w:spacing w:after="0"/>
              <w:rPr>
                <w:sz w:val="1"/>
                <w:szCs w:val="1"/>
                <w:color w:val="auto"/>
              </w:rPr>
            </w:pPr>
          </w:p>
        </w:tc>
      </w:tr>
      <w:tr>
        <w:trPr>
          <w:trHeight w:val="228"/>
        </w:trPr>
        <w:tc>
          <w:tcPr>
            <w:tcW w:w="6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361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0" w:type="dxa"/>
            <w:vAlign w:val="bottom"/>
          </w:tcPr>
          <w:p>
            <w:pPr>
              <w:spacing w:after="0"/>
              <w:rPr>
                <w:sz w:val="1"/>
                <w:szCs w:val="1"/>
                <w:color w:val="auto"/>
              </w:rPr>
            </w:pP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175</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1,918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0" w:type="dxa"/>
            <w:vAlign w:val="bottom"/>
          </w:tcPr>
          <w:p>
            <w:pPr>
              <w:spacing w:after="0"/>
              <w:rPr>
                <w:sz w:val="1"/>
                <w:szCs w:val="1"/>
                <w:color w:val="auto"/>
              </w:rPr>
            </w:pPr>
          </w:p>
        </w:tc>
      </w:tr>
      <w:tr>
        <w:trPr>
          <w:trHeight w:val="228"/>
        </w:trPr>
        <w:tc>
          <w:tcPr>
            <w:tcW w:w="6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Less: Noncontrolling interest in subsidiaries’ earnings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98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32"/>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111</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1,820</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shareowners: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0.08</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1.37</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38"/>
        </w:trPr>
        <w:tc>
          <w:tcPr>
            <w:tcW w:w="6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0.08</w:t>
            </w: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1.36</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1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1,918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items of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1,619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1,521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80" w:type="dxa"/>
            <w:vAlign w:val="bottom"/>
          </w:tcPr>
          <w:p>
            <w:pPr>
              <w:spacing w:after="0"/>
              <w:rPr>
                <w:sz w:val="16"/>
                <w:szCs w:val="16"/>
                <w:color w:val="auto"/>
              </w:rPr>
            </w:pPr>
          </w:p>
        </w:tc>
        <w:tc>
          <w:tcPr>
            <w:tcW w:w="14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6,587</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10,252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10,838</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Contract assets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13,581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12,139</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Inventory, net</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13,047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11,777</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current</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6,334</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7,076</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49,225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48,417</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2,320</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2,392</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32,062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31,392</w:t>
            </w:r>
          </w:p>
        </w:tc>
      </w:tr>
      <w:tr>
        <w:trPr>
          <w:trHeight w:val="229"/>
        </w:trPr>
        <w:tc>
          <w:tcPr>
            <w:tcW w:w="62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(16,369)</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(15,644)</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Fixed assets, net</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15,693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15,748</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1,664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53,347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53,699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34,503</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35,399</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4,417</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4,576</w:t>
            </w:r>
          </w:p>
        </w:tc>
      </w:tr>
      <w:tr>
        <w:trPr>
          <w:trHeight w:val="232"/>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18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161,169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161,869</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borrowings</w:t>
            </w:r>
          </w:p>
        </w:tc>
        <w:tc>
          <w:tcPr>
            <w:tcW w:w="18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10,939</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2,065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17,048</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14,917</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liabilities</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17,665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17,183</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1,617</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49,565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46,761</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40,303</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42,355</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1,415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2,264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2,385</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6,941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7,511</w:t>
            </w:r>
          </w:p>
        </w:tc>
      </w:tr>
      <w:tr>
        <w:trPr>
          <w:trHeight w:val="223"/>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100,488</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100,424</w:t>
            </w:r>
          </w:p>
        </w:tc>
      </w:tr>
      <w:tr>
        <w:trPr>
          <w:trHeight w:val="221"/>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1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37,302</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37,055</w:t>
            </w:r>
          </w:p>
        </w:tc>
      </w:tr>
      <w:tr>
        <w:trPr>
          <w:trHeight w:val="228"/>
        </w:trPr>
        <w:tc>
          <w:tcPr>
            <w:tcW w:w="6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Treasury stock</w:t>
            </w:r>
          </w:p>
        </w:tc>
        <w:tc>
          <w:tcPr>
            <w:tcW w:w="18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(27,080)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(26,977)</w:t>
            </w:r>
          </w:p>
        </w:tc>
      </w:tr>
      <w:tr>
        <w:trPr>
          <w:trHeight w:val="231"/>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51,488</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52,154</w:t>
            </w:r>
          </w:p>
        </w:tc>
      </w:tr>
      <w:tr>
        <w:trPr>
          <w:trHeight w:val="228"/>
        </w:trPr>
        <w:tc>
          <w:tcPr>
            <w:tcW w:w="6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Unearned ESOP shares</w:t>
            </w:r>
          </w:p>
        </w:tc>
        <w:tc>
          <w:tcPr>
            <w:tcW w:w="18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9"/>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(2,718)</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58,985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59,798</w:t>
            </w: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1,665</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w:t>
            </w:r>
          </w:p>
        </w:tc>
      </w:tr>
      <w:tr>
        <w:trPr>
          <w:trHeight w:val="223"/>
        </w:trPr>
        <w:tc>
          <w:tcPr>
            <w:tcW w:w="6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Total equity</w:t>
            </w:r>
          </w:p>
        </w:tc>
        <w:tc>
          <w:tcPr>
            <w:tcW w:w="1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60,650</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61,410</w:t>
            </w:r>
          </w:p>
        </w:tc>
      </w:tr>
      <w:tr>
        <w:trPr>
          <w:trHeight w:val="232"/>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equity</w:t>
            </w:r>
          </w:p>
        </w:tc>
        <w:tc>
          <w:tcPr>
            <w:tcW w:w="18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161,169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161,869</w:t>
            </w: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1,918</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flows provided by (used in) 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2,131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income tax provision (benefit)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185</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 compensation cost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periodic pension and other postretirement income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Gain on sale of business, net of transaction costs (Note 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Change in:</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587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Contract assets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Inventory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(1,361)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1,245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Contract liabilities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512</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3,075</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(1,004)</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1,283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in other intangible assets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receipts from settlements of derivative contracts,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2,974</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(1,700)</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commercial paper, net (Note 9)</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other short-term borrowings,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(1,592)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(242)</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(3,591)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6,626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6,291</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6,058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5,432</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Less: Restricted cash, included in Other assets, current and Other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32"/>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6,011</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00" w:type="dxa"/>
            <w:vAlign w:val="bottom"/>
          </w:tcPr>
          <w:p>
            <w:pPr>
              <w:spacing w:after="0"/>
              <w:rPr>
                <w:sz w:val="16"/>
                <w:szCs w:val="16"/>
                <w:color w:val="auto"/>
              </w:rPr>
            </w:pPr>
          </w:p>
        </w:tc>
        <w:tc>
          <w:tcPr>
            <w:tcW w:w="24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62,100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74,347</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61,410</w:t>
            </w:r>
          </w:p>
        </w:tc>
        <w:tc>
          <w:tcPr>
            <w:tcW w:w="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74,178</w:t>
            </w: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37,108</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37,055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37,939</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194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37,302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38,228</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37,302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38,228</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(27,029)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(26,977)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(15,530)</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repurchased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(27,080)</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(16,713)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(27,080)</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(16,713)</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53,052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52,154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52,269</w:t>
            </w: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111</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1,820</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(1,646)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(2,415)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51,488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52,489</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51,488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52,489</w:t>
            </w: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(2,635)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(2,419)</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1,615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1,612</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Redeemable noncontrolling interest net income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Disposition of noncontrolling interest,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1,665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1,665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0" w:type="dxa"/>
            <w:vAlign w:val="bottom"/>
          </w:tcPr>
          <w:p>
            <w:pPr>
              <w:spacing w:after="0"/>
              <w:rPr>
                <w:sz w:val="1"/>
                <w:szCs w:val="1"/>
                <w:color w:val="auto"/>
              </w:rPr>
            </w:pPr>
          </w:p>
        </w:tc>
      </w:tr>
      <w:tr>
        <w:trPr>
          <w:trHeight w:val="232"/>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at June 30</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60,650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74,056</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60,650</w:t>
            </w:r>
          </w:p>
        </w:tc>
        <w:tc>
          <w:tcPr>
            <w:tcW w:w="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74,056</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under employee plans,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1,219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4,378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0" w:type="dxa"/>
            <w:vAlign w:val="bottom"/>
          </w:tcPr>
          <w:p>
            <w:pPr>
              <w:spacing w:after="0"/>
              <w:rPr>
                <w:sz w:val="1"/>
                <w:szCs w:val="1"/>
                <w:color w:val="auto"/>
              </w:rPr>
            </w:pP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486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1,046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11,954</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per share of common stock</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1.260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1.850</w:t>
            </w:r>
          </w:p>
        </w:tc>
        <w:tc>
          <w:tcPr>
            <w:tcW w:w="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at June 30, 2024 and for the quarters and six months ended June 30, 2024 and 2023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2023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reclassified certain immaterial prior period amounts within the Condensed Consolidated Statement of Cash Flows to conform to our current period presentation.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July 1, 2023, we streamlined the structure of our core businesses to three principal business segments: Collins Aerospace (Collins), Pratt &amp; Whitney, and Raytheon. Prior period information has been recast to conform to our current period presentation.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and Pratt &amp; Whitney use a quarter calendar end. Throughout this Form 10-Q, when we refer to the quarters and six months ended June 30, 2024 and 2023 with respect to Raytheon, we are referring to their June 30, 2024 and July 2, 2023 fiscal quarter ends, respectively.</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The Company has made progress in the quarter ended June 30, 2024 toward resolving several outstanding legal matters, herein referred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“Expected Resolution of Certain Legal Matters.” The Company expects to enter into a deferred prosecution agreement with the Department of Justice (DOJ) and to be subject to an administrative order with the Securities and Exchange Commission (SEC) to resolve the previously disclosed criminal and civil government investigations into improper payments made by Raytheon Company and its joint venture, Thales-Raytheon Systems (TRS), in connection with certain Middle East contracts since 2012 (Thales-Raytheon Systems and Related Matters); the Company also expects to enter into a deferred prosecution agreement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In addition, the Company has made progress in the quarter ended June 30, 2024 toward resolving certain voluntarily disclosed export controls violations primarily identified in connection with the integration of Rockwell Collins and, to a lesser extent, Raytheon Company, including certain violations expected to be resolved pursuant to a consent agreement with the Department of State (DOS) (Trade Compliance Matters). As a result of the progress made, we recorded a combined pre-tax charge of $918 million during the quarter ended June 30, 2024, which included an accrual of $269 million related to the DOJ Investigation and Contract Pricing Disputes (in addition to amounts previously accrued), an accrual of $364 million related to Thales-Raytheon Systems and Related Matters (in addition to amounts previously accrued), and an accrual of $285 million related to Trade Compliance Matters. See “Note 16: Commitments and Contingencies” for additional information.</w:t>
      </w:r>
    </w:p>
    <w:p>
      <w:pPr>
        <w:spacing w:after="0" w:line="7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Pratt &amp; Whitney Powder Metal Matter. </w:t>
      </w:r>
      <w:r>
        <w:rPr>
          <w:rFonts w:ascii="Times New Roman" w:cs="Times New Roman" w:eastAsia="Times New Roman" w:hAnsi="Times New Roman"/>
          <w:sz w:val="17"/>
          <w:szCs w:val="17"/>
          <w:color w:val="auto"/>
        </w:rPr>
        <w:t>As previously disclosed, Pratt &amp; Whitney has determined that a rare condition in powder metal used to manufacture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engine parts requires accelerated inspection of the PW1100G-JM (PW1100) Geared Turbofan (GTF) fleet, which powers the A320neo family of aircraft (A320neo) (herein referred to as the “Powder Metal Matter”). See “Note 16: Commitments and Contingencies” for additional information.</w:t>
      </w:r>
    </w:p>
    <w:p>
      <w:pPr>
        <w:spacing w:after="0" w:line="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Russia Sanctions. </w:t>
      </w:r>
      <w:r>
        <w:rPr>
          <w:rFonts w:ascii="Times New Roman" w:cs="Times New Roman" w:eastAsia="Times New Roman" w:hAnsi="Times New Roman"/>
          <w:sz w:val="18"/>
          <w:szCs w:val="18"/>
          <w:color w:val="auto"/>
        </w:rPr>
        <w:t>In response to Russia’s invasion of Ukraine, the U.S. government and the governments of various jurisdictions in which we operate,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broad economic sanctions and export controls targeting specific industries, entities, and individuals in Russia. As a result of the Canadian government’s imposition of sanctions in February 2024, including those imposed on U.S.- and German-based Russian-owned entities from which we source titanium for use in our Canadian operations, we recorded charges of $175 million in the first quarter of 2024 within our Collins segment. These charges are primarily related to the recognition of unfavorable purchase commitments and an impairment of contract fulfillment costs that are no longer recoverable as a result of initiating alternative titanium sources. We continue to monitor developments, including additional sanctions and other measures, that could adversely affect the Company and/or our supply chain, business partners, or customers.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and Dispositions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On March 29, 2024, we completed the sale of our Cybersecurity, Intelligence and Services (CIS) business within our Raytheon segment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of approximately $1.3 billion in cash, resulting in an aggregate pre-tax gain, net of transaction and other related costs, of $0.4 billion ($0.2 billion after tax), primarily recognized in Other income (expense), net within the Condensed Consolidated Statement of Operations.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July 20, 2023, we entered into a definitive agreement to sell the actuation and flight control business within our Collins segment to Safran S.A. for gross proceeds of approximately $1.8 billion. On November 16, 2023, the Italian government notified RTX that it had denied Safran’s proposed acquisition of the portion of the Collins business conducted by Microtecnica S.r.l. On June 4, 2024, the Italian government notified RTX that it will now approve the proposed transaction in response to additional commitments Safran has agreed to make in respect of the proposed transaction. The closing of the transaction is subject to other regulatory approvals and other customary closing conditions.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2024, we entered into a definitive agreement to sell our Goodrich Hoist &amp; Winch business within our Collins segment for approximately $0.5 billion in cash. The closing of the transaction is subject to regulatory approvals and other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six months ended June 30, 2024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Balance as of December</w:t>
            </w:r>
          </w:p>
        </w:tc>
        <w:tc>
          <w:tcPr>
            <w:tcW w:w="300" w:type="dxa"/>
            <w:vAlign w:val="bottom"/>
          </w:tcPr>
          <w:p>
            <w:pPr>
              <w:spacing w:after="0"/>
              <w:rPr>
                <w:sz w:val="13"/>
                <w:szCs w:val="13"/>
                <w:color w:val="auto"/>
              </w:rPr>
            </w:pPr>
          </w:p>
        </w:tc>
        <w:tc>
          <w:tcPr>
            <w:tcW w:w="15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220" w:type="dxa"/>
            <w:vAlign w:val="bottom"/>
          </w:tcPr>
          <w:p>
            <w:pPr>
              <w:spacing w:after="0"/>
              <w:rPr>
                <w:sz w:val="13"/>
                <w:szCs w:val="13"/>
                <w:color w:val="auto"/>
              </w:rPr>
            </w:pPr>
          </w:p>
        </w:tc>
        <w:tc>
          <w:tcPr>
            <w:tcW w:w="1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Balance as of June 30,</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Collins Aerospace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33,135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32,781</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1,563</w:t>
            </w:r>
          </w:p>
        </w:tc>
        <w:tc>
          <w:tcPr>
            <w:tcW w:w="30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7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18,984</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18,986</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53,682</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53,330</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53,699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53,347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reduction in Acquisitions and Divestitures includes the reclassification of goodwill to held for sale assets.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480" w:type="dxa"/>
            <w:vAlign w:val="bottom"/>
          </w:tcPr>
          <w:p>
            <w:pPr>
              <w:spacing w:after="0"/>
              <w:rPr>
                <w:sz w:val="11"/>
                <w:szCs w:val="11"/>
                <w:color w:val="auto"/>
              </w:rPr>
            </w:pPr>
          </w:p>
        </w:tc>
        <w:tc>
          <w:tcPr>
            <w:tcW w:w="124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5,810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Exclusivity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3,581</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3,460</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1,219</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29,516</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(11,547)</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29,605</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40,247</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(14,398)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40,094</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Trademarks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8,654</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8,663</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48,901</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(14,398)</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48,757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quarters and six months ended June 30, 2024 and 2023 was $534 million and $1,060 million and $510 million and $1,019 million, respectively. The following is the expected amortization of intangible assets for the remainder of 2024 through 2029: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2024</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23"/>
        </w:trPr>
        <w:tc>
          <w:tcPr>
            <w:tcW w:w="28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2,074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1,993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1,878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1,795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20" w:type="dxa"/>
            <w:vAlign w:val="bottom"/>
          </w:tcPr>
          <w:p>
            <w:pPr>
              <w:spacing w:after="0"/>
              <w:rPr>
                <w:sz w:val="16"/>
                <w:szCs w:val="16"/>
                <w:color w:val="auto"/>
              </w:rPr>
            </w:pPr>
          </w:p>
        </w:tc>
        <w:tc>
          <w:tcPr>
            <w:tcW w:w="2520" w:type="dxa"/>
            <w:vAlign w:val="bottom"/>
            <w:gridSpan w:val="3"/>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and shares in millions, except per share amounts)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1,820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1,331.8</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1,330.5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10.3</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9.2</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1,342.1</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1,339.7</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common shareowners: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0.08</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0.08</w:t>
            </w: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1.36</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 and six months ended June 30, 2024, the number of stock awards excluded from the computation was 3.9 million and 9.6 million, respectively. For both the quarter and six months ended June 30, 2023, the number of stock awards excluded from the computation was 4.0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Changes in Contract Estimates at Completion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00" w:type="dxa"/>
            <w:vAlign w:val="bottom"/>
          </w:tcPr>
          <w:p>
            <w:pPr>
              <w:spacing w:after="0"/>
              <w:rPr>
                <w:sz w:val="16"/>
                <w:szCs w:val="16"/>
                <w:color w:val="auto"/>
              </w:rPr>
            </w:pPr>
          </w:p>
        </w:tc>
        <w:tc>
          <w:tcPr>
            <w:tcW w:w="2100" w:type="dxa"/>
            <w:vAlign w:val="bottom"/>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attributable to common shareowners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earnings per share attributable to common shareowners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tax rate on our EAC adjustments.</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quarter ended June 30, 2024, Raytheon initiated the termination of a fixed price development contract with a foreign customer, herein referred to as “Raytheon Contract Termination.” As a result of this action, Raytheon recognized a $575 million charge related to the estimated impact of this termination. This charge includes the write-off of remaining contract assets and our best estimate of the expected settlement in conjunction with this 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8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10,561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10,252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40" w:type="dxa"/>
            <w:vAlign w:val="bottom"/>
          </w:tcPr>
          <w:p>
            <w:pPr>
              <w:spacing w:after="0"/>
              <w:rPr>
                <w:sz w:val="16"/>
                <w:szCs w:val="16"/>
                <w:color w:val="auto"/>
              </w:rPr>
            </w:pPr>
          </w:p>
        </w:tc>
        <w:tc>
          <w:tcPr>
            <w:tcW w:w="14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7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13,581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(17,665)</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assets increased $1.4 billion during the six months ended June 30, 2024 primarily due to sales in excess of billings on certain contracts at Pratt &amp; Whitney and Raytheon. Contract liabilities increased $0.5 billion during the six months ended June 30, 2024 primarily due to billings in excess of sales on certain contracts at Raytheon. We recognized revenue of $1.8 billion and $4.4 billion during the quarter and six months ended June 30, 2024, respectively, related to contract liabilities outstanding as of January 1, 2024 and recognized revenue of $1.5 billion and $3.4 billion during the quarter and six months ended June 30, 2023, respectively, related to contract liabilities outstanding as of January 1,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our Contract liabilities include approximately $405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net of an allowance for expected credit losses of $203 million and $197 million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Inventory,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6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4,250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6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4,686</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29"/>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4,111</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13,047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Borrowings and Lines of Credit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we had a revolving credit agreement with various banks permitting aggregate borrowings of up to $5.0 billion, which expires in August 2028. As of June 30, 2024, there were no borrowings outstanding under this agreement.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June 30, 2024, our maximum commercial paper borrowing limit was $5.0 billion as the commercial paper is backed by our $5.0 billion revolving credit agreement. At June 30, 2024 and December 31, 2023, we had no commercial paper borrowings outstanding. During the six months ended June 30, 2024, we had no new borrowings or repayments of commercial paper with maturities greater than 90 days. During the six months ended June 30, 2023, we had no new borrowings and $200 million in repayments of commercial paper with maturities greater than 90 days.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There were no issuances of long-term debt during the six months ended June 30, 2024. We had the following issuances of long-term debt during the six months ended June 30, 2023:</w:t>
      </w:r>
    </w:p>
    <w:tbl>
      <w:tblPr>
        <w:tblLayout w:type="fixed"/>
        <w:tblInd w:w="0" w:type="dxa"/>
        <w:tblCellMar>
          <w:top w:w="0" w:type="dxa"/>
          <w:left w:w="0" w:type="dxa"/>
          <w:bottom w:w="0" w:type="dxa"/>
          <w:right w:w="0" w:type="dxa"/>
        </w:tblCellMar>
      </w:tblPr>
      <w:tr>
        <w:trPr>
          <w:trHeight w:val="147"/>
        </w:trPr>
        <w:tc>
          <w:tcPr>
            <w:tcW w:w="200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56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420" w:type="dxa"/>
            <w:vAlign w:val="bottom"/>
          </w:tcPr>
          <w:p>
            <w:pPr>
              <w:spacing w:after="0"/>
              <w:rPr>
                <w:sz w:val="12"/>
                <w:szCs w:val="12"/>
                <w:color w:val="auto"/>
              </w:rPr>
            </w:pPr>
          </w:p>
        </w:tc>
        <w:tc>
          <w:tcPr>
            <w:tcW w:w="2260" w:type="dxa"/>
            <w:vAlign w:val="bottom"/>
          </w:tcPr>
          <w:p>
            <w:pPr>
              <w:jc w:val="right"/>
              <w:ind w:right="157"/>
              <w:spacing w:after="0" w:line="147" w:lineRule="exact"/>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auto"/>
            </w:tcBorders>
            <w:vMerge w:val="continue"/>
          </w:tcPr>
          <w:p>
            <w:pPr>
              <w:spacing w:after="0"/>
              <w:rPr>
                <w:sz w:val="17"/>
                <w:szCs w:val="17"/>
                <w:color w:val="auto"/>
              </w:rPr>
            </w:pPr>
          </w:p>
        </w:tc>
        <w:tc>
          <w:tcPr>
            <w:tcW w:w="556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27, 2023</w:t>
            </w:r>
          </w:p>
        </w:tc>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5.000% notes due 2026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5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5.150% notes due 2033</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6"/>
        </w:trPr>
        <w:tc>
          <w:tcPr>
            <w:tcW w:w="2000" w:type="dxa"/>
            <w:vAlign w:val="bottom"/>
            <w:tcBorders>
              <w:bottom w:val="single" w:sz="8" w:color="auto"/>
            </w:tcBorders>
            <w:shd w:val="clear" w:color="auto" w:fill="CCEEFF"/>
          </w:tcPr>
          <w:p>
            <w:pPr>
              <w:spacing w:after="0"/>
              <w:rPr>
                <w:sz w:val="20"/>
                <w:szCs w:val="20"/>
                <w:color w:val="auto"/>
              </w:rPr>
            </w:pPr>
          </w:p>
        </w:tc>
        <w:tc>
          <w:tcPr>
            <w:tcW w:w="55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5.375% notes due 2053</w:t>
            </w:r>
          </w:p>
        </w:tc>
        <w:tc>
          <w:tcPr>
            <w:tcW w:w="1420" w:type="dxa"/>
            <w:vAlign w:val="bottom"/>
            <w:tcBorders>
              <w:bottom w:val="single" w:sz="8" w:color="auto"/>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There were no repayments of long-term debt during the six months ended June 30, 2023. We made the following repayments of long-term debt during the six months ended June 30, 2024:</w:t>
      </w:r>
    </w:p>
    <w:tbl>
      <w:tblPr>
        <w:tblLayout w:type="fixed"/>
        <w:tblInd w:w="0" w:type="dxa"/>
        <w:tblCellMar>
          <w:top w:w="0" w:type="dxa"/>
          <w:left w:w="0" w:type="dxa"/>
          <w:bottom w:w="0" w:type="dxa"/>
          <w:right w:w="0" w:type="dxa"/>
        </w:tblCellMar>
      </w:tblPr>
      <w:tr>
        <w:trPr>
          <w:trHeight w:val="149"/>
        </w:trPr>
        <w:tc>
          <w:tcPr>
            <w:tcW w:w="224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486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020" w:type="dxa"/>
            <w:vAlign w:val="bottom"/>
          </w:tcPr>
          <w:p>
            <w:pPr>
              <w:spacing w:after="0"/>
              <w:rPr>
                <w:sz w:val="12"/>
                <w:szCs w:val="12"/>
                <w:color w:val="auto"/>
              </w:rPr>
            </w:pPr>
          </w:p>
        </w:tc>
        <w:tc>
          <w:tcPr>
            <w:tcW w:w="3120" w:type="dxa"/>
            <w:vAlign w:val="bottom"/>
            <w:gridSpan w:val="2"/>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240" w:type="dxa"/>
            <w:vAlign w:val="bottom"/>
            <w:tcBorders>
              <w:bottom w:val="single" w:sz="8" w:color="auto"/>
            </w:tcBorders>
            <w:vMerge w:val="continue"/>
          </w:tcPr>
          <w:p>
            <w:pPr>
              <w:spacing w:after="0"/>
              <w:rPr>
                <w:sz w:val="16"/>
                <w:szCs w:val="16"/>
                <w:color w:val="auto"/>
              </w:rPr>
            </w:pPr>
          </w:p>
        </w:tc>
        <w:tc>
          <w:tcPr>
            <w:tcW w:w="48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17, 2024</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4, 2024</w:t>
            </w: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4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3.200% notes due 2024</w:t>
            </w:r>
          </w:p>
        </w:tc>
        <w:tc>
          <w:tcPr>
            <w:tcW w:w="1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0" w:type="dxa"/>
            <w:vAlign w:val="bottom"/>
          </w:tcPr>
          <w:p>
            <w:pPr>
              <w:spacing w:after="0"/>
              <w:rPr>
                <w:sz w:val="1"/>
                <w:szCs w:val="1"/>
                <w:color w:val="auto"/>
              </w:rPr>
            </w:pPr>
          </w:p>
        </w:tc>
      </w:tr>
      <w:tr>
        <w:trPr>
          <w:trHeight w:val="53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3.200% notes due 2024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3.150% notes due 2024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1,250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1,500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5.000% notes due 2026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719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2026</w:t>
            </w: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1,250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1,100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1,300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382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4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135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185</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2029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414</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535</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6.000% notes due 2031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2.375% notes due 2032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5.150% notes due 2033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6.100% notes due 2034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575</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553</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3.030% notes due 2052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5.375% notes due 2053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6.400% notes due 2054 </w:t>
            </w:r>
            <w:r>
              <w:rPr>
                <w:rFonts w:ascii="Times New Roman" w:cs="Times New Roman" w:eastAsia="Times New Roman" w:hAnsi="Times New Roman"/>
                <w:sz w:val="23"/>
                <w:szCs w:val="23"/>
                <w:color w:val="auto"/>
                <w:vertAlign w:val="superscript"/>
              </w:rPr>
              <w:t>(1)</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1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254</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41,983</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43,697</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market value adjustments, (discounts)/premiums, and debt issuance costs)</w:t>
            </w:r>
          </w:p>
        </w:tc>
        <w:tc>
          <w:tcPr>
            <w:tcW w:w="1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4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41,920</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43,638</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1,617</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30"/>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40,303</w:t>
            </w:r>
          </w:p>
        </w:tc>
        <w:tc>
          <w:tcPr>
            <w:tcW w:w="6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42,355</w:t>
            </w:r>
          </w:p>
        </w:tc>
      </w:tr>
    </w:tbl>
    <w:p>
      <w:pPr>
        <w:spacing w:after="0" w:line="16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of our long-term debt as of June 30, 2024 is approximately 13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and postretirement benefit (PRB)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plans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defined benefit plans</w:t>
            </w: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PRB plans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339</w:t>
            </w: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734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41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amounts recognized in the Condensed Consolidated Balance Sheet consist of:</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assets (included in Other assets)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1,906</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pension and PRB liabilities (included in Accrued employee compensation)</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270</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2,264</w:t>
            </w:r>
          </w:p>
        </w:tc>
        <w:tc>
          <w:tcPr>
            <w:tcW w:w="7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405"/>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recognized in Future pension and postretirement benefit obligations consist of:</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pension liabilities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1,634</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PRB liabilities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568</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57"/>
        </w:trPr>
        <w:tc>
          <w:tcPr>
            <w:tcW w:w="6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pension and PRB related items</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62</w:t>
            </w:r>
          </w:p>
        </w:tc>
        <w:tc>
          <w:tcPr>
            <w:tcW w:w="7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2,264</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(income) expense for our defined pension and PRB plans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PRB</w:t>
            </w:r>
          </w:p>
        </w:tc>
        <w:tc>
          <w:tcPr>
            <w:tcW w:w="1020" w:type="dxa"/>
            <w:vAlign w:val="bottom"/>
          </w:tcPr>
          <w:p>
            <w:pPr>
              <w:spacing w:after="0"/>
              <w:rPr>
                <w:sz w:val="13"/>
                <w:szCs w:val="13"/>
                <w:color w:val="auto"/>
              </w:rPr>
            </w:pPr>
          </w:p>
        </w:tc>
      </w:tr>
      <w:tr>
        <w:trPr>
          <w:trHeight w:val="194"/>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00" w:type="dxa"/>
            <w:vAlign w:val="bottom"/>
          </w:tcPr>
          <w:p>
            <w:pPr>
              <w:spacing w:after="0"/>
              <w:rPr>
                <w:sz w:val="16"/>
                <w:szCs w:val="16"/>
                <w:color w:val="auto"/>
              </w:rPr>
            </w:pPr>
          </w:p>
        </w:tc>
        <w:tc>
          <w:tcPr>
            <w:tcW w:w="2460" w:type="dxa"/>
            <w:vAlign w:val="bottom"/>
            <w:gridSpan w:val="3"/>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47</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596</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actuarial net (gain) loss</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 loss</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(income) expense</w:t>
            </w:r>
          </w:p>
        </w:tc>
        <w:tc>
          <w:tcPr>
            <w:tcW w:w="5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85"/>
        </w:trPr>
        <w:tc>
          <w:tcPr>
            <w:tcW w:w="5420" w:type="dxa"/>
            <w:vAlign w:val="bottom"/>
          </w:tcPr>
          <w:p>
            <w:pPr>
              <w:spacing w:after="0"/>
              <w:rPr>
                <w:sz w:val="24"/>
                <w:szCs w:val="2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PRB</w:t>
            </w:r>
          </w:p>
        </w:tc>
        <w:tc>
          <w:tcPr>
            <w:tcW w:w="1020" w:type="dxa"/>
            <w:vAlign w:val="bottom"/>
          </w:tcPr>
          <w:p>
            <w:pPr>
              <w:spacing w:after="0"/>
              <w:rPr>
                <w:sz w:val="13"/>
                <w:szCs w:val="13"/>
                <w:color w:val="auto"/>
              </w:rPr>
            </w:pPr>
          </w:p>
        </w:tc>
      </w:tr>
      <w:tr>
        <w:trPr>
          <w:trHeight w:val="194"/>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2460" w:type="dxa"/>
            <w:vAlign w:val="bottom"/>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94</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1,192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 actuarial net (gain)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 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(income)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26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9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714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rates for the quarter and six months ended June 30, 2024 were 59.1% and 15.8%, respectively, as compared to 15.4% and 17.0% for the quarter and six months ended June 30, 2023,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the effective tax rate for the quarter ended June 30, 2024 as compared to the quarter ended June 30, 2023 is primarily driven by a $918 million charge associated with the Expected Resolution of Certain Legal Matters accrued during the quarter ended June 30, 2024 where no tax benefit has been recorded. Additionally, the annualized effective tax rate currently forecasted for 2024 is higher than the comparable period in 2023, principally driven by lower U.S. federal research and development tax credits and higher non-U.S. income taxes. The higher forecasted non-U.S. income taxes are principally driven by legislation enacted during the quarter ended June 30, 2024 by the Organisation for Economic Co-operation and Development’s (OECD) Pillar Two initiatives.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six months ended June 30, 2024 includes a $275 million tax benefit recognized in the quarter ended March 31, 2024 resulting from the conclusion of the examination phases of the RTX and Rockwell Collins audits and $143 million of tax costs associated with the sale of the CIS business. The resulting net tax benefit from these items, coupled with lower year to date pre-tax income, more than offset the effective tax rate impact of a $918 million charge associated with the Expected Resolution of Certain Legal Matters accrued during the quarter ended June 30, 2024 where no tax benefit has been recorded.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2014.</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protests with respect to certain IRS proposed adjustments for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will dispute these adjustments at the Appeals Division of the IRS. The timing of any resolution at the Appeals Division is uncertain. Separately, the Company expects the IRS’ examination of RTX’s tax year 2020 to commence in the fourth quarter of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over the next 12 months the amount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unrecognized tax benefits may change within a range of a net reduction of $50 million to a net increase of $75 million as a result of the revaluation of uncertain tax positions arising from developments in examinations, in appeals, or in the courts, or the closure of tax statutes.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Financial Instruments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 value of the aggregate notional principal of our outstanding foreign currency hedges was $15.7 billion and $15.8 billion at June 30, 2024 and December 31, 2023, respectively. At June 30, 2024, all derivative contracts accounted for as cash flow hedges will mature by March 2036.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00" w:type="dxa"/>
            <w:vAlign w:val="bottom"/>
          </w:tcPr>
          <w:p>
            <w:pPr>
              <w:spacing w:after="0"/>
              <w:rPr>
                <w:sz w:val="16"/>
                <w:szCs w:val="16"/>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128</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64</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loss and on the Condensed Consolidated Statement of Operations in the quarters and six months ended June 30, 2024 and 2023 are presented in “Note 17: Equity.” The amounts of gain or loss are attributable to foreign exchange contract activity and are primarily recorded as a component of Products sales when reclassified from Accumulated other comprehensive loss.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our €500 million principal value of euro-denominated long-term debt qualifies as a net investment hedge against our investments in European businesses, which is deemed to be effective.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is included within Other income (expense), net, on the Condensed Consolidated Statement of Operations and is not 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714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650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204</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192</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192</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745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682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derivative assets and liabilities include foreign exchange contracts that are measured at fair value using internal models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observable market inputs such as forward rates, interest rates, our own credit risk, and our counterparties’ credit risks.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00" w:type="dxa"/>
            <w:vAlign w:val="bottom"/>
          </w:tcPr>
          <w:p>
            <w:pPr>
              <w:jc w:val="right"/>
              <w:ind w:right="321"/>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1"/>
                <w:szCs w:val="11"/>
                <w:color w:val="auto"/>
              </w:rPr>
            </w:pPr>
          </w:p>
        </w:tc>
        <w:tc>
          <w:tcPr>
            <w:tcW w:w="900" w:type="dxa"/>
            <w:vAlign w:val="bottom"/>
          </w:tcPr>
          <w:p>
            <w:pPr>
              <w:jc w:val="center"/>
              <w:ind w:right="35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21"/>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right"/>
              <w:ind w:right="43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66</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41,828</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38,542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43,546</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not carried at fair value in our Condensed Consolidated Balance Sheet: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vMerge w:val="continue"/>
          </w:tcPr>
          <w:p>
            <w:pPr>
              <w:spacing w:after="0"/>
              <w:rPr>
                <w:sz w:val="15"/>
                <w:szCs w:val="15"/>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8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57</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57</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38,542</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35,250</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3,292</w:t>
            </w:r>
          </w:p>
        </w:tc>
        <w:tc>
          <w:tcPr>
            <w:tcW w:w="0" w:type="dxa"/>
            <w:vAlign w:val="bottom"/>
          </w:tcPr>
          <w:p>
            <w:pPr>
              <w:spacing w:after="0"/>
              <w:rPr>
                <w:sz w:val="1"/>
                <w:szCs w:val="1"/>
                <w:color w:val="auto"/>
              </w:rPr>
            </w:pPr>
          </w:p>
        </w:tc>
      </w:tr>
      <w:tr>
        <w:trPr>
          <w:trHeight w:val="395"/>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41,598</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37,559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Short-term borrowings approximates the carrying value due to their short-term nature and is classified as level 3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Variable Interest Entities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IAE and IAE LLC, after considering its sub-collaborator share, is 57% and 51%, respectively. The carrying amounts and classification of assets and liabilities for variable interest entities in our Condensed Consolidated Balance Sheet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0" w:type="dxa"/>
            <w:vAlign w:val="bottom"/>
          </w:tcPr>
          <w:p>
            <w:pPr>
              <w:spacing w:after="0"/>
              <w:rPr>
                <w:sz w:val="16"/>
                <w:szCs w:val="16"/>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7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9,869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1,005</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4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10,874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12,792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111</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12,903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Guarantees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These instruments expire on various dates through 2032. Additional guarantees of project performance for which there is no stated value also remain outstanding. A portion of our third party guarantees are subject to indemnification for our benefit for any liabilities that could arise. As of June 30, 2024 and December 31, 2023, the following financial guarantees were outstanding: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4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4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5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286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271</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were $134 million and $135 million at June 30, 2024 and December 31, 2023,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were $98 million and $97 million at June 30, 2024 and December 31, 2023, respectively. These primarily relate to environmental liabilities, which are included in our total environmental liabilities as further discussed in “Note 16: Commitments and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and product performance guarantees for the six months ended June 30, 2024 and 2023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134</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1,068</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and service guarantees incurred in connection with long term production contracts and certain aftermarket arrangements are generally accounted for within the contract estimates at completion.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June 30, 2024 and December 31, 2023, we had $769 million and $760 million, respectively, reserved for environmental remediation.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commitments and other contractual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$14.4 billion and $14.6 billion as of June 30, 2024 and December 31, 2023,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our customers. As a result, the fair value of these financing commitments is expected to equal the amounts funded.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are capitalized as collaboration intangible assets as payments are made.</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$3.1 billion as of June 30, 2024.</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Offset / Industrial Participation Obligations. </w:t>
      </w:r>
      <w:r>
        <w:rPr>
          <w:rFonts w:ascii="Times New Roman" w:cs="Times New Roman" w:eastAsia="Times New Roman" w:hAnsi="Times New Roman"/>
          <w:sz w:val="18"/>
          <w:szCs w:val="18"/>
          <w:color w:val="auto"/>
        </w:rPr>
        <w:t>We have entered into industrial cooperation agreements, sometimes in the form of either offset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ICIP agreements, as a condition to obtaining orders for our products and services from certain customers in foreign countries. At June 30, 2024, the aggregate amount of these agreements, both agreed to and anticipated to be agreed to, had an outstanding notional value of approximately $12.6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examinations, information gathering requests, inquiries, investigations, and threatened legal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consent agreements, guilty plea agreements, and/or imposition of an independent compliance monitor. U.S. government investigations often take years to complete. 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International Traffic in Arms Regulations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 Treatment of Carrier and Otis Dispositions. </w:t>
      </w:r>
      <w:r>
        <w:rPr>
          <w:rFonts w:ascii="Times New Roman" w:cs="Times New Roman" w:eastAsia="Times New Roman" w:hAnsi="Times New Roman"/>
          <w:sz w:val="18"/>
          <w:szCs w:val="18"/>
          <w:color w:val="auto"/>
        </w:rPr>
        <w:t>Management has determined that the distributions of Carrier and Otis on April 3, 2020,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Pratt &amp; Whitney has determined that a rare condition in powder metal used to manufacture certain engine 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accelerated inspection of the PW1100 GTF fleet, which powers the A320neo. This determination was made pursuant to Pratt &amp; Whitney’s safety management system.</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expected to result in significant incremental shop visits through the end of 2026. As a result, Pratt &amp; Whitney expects a significant increase in aircraft on ground levels for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PW1100 powered A320neo fleet through 2026.</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charge recorded in the third quarter of 2023 resulted in a net increase in Other accrued liabilities of $2.8 billion, which principally related to our 51% share of an accrual for expected customer compensation. At June 30, 2024 and December 31, 2023, we had Other accrued liabilities of $2.6 billion and $2.8 billion, respectively, primarily related to expected compensation to customers. The reduction in the accrual during the six months ended June 30, 2024 was due to customer compensation.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The Company and its subsidiaries are subject to various contract pricing disputes, government investigations, and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jurisdictions, updates to certain of which are set forth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 &amp; Whitney to recover alleged overpayments of approximately $1.7 billion plus interest ($1.1 billion at June 30, 2024).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alleged overpayments of approximately $177 million plus interest ($169 million at June 30, 2024).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($139 million at June 30, 2024). Pratt &amp; Whitney appealed this second claim to the ASBCA in January 2019. In December 2023, a DCMA DACO issued a third claim against Pratt &amp; 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($66 million at June 30, 2024).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and Related Matters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in 2019, Raytheon Company received a subpoena from the SEC seeking information in connection with an investigation into whether there were improper payments made by Raytheon Company, our joint venture known as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investigation. Based on the government’s and our own internal investigations, the Company engaged in resolution discussions with the SEC and DOJ, and during the quarter ended June 30, 2024, the Company reached agreements in principle with the DOJ and SEC as to the principal elements of such resolutions. Resolution with the SEC and DOJ remains subject to reaching final agreements satisfactory to all parties and the final approval of the SEC, the DOJ and the Company. Pursuant to the agreements in principle reached, the Company expects that it will enter into a deferred prosecution agreement (DPA) with the DOJ under which the DOJ will defer, for a period of three years, criminal prosecution of Raytheon Company related to Raytheon Company’s conspiracy to violate the anti-bribery provisions of the FCPA and conspiracy to violate the AECA by failing to make related disclosures of certain payments that may qualify as fees, commissions and/or political contributions under Part 130 of the ITAR. If the Company, including Raytheon Company, fully complies with all of the obligations to be set forth in a final DPA during such DPA’s three-year term, the DOJ will move for dismissal with prejudice of the deferred charges against Raytheon Company. In addition, the Company expects that the SEC will issue an administrative cease and desist order finding that the Company violated the anti-bribery, books and records, and internal controls provisions of the FCPA. The Company also expects, based on the agreements in principle described above, that it will be required to retain an independent compliance monitor for Raytheon Company satisfactory to the DOJ and the SEC and undertake compliance self-reporting obligations for a three-year term. The compliance monitor will oversee our compliance with the DPA. The Company further expects that, as part of the resolution, it will pay the DOJ an amount that includes a criminal monetary penalty and forfeiture and the SEC an amount that includes disgorgement, prejudgment interest on disgorgement, and a civil penalty. The Company has recorded an aggregate accrual of $384 million for these matters during the quarter ended June 30, 2024. In the event that final agreements with the DOJ and the SEC are not reached, litigation may ensue and, accordingly, the actual loss incurred in connection with these matters, if any, could be less than, equal to or more than the aggregate accrued amount noted above. Based upon the status of discussions, we believe that the finalization of our agreements with the DOJ and the SEC will occur during the second half of 2024 and therefore, expect payments to be made within the same timeframe. However, there can be no assurance that final agreements of such resolutions will be reached or as to the timing or ultimate terms, including those described herein, of such final resolutions, if any. The Company does not believe that these matters, including the accrual (and the future payment of the accrual), will have a material adverse effect on our results of operations, financial condition, or liquidity.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Investigation and Contract Pricing Disputes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 since 2009. The investigation involves multi-year contracts subject to governmental regulation, including potential defective pricing claims for certain Raytheon Company contracts entered into between 2011 and 2013. As part of the same investigation, on March 24, 2021, the Company received a second criminal subpoena from the DOJ seeking documents relating to a certain contract entered into in 2017 by Raytheon Company. Based on the government’s and our own internal investigations, the Company engaged in resolution discussions with the DOJ, and during the quarter ended June 30, 2024, the Company reached an agreement in principle with the DOJ as to the principal elements of such resolution. Resolution with the DOJ remains subject to reaching a final agreement satisfactory to all parties and the final approval of the DOJ and the Company. Pursuant to this agreement in principle, the Company expects that it will enter into a DPA with the DOJ under which the DOJ will defer, for a period of three years, criminal prosecution of Raytheon Company related to two counts of major fraud against the United States by Raytheon Company involving two legacy contracts. If the Company, including Raytheon Company, fully complies with all of the obligations to be set forth in a final DPA during such DPA’s three-year term, the DOJ will move for dismissal with prejudice of the deferred charge against Raytheon Company. In addition, the Company expects, based on the agreement in principle described above, that it will be required to retain an independent compliance monitor for Raytheon Company satisfactory to the DOJ and undertake self-reporting obligations for a three-year term. The compliance monitor will oversee our compliance with the DPA. In addition, the Company has been cooperating with the DOJ with respect to a related civil defective pricing investigation under the FCA. The Company also has reached an agreement in principle with the DOJ as to the principal elements necessary to resolve the related defective pricing investigation under the FCA. Resolution also remains subject to reaching a final agreement satisfactory to all parties and the final approval of the DOJ and the Company. The Company further expects that, as part of the resolution, it will pay the DOJ an amount that includes a criminal monetary penalty, an FCA settlement that includes restitution, and interest on the FCA settlement. The Company has updated its accrual for these matters to an aggregate accrual of $575 million as of June 30, 2024.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final agreement with the DOJ is not reached, litigation may ensue and, accordingly, the actual loss incurred in connection with these matters, if any, could be less than, equal to or more than the aggregate accrued amount noted above. Based upon the current status of discussions, we believe that the finalization of our agreement with the DOJ will occur during the second half of 2024 and therefore, expect payments to be made within the same timeframe. However, there can be no assurance that final agreements of such resolutions will be reached or as to the timing or ultimate terms, including those described herein, of such final resolutions if any. The Company does not believe that these matters, including the increased accrual (and the future payment of the accrual), will have a material adverse effect on our results of operations, financial condition, or liquidity.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Compliance Matters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identify, investigate, remediate, and voluntarily disclose violations or potential violations of the ITAR and EAR to the relevant regulators. In May 2024, the Department of State’s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We are currently in discussions with the DTCC to reach a consent agreement, which we anticipate will provide for a payment by the Company, an independent compliance monitor, and commitments regarding additional remedial compliance efforts. At this time, the Company has determined that there is a probable risk of liability for potential penalties related to the anticipated consent agreement with the DTCC, as well as other export compliance matters which have been voluntarily disclosed to the cognizant regulators. We have accrued approximately $285 million for these matters in aggregate. Based on the current status of discussions, we believe that finalization of the consent agreement with the DTCC will occur during the second half of 2024, and we expect related payments to be made over the next three years. We are currently unable to estimate the timing or outcome of the other voluntarily disclosed export compliance matters that are not subject to the consent agreement. However, the Company does not believe the ultimate outcome of these matters will have a material adverse effect on our results of operations, financial condition, or liquidity.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UTC Equity Conversion Litigation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December 6, 2022, a shareholder derivative lawsuit was filed in the Delaware Court of Chancery against the Company and certain current and former members of its Board of Directors, alleging that defendants breached their fiduciary duties in May 2020 by amending the method by which United Technologies Corporation (UTC) equity awards were converted to certain Company equity awards following the separation of UTC into three independent, publicly traded companies. We believe that the lawsuit lacks merit. Based on the information available to date, we do not believe that this matter will have a material adverse effect on our results of operations, financial condition, or liquidity.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Civil Litigation Related to Employee Hiring Practices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Pratt &amp; Whitney is one of multiple defendants in a putative class action lawsuit pending in the United States District Court for the District of Connecticut alleging that Pratt &amp; Whitney and the other defendants agreed to restrict the hiring and recruiting of certain engineers and skilled laborers in a manner that violated federal antitrust laws. Plaintiffs seek to represent different purported classes of engineers and skilled laborers employed by Pratt &amp; Whitney and other supplier-defendants since 2011, and are seeking to recover treble damages in an undetermined amount, plus attorneys’ fees and costs of suit. We believe that the claims asserted lack merit. Based on the information available to date, we do not believe that this matter will have a material adverse effect on our results of operations, financial condition, or liquidity.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a shareholder derivative lawsuit was filed in the Delaware Court of Chancery against the Company and certain current and former officers and directors of the Company alleging that defendants breached their fiduciary duties by failing to implement and enforce a reasonable oversight mechanism for compliance with antitrust laws. We believe that the lawsuit lacks merit. Based on the information available to date, we do not believe that this matter will have a material adverse effect on our results of operations, financial condition, or liquidity.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Powder Metal Disclosure Litigation and SEC Investigation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GTF engine fleet, including the impact of the powder metal issue on the fleet, in various regulatory filings. The lawsuits were consolidated and remain pending. Second, multiple shareholder derivative lawsuits were filed against current and former officers and directors of the Company, all of which have now been consolidated into a single action which is pending in the United States District Court for the District of Delaware. The operative complaint 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action alleges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2023, January 30, 2024, and May 21, 2024, the Company received subpoenas from the SEC seeking engineering, operational, organizational, accounting, and financial documents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Company is cooperating with the SEC and is responding to the subpoenas. At this time, we are unable to predict the timing or outcome of this SEC investigation.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 appropriate, we have recorded loss contingency accruals for the above-referenced matters. Unless noted above, loss contingency accruals are immaterial individually or in the aggregate.</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15: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Equity</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Common Stock - Share Repurchases. </w:t>
      </w:r>
      <w:r>
        <w:rPr>
          <w:rFonts w:ascii="Times New Roman" w:cs="Times New Roman" w:eastAsia="Times New Roman" w:hAnsi="Times New Roman"/>
          <w:sz w:val="18"/>
          <w:szCs w:val="18"/>
          <w:color w:val="auto"/>
        </w:rPr>
        <w:t>On October 24, 2023, we entered into accelerated share repurchase (ASR) agreements with certain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counterparties to repurchase shares of our common stock for an aggregate purchase price of $10 billion. Pursuant to the ASR agreements, we made aggregate payments of $10 billion on October 26, 2023, and received initial deliveries of approximately 108.4 million shares of our common stock at a price of $78.38 per share, which, on that date, represented approximately 85% of the shares expected to be repurchased. The total number of shares to be repurchased is subject to final settlement as discussed below. The aggregate purchase price was recorded as a reduction to Shareowners’ equity, consisting of an $8.5 billion increase in Treasury stock and a $1.5 billion decrease in Common stock.</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final number of shares to be repurchased will be based on the average of the daily volume-weighted average prices of our common stock during the term of the ASR agreements, less a discount and subject to adjustments pursuant to the terms and conditions of the ASR agreements. Upon final settlement of the ASR, under certain circumstances, each of the counterparties may be required to deliver additional shares of common stock, or we may be required to deliver shares of common stock or to make a cash payment to the counterparties, at our election. The final settlement of each transaction under the ASR agreements is scheduled to occur no later than the third quarter of 2024 and in each case may be accelerated at the option of the applicable counterparty.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A summary of the changes in each component of Accumulated other comprehensive loss, net of tax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quarters and six months ended June 30, 2024 and 2023 is provided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13"/>
                <w:szCs w:val="13"/>
                <w:color w:val="auto"/>
              </w:rPr>
            </w:pPr>
          </w:p>
        </w:tc>
        <w:tc>
          <w:tcPr>
            <w:tcW w:w="14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 2024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21</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w:t>
            </w:r>
          </w:p>
        </w:tc>
        <w:tc>
          <w:tcPr>
            <w:tcW w:w="0" w:type="dxa"/>
            <w:vAlign w:val="bottom"/>
          </w:tcPr>
          <w:p>
            <w:pPr>
              <w:spacing w:after="0"/>
              <w:rPr>
                <w:sz w:val="1"/>
                <w:szCs w:val="1"/>
                <w:color w:val="auto"/>
              </w:rPr>
            </w:pPr>
          </w:p>
        </w:tc>
      </w:tr>
      <w:tr>
        <w:trPr>
          <w:trHeight w:val="364"/>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24"/>
                <w:szCs w:val="24"/>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24"/>
                <w:szCs w:val="24"/>
                <w:color w:val="auto"/>
              </w:rPr>
            </w:pPr>
          </w:p>
        </w:tc>
        <w:tc>
          <w:tcPr>
            <w:tcW w:w="14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 2023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Our segments are generally based on the management structure of the businesses and the grouping of similar operating companies, where each management organization has general operating autonomy over diversified products and services.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pension and PRB liabilities through the pricing of our products and services to the U.S. government. Collins and Pratt &amp; Whitney generally record pension and PRB expense on a FAS basis.</w:t>
      </w:r>
    </w:p>
    <w:p>
      <w:pPr>
        <w:spacing w:after="0" w:line="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r>
        <w:rPr>
          <w:rFonts w:ascii="Times New Roman" w:cs="Times New Roman" w:eastAsia="Times New Roman" w:hAnsi="Times New Roman"/>
          <w:sz w:val="18"/>
          <w:szCs w:val="18"/>
          <w:b w:val="1"/>
          <w:bCs w:val="1"/>
          <w:color w:val="auto"/>
        </w:rPr>
        <w:t>.</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Results for the quarters ended June 30, 2024 and 2023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400" w:type="dxa"/>
            <w:vAlign w:val="bottom"/>
            <w:gridSpan w:val="2"/>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6,999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6,384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1,118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899</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16.0 %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6,802</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5,701</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542</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230</w:t>
            </w: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8.0 %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6,511</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6,700</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127</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644</w:t>
            </w:r>
          </w:p>
        </w:tc>
        <w:tc>
          <w:tcPr>
            <w:tcW w:w="13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2.0 %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20,312</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18,785</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1,787</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1,773</w:t>
            </w: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8.8 %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3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(59)</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284</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(489)</w:t>
            </w:r>
          </w:p>
        </w:tc>
        <w:tc>
          <w:tcPr>
            <w:tcW w:w="1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19,721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18,315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529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1,493</w:t>
            </w:r>
          </w:p>
        </w:tc>
        <w:tc>
          <w:tcPr>
            <w:tcW w:w="13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2.7 %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27" w:lineRule="exact"/>
        <w:rPr>
          <w:rFonts w:ascii="Times New Roman" w:cs="Times New Roman" w:eastAsia="Times New Roman" w:hAnsi="Times New Roman"/>
          <w:sz w:val="14"/>
          <w:szCs w:val="14"/>
          <w:color w:val="auto"/>
        </w:rPr>
      </w:pPr>
    </w:p>
    <w:p>
      <w:pPr>
        <w:ind w:left="340" w:right="500" w:hanging="332"/>
        <w:spacing w:after="0" w:line="243" w:lineRule="auto"/>
        <w:tabs>
          <w:tab w:leader="none" w:pos="32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and Margins include a $0.6 billion charge in the second quarter of 2024 related to the anticipated Raytheon Contract Termination. See “Note 5: Changes in Contract Estimates at Completion” for additional information.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Expected Resolution of Certain Legal Matters. See “Note 1: Basis of Presentation” for additional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six months ended June 30, 2024 and 2023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400" w:type="dxa"/>
            <w:vAlign w:val="bottom"/>
            <w:gridSpan w:val="2"/>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13,672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12,504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1,967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1,796</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14.4 %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13,258</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10,931</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954</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645</w:t>
            </w: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7.2 %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13,170</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12,992</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1,123</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1,215</w:t>
            </w:r>
          </w:p>
        </w:tc>
        <w:tc>
          <w:tcPr>
            <w:tcW w:w="13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8.5 %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40,100</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36,427</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4,044</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3,656</w:t>
            </w: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35</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3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573</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(982)</w:t>
            </w:r>
          </w:p>
        </w:tc>
        <w:tc>
          <w:tcPr>
            <w:tcW w:w="1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39,026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35,529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2,399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3,180</w:t>
            </w:r>
          </w:p>
        </w:tc>
        <w:tc>
          <w:tcPr>
            <w:tcW w:w="13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6.1 %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7"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4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and Margins include a $0.6 billion charge in the second quarter of 2024 related to the anticipated Raytheon Contract Termination and a $0.4 billion gain, net of transaction and other related costs, in the first quarter of 2024 related to the sale of our CIS business. See “Note 5: Changes in Contract Estimates at Completion” and “Note 2: Acquisitions and Dispositions,” respectively, for additional information.</w:t>
      </w: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Expected Resolution of Certain Legal Matters. See “Note 1: Basis of Presentation” for additional information.</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based on customer location for the quarters ended June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11,227</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1,645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1,407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regions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615</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210"/>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6,416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6,801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6,471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18,315</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583</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(624)</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6,999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6,802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(591)</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18,315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six months ended June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21,775</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3,260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6,276</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2,528</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regions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751</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1,059</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0" w:type="dxa"/>
            <w:vAlign w:val="bottom"/>
          </w:tcPr>
          <w:p>
            <w:pPr>
              <w:spacing w:after="0"/>
              <w:rPr>
                <w:sz w:val="1"/>
                <w:szCs w:val="1"/>
                <w:color w:val="auto"/>
              </w:rPr>
            </w:pPr>
          </w:p>
        </w:tc>
      </w:tr>
      <w:tr>
        <w:trPr>
          <w:trHeight w:val="209"/>
        </w:trPr>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12,585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13,257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13,101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35,529</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1,087</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(1,157)</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13,672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13,258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(1,074)</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39,026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quarters ended June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80" w:type="dxa"/>
            <w:vAlign w:val="bottom"/>
          </w:tcPr>
          <w:p>
            <w:pPr>
              <w:spacing w:after="0"/>
              <w:rPr>
                <w:sz w:val="11"/>
                <w:szCs w:val="11"/>
                <w:color w:val="auto"/>
              </w:rPr>
            </w:pPr>
          </w:p>
        </w:tc>
        <w:tc>
          <w:tcPr>
            <w:tcW w:w="58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98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Sales to the U.S. government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7,958</w:t>
            </w:r>
          </w:p>
        </w:tc>
        <w:tc>
          <w:tcPr>
            <w:tcW w:w="0" w:type="dxa"/>
            <w:vAlign w:val="bottom"/>
          </w:tcPr>
          <w:p>
            <w:pPr>
              <w:spacing w:after="0"/>
              <w:rPr>
                <w:sz w:val="1"/>
                <w:szCs w:val="1"/>
                <w:color w:val="auto"/>
              </w:rPr>
            </w:pPr>
          </w:p>
        </w:tc>
      </w:tr>
      <w:tr>
        <w:trPr>
          <w:trHeight w:val="162"/>
        </w:trPr>
        <w:tc>
          <w:tcPr>
            <w:tcW w:w="29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 sales through the U.S.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 direct commercial sales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317</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694</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162"/>
        </w:trPr>
        <w:tc>
          <w:tcPr>
            <w:tcW w:w="29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 aerospace and other commercial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4,387</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4,744</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8,027</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6,416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6,801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6,471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18,315</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583</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(624)</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29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19,721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18,315</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customer for the six months ended June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tcPr>
          <w:p>
            <w:pPr>
              <w:jc w:val="right"/>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right"/>
              <w:ind w:right="16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tcPr>
          <w:p>
            <w:pPr>
              <w:jc w:val="right"/>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ind w:left="100"/>
              <w:spacing w:after="0" w:line="215" w:lineRule="exact"/>
              <w:rPr>
                <w:sz w:val="20"/>
                <w:szCs w:val="20"/>
                <w:color w:val="auto"/>
              </w:rPr>
            </w:pPr>
            <w:r>
              <w:rPr>
                <w:rFonts w:ascii="Times New Roman" w:cs="Times New Roman" w:eastAsia="Times New Roman" w:hAnsi="Times New Roman"/>
                <w:sz w:val="16"/>
                <w:szCs w:val="16"/>
                <w:color w:val="auto"/>
              </w:rPr>
              <w:t xml:space="preserve">Sales to the U.S. government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15,515</w:t>
            </w:r>
          </w:p>
        </w:tc>
        <w:tc>
          <w:tcPr>
            <w:tcW w:w="0" w:type="dxa"/>
            <w:vAlign w:val="bottom"/>
          </w:tcPr>
          <w:p>
            <w:pPr>
              <w:spacing w:after="0"/>
              <w:rPr>
                <w:sz w:val="1"/>
                <w:szCs w:val="1"/>
                <w:color w:val="auto"/>
              </w:rPr>
            </w:pPr>
          </w:p>
        </w:tc>
      </w:tr>
      <w:tr>
        <w:trPr>
          <w:trHeight w:val="162"/>
        </w:trPr>
        <w:tc>
          <w:tcPr>
            <w:tcW w:w="31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Foreign military sales through the U.S.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government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1,659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government direct commercial sales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626</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0" w:type="dxa"/>
            <w:vAlign w:val="bottom"/>
          </w:tcPr>
          <w:p>
            <w:pPr>
              <w:spacing w:after="0"/>
              <w:rPr>
                <w:sz w:val="1"/>
                <w:szCs w:val="1"/>
                <w:color w:val="auto"/>
              </w:rPr>
            </w:pPr>
          </w:p>
        </w:tc>
      </w:tr>
      <w:tr>
        <w:trPr>
          <w:trHeight w:val="213"/>
        </w:trPr>
        <w:tc>
          <w:tcPr>
            <w:tcW w:w="3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Commercial aerospace and other commercial</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8,602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9,174</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17,950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15,418</w:t>
            </w: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12,585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13,101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35,529</w:t>
            </w:r>
          </w:p>
        </w:tc>
        <w:tc>
          <w:tcPr>
            <w:tcW w:w="0" w:type="dxa"/>
            <w:vAlign w:val="bottom"/>
          </w:tcPr>
          <w:p>
            <w:pPr>
              <w:spacing w:after="0"/>
              <w:rPr>
                <w:sz w:val="1"/>
                <w:szCs w:val="1"/>
                <w:color w:val="auto"/>
              </w:rPr>
            </w:pPr>
          </w:p>
        </w:tc>
      </w:tr>
      <w:tr>
        <w:trPr>
          <w:trHeight w:val="213"/>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1,087</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(1,157)</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1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(1,074)</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39,026</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June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tcPr>
          <w:p>
            <w:pPr>
              <w:jc w:val="right"/>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13,411</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1,389</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5,159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6,416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6,801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6,471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18,315</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583</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(624)</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19,721</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six months ended June 30, 2024 and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20" w:type="dxa"/>
            <w:vAlign w:val="bottom"/>
          </w:tcPr>
          <w:p>
            <w:pPr>
              <w:jc w:val="right"/>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5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760" w:type="dxa"/>
            <w:vAlign w:val="bottom"/>
          </w:tcPr>
          <w:p>
            <w:pPr>
              <w:jc w:val="right"/>
              <w:ind w:right="16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tcPr>
          <w:p>
            <w:pPr>
              <w:jc w:val="right"/>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26,198</w:t>
            </w:r>
          </w:p>
        </w:tc>
        <w:tc>
          <w:tcPr>
            <w:tcW w:w="0" w:type="dxa"/>
            <w:vAlign w:val="bottom"/>
          </w:tcPr>
          <w:p>
            <w:pPr>
              <w:spacing w:after="0"/>
              <w:rPr>
                <w:sz w:val="1"/>
                <w:szCs w:val="1"/>
                <w:color w:val="auto"/>
              </w:rPr>
            </w:pPr>
          </w:p>
        </w:tc>
      </w:tr>
      <w:tr>
        <w:trPr>
          <w:trHeight w:val="213"/>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2,725</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5,451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1,977</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10,161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9,331</w:t>
            </w: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35,529</w:t>
            </w:r>
          </w:p>
        </w:tc>
        <w:tc>
          <w:tcPr>
            <w:tcW w:w="0" w:type="dxa"/>
            <w:vAlign w:val="bottom"/>
          </w:tcPr>
          <w:p>
            <w:pPr>
              <w:spacing w:after="0"/>
              <w:rPr>
                <w:sz w:val="1"/>
                <w:szCs w:val="1"/>
                <w:color w:val="auto"/>
              </w:rPr>
            </w:pPr>
          </w:p>
        </w:tc>
      </w:tr>
      <w:tr>
        <w:trPr>
          <w:trHeight w:val="213"/>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1,087</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(1,157)</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39,026</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quarters ended June 30, 2024 and 2023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w:t>
            </w:r>
          </w:p>
        </w:tc>
      </w:tr>
      <w:tr>
        <w:trPr>
          <w:trHeight w:val="21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3,153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w:t>
            </w: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w:t>
            </w:r>
          </w:p>
        </w:tc>
      </w:tr>
      <w:tr>
        <w:trPr>
          <w:trHeight w:val="213"/>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19"/>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6,511</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six months ended June 30, 2024 and 2023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6,642</w:t>
            </w:r>
          </w:p>
        </w:tc>
      </w:tr>
      <w:tr>
        <w:trPr>
          <w:trHeight w:val="21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6,490</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6,286</w:t>
            </w: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12,928</w:t>
            </w:r>
          </w:p>
        </w:tc>
      </w:tr>
      <w:tr>
        <w:trPr>
          <w:trHeight w:val="213"/>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Inter-segments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19"/>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13,170</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Remaining Performance Obligations (RPO)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RPO represents the aggregate amount of total contract transaction price that is unsatisfied or partially unsatisfied. Total RPO was $206 billion as of June 30, 2024. Of the total RPO as of June 30, 2024, we expect approximately 25% will be recognized as revenue over the next 12 months. Approximately 45% of our RPO relates to long-term commercial aerospace maintenance contracts at Pratt &amp; Whitney, which are generally expected to be realized over a span of up to 20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Accounting Pronouncements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SEC issued the final rule under SEC Release Nos. 33-11275 and 34-99678, The Enhancement and Standardization of Climate-Related Disclosures for Investors, requiring public companies to provide certain climate-related information in their registration statements and annual reports. The final rules will require information about a company’s climate-related risks that have materially impacted or are reasonably likely to have a material impact on its business strategy, results of operations, or financial condition, and the actual and potential material impacts of any identified climate-related risks on the company’s strategy, business model and outlook, as well as relating to assessment, management, oversight and mitigation of such material risks, material climate-related targets and goals, and material greenhouse gas emissions. Additionally, certain disclosures related to severe weather events and other natural conditions will be required in the audited financial statements. The first phase of the final rule is effective for fiscal years beginning in 2025. Disclosure for prior periods is only required if it was previously disclosed in an SEC filing. On April 4, 2024, the SEC voluntarily stayed implementation of the final rule to facilitate the orderly judicial resolution of pending legal challenges to the rule. We are currently evaluating the impact on our disclosures of adopting this new pronouncement.</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to enhance income tax reporting disclosures and require disclosure of specific categories in the tabular rate reconciliation. The new standard is effective for fiscal years beginning after December 15, 2024, on a prospective basis. Early adoption and retrospective application are permitted. We are currently evaluating the impact on our disclosures of adopting this new pronouncement.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the segment reporting disclosures and requires disclosure of segment expenses that are regularly provided to the chief operating decision maker (CODM) and included within each reported measure of segment profit or loss, amounts and description of its composition for other segment items, and interim disclosure of a reportable segment’s profit or loss and assets. Additionally, the amendments require the disclosure of the title and position of the CODM and an explanation of how the CODM uses the reported measure(s) of segment profit or loss in assessing performance and deciding how to allocate resources. The new standard is effective for annual reporting periods beginning after December 15, 2023, and interim periods within fiscal years beginning after December 15, 2024, on a retrospective basis. Early adoption is permitted. We are currently evaluating the impact on our disclosures of adopting this new pronouncement.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June 30, 2024 are not expected to have a material impact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RTX for the quarters and six months ended June 30, 2024 and 2023, PricewaterhouseCoopers LLP (PwC) reported that it has applied limited procedures in accordance with professional standards for a review of such information. However, its report dated July 25, 2024,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RTX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RTX Corporation and its subsidiaries (the “Company”) as of June 30, 2024, and the related condensed consolidated statements of operations, of comprehensive income, and of changes in equity for the three-month and six-month periods ended June 30, 2024 and 2023, and the condensed consolidated statement of cash flows for the six-month periods ended June 30, 2024 and 2023,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2023, and the related consolidated statements of operations, of comprehensive income, of changes in equity, and of cash flows for the year then ended (not presented herein), and in our report dated February 5, 2024, we expressed an unqualified opinion on those consolidated financial statements. In our opinion, the information set forth in the accompanying condensed consolidated balance sheet as of December 31, 2023, is fairly stated, in all material respects, in relation to the consolidated balance sheet from which it has been derived.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July 1, 2023, we streamlined the structure of our core businesses to three principal business segments: Collins Aerospace (Collins), Pratt &amp; Whitney, and Raytheon. Prior period information has been recast to conform to our current period presentation.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and Pratt &amp; Whitney use a quarter calendar end. Throughout this Form 10-Q, when we refer to the quarters and six months ended June 30, 2024 and 2023 with respect to Raytheon, we are referring to their June 30, 2024 and July 2, 2023 fiscal quarter ends,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2024 is discussed below. For additional discussion, refer to the “Business Overview” section in Management’s Discussion and Analysis of Financial Condition and Results of Operations (MD&amp;A) in our 2023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Collins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defense operations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and supply, labor availability and costs, inflation, interest rates, geopolitical conflicts and strained intercountry relations, U.S. and non-U.S. tax law changes, foreign currency exchange rates, energy costs and supply, levels of air travel, the financial condition of commercial airlines, and the impact from natural disasters and weather conditions create uncertainties that could impact our businesses.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The Company has made progress in the quarter ended June 30, 2024 toward resolving several outstanding legal matters, herein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“Expected Resolution of Certain Legal Matters.” The Company expects to enter into a deferred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prosecution agreement with the Department of Justice (DOJ) and to be subject to an administrative order with the Securities and Exchange Commission (SEC) to resolve the previously disclosed criminal and civil government investigations into improper payments made by Raytheon Company and its joint venture, Thales-Raytheon Systems (TRS), in connection with certain Middle East contracts since 2012 (Thales-Raytheon Systems and Related Matters); the Company also expects to enter into a deferred prosecution agreement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In addition, the Company has made progress in the quarter ended June 30, 2024 toward resolving certain voluntarily disclosed export controls violations primarily identified in connection with the integration of Rockwell Collins and, to a lesser extent, Raytheon Company, including certain violations expected to be resolved pursuant to a consent agreement with the Department of State (DOS) (Trade Compliance Matters). As a result of the progress made, we recorded a combined pre-tax charge of $918 million during the quarter ended June 30, 2024, which included an accrual of $269 million related to the DOJ Investigation and Contract Pricing Disputes (in addition to amounts previously accrued), an accrual of $364 million related to Thales-Raytheon Systems and Related Matters (in addition to amounts previously accrued), and an accrual of $285 million related to Trade Compliance Matters. See “Note 1: Basis of Presentation” and “Note 16: Commitments and Contingencies” within Item 1 of this Form 10-Q for additional information.</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As described further in “Note 16: Commitments and Contingencies,” within Item 1 of this Form 10-Q, Pratt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Whitney has determined that a rare condition in powder metal used to manufacture certain engine parts requires accelerated inspection of the PW1100G-JM (PW1100) Geared Turbofan (GTF) fleet, which powers the A320neo family of aircraft (A320neo) (herein referred to as the “Powder Metal Matter”).</w:t>
      </w:r>
    </w:p>
    <w:p>
      <w:pPr>
        <w:spacing w:after="0" w:line="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Global Supply Chain. </w:t>
      </w:r>
      <w:r>
        <w:rPr>
          <w:rFonts w:ascii="Times New Roman" w:cs="Times New Roman" w:eastAsia="Times New Roman" w:hAnsi="Times New Roman"/>
          <w:sz w:val="18"/>
          <w:szCs w:val="18"/>
          <w:color w:val="auto"/>
        </w:rPr>
        <w:t>We are dependent on a global supply chain and in recent years have experienced supply chain disruptions that resulted in delays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costs which adversely affected our performance. These disruptions impacted our ability to procure raw materials, microelectronics, and certain commodities on a timely basis and/or at expected prices, and have been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continue to contribute to these issues. Furthermore, our suppliers and subcontractors have been impacted by these same issues. As a result of the Canadian government’s imposition of sanctions in February 2024, including those imposed on U.S.- and German-based Russian-owned entities from which we source titanium for use in our Canadian operations, we recorded charges of $175 million in the first quarter of 2024 within our Collins segment. These charges are primarily related to the recognition of unfavorable purchase commitments and an impairment of contract fulfillment costs that are no longer recoverable as a result of initiating alternative titanium sources. We have implemented actions and programs to mitigate some of the impacts but anticipate supply chain disruptions to continue.</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High inflation levels have increased material and component prices, labor rates, and supplier costs and have negatively impacted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operating profit and margin, including the impact on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of our suppliers to perform. Moreover, volatility in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 technology programs, and we apply our Customer Oriented Results Excellence (CORE) operating platform to the execution of these initiatives. However, the impact of these pressures and corresponding initiatives is uncertain and subject to a range of factors and future developments.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Geopolitical Matters. </w:t>
      </w:r>
      <w:r>
        <w:rPr>
          <w:rFonts w:ascii="Times New Roman" w:cs="Times New Roman" w:eastAsia="Times New Roman" w:hAnsi="Times New Roman"/>
          <w:sz w:val="18"/>
          <w:szCs w:val="18"/>
          <w:color w:val="auto"/>
        </w:rPr>
        <w:t>In response to Russia’s invasion of Ukraine, the U.S. government and the governments of various jurisdictions in which we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including as discussed above in Global Supply Chain; however, based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2023, China announced sanctions against Raytheon Missiles &amp; Defense (RMD) (a former RTX Corporation (RTX) business segment which became part of Raytheon as a result of the July 1, 2023 RTX segment realignment), and previously announced it may take measures against RTX, in connection with certain foreign military sales to Taiwan. The Chinese sanctions against RMD included a fine equal to twice the value of the arms that RMD sold to Taiwan since September 2020. In addition, in September 2022, China indicated that it decided to sanction our Chairman and former Chief Executive Officer, Gregory Hayes, in connection with another foreign military sale to Taiwan involving RTX products and services. In January 2024, China announced sanctions against Data Link Solutions LLC, a Collins joint venture and, most recently, in May 2024, China announced sanctions against Raytheon Missile Systems and the Javelin Joint Venture between Raytheon and Lockheed Martin.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 In particular, as of June 30, 2024, our Contract liabilities include approximately $405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closely monitor potential impacts to RTX’s business, customers, suppliers, employees, and operations in Israel, the Middle East, and elsewhere relating to the ongoing war between Israel and Hamas and the associated rising regional conflicts and tensions, such as Houthi attacks on shipping in the Red Sea, and the U.S. and its partners’ responses to the foregoing. To date, the impacts to RTX have been minimal. RTX’s commercial manufacturing facilities in Israel remain open and operational and have continued exporting products and importing critical items and raw materials. RTX’s defense programs’ ability to receive components from Israel has not been impacted in any material respect, though we could experience future delivery delays of certain products because of the current situation. Given the volatile nature of the situation, the potential impacts to RTX are subject to change.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 our 2023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2023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fluctuations and other significant non-operational items and/or significant operational items that may occur at irregular intervals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have implemented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pacing w:after="0" w:line="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19,721</w:t>
            </w:r>
          </w:p>
        </w:tc>
        <w:tc>
          <w:tcPr>
            <w:tcW w:w="11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39,026</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net sales for the quarter and six months ended June 30, 2024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38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40" w:type="dxa"/>
            <w:vAlign w:val="bottom"/>
          </w:tcPr>
          <w:p>
            <w:pPr>
              <w:spacing w:after="0"/>
              <w:rPr>
                <w:sz w:val="13"/>
                <w:szCs w:val="13"/>
                <w:color w:val="auto"/>
              </w:rPr>
            </w:pPr>
          </w:p>
        </w:tc>
        <w:tc>
          <w:tcPr>
            <w:tcW w:w="14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vMerge w:val="continue"/>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31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1,911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1,406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3,497</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$1.9 billion organically in the quarter ended June 30, 2024 compared to the quarter ended June 30, 2023 primarily due to higher organic net sales of $1.1 billion at Pratt &amp; Whitney, $0.6 billion at Collins, and $0.3 billion at Raytheon.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$4.0 billion organically in the six months ended June 30, 2024 compared to the six months ended June 30, 2023 primarily due to higher organic net sales of $2.3 billion at Pratt &amp; Whitney, $1.2 billion at Collins, and $0.7 billion at Raytheon.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sales due to Acquisitions and divestitures, net of $0.4 billion for both the quarter and six months ended June 30, 2024 compared to the quarter and six months ended June 30, 2023, was primarily driven by the sale of our Cybersecurity, Intelligence and Services (CIS) business within our Raytheon segment completed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“Segment Review” below for further information by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14,562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73.8 %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5,159</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26.2 %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19,721</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Segment Financial Data” within Item 1 of this Form 10-Q for the composition of external net sales by products and services by segment.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products sales increased $1.2 billion in the quarter ended June 30, 2024 compared to the quarter ended June 30, 2023 primarily due to increases in external products sales of $0.7 billion at Pratt &amp; Whitney, $0.4 billion at Collins, and $0.1 billion at Raytheon.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sales increased $0.3 billion in the quarter ended June 30, 2024 compared to the quarter ended June 30, 2023 primarily due to increases in external services sales of $0.5 billion at Pratt &amp; Whitney and $0.1 billion at Collins, partially offset by a decrease in external services sales of $0.3 billion at Raytheon, primarily driven by the sale of our CIS business completed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28,865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26,198</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74.0 %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10,161</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26.0 %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39,026</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35,529</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products sales increased $2.7 billion in the six months ended June 30, 2024 compared to the six months ended June 30, 2023 primarily driven by increases in external products sales of $1.6 billion at Pratt &amp; Whitney, $0.8 billion at Collins, and $0.3 billion at Raytheon.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sales increased $0.8 billion in the six months ended June 30, 2024 compared to the six months ended June 30, 2023 primarily due to increases in external services sales of $0.8 billion at Pratt &amp; Whitney and $0.2 billion at Collins, partially offset by a decrease in external services sales of $0.1 billion at Raytheon, including the sale of our CIS business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42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8,052</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40.8 %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1,269</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1,171</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5.9 %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9,229</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46.8 %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19,721</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18,315</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16,179</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15,515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41.5 %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2,518</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2,379</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17,950</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15,418</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46.0 %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39,026</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35,529</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00" w:type="dxa"/>
            <w:vAlign w:val="bottom"/>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16,141</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14,518</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31,885</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28,163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81.8 %</w:t>
            </w: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cost of sales for the quarter and six months ended June 30, 2024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3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40" w:type="dxa"/>
            <w:vAlign w:val="bottom"/>
          </w:tcPr>
          <w:p>
            <w:pPr>
              <w:spacing w:after="0"/>
              <w:rPr>
                <w:sz w:val="13"/>
                <w:szCs w:val="13"/>
                <w:color w:val="auto"/>
              </w:rPr>
            </w:pPr>
          </w:p>
        </w:tc>
        <w:tc>
          <w:tcPr>
            <w:tcW w:w="14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30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0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0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3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426</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$1.5 billion for the quarter ended June 30, 2024 compared to the quarter ended June 30, 2023, was primarily driven by the organic net sales increases at Pratt &amp; Whitney, Collins, and Raytheon noted above.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cost of sales increased $0.4 billion in the quarter ended June 30, 2024 compared to the quarter ended June 30, 2023 primarily driven by a $0.5 billion charge at Raytheon related to the anticipated termination of a fixed price development contract with a foreign customer (herein referred to as “Raytheon Contract Termination”), partially offset by the absence of charges of $0.1 billion at Pratt &amp; Whitney related to a customer insolvency recorded in the second quarter of 2023.</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$3.3 billion for the six months ended June 30, 2024 compared to the six months ended June 30, 2023, was primarily driven by the organic net sales increases at Pratt &amp; Whitney, Collins, and Raytheon noted above.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cost of sales increased $0.6 billion in the six months ended June 30, 2024 compared to the six months ended June 30, 2023 primarily driven by a $0.5 billion charge related to the anticipated Raytheon Contract Termination in the second quarter of 2024 and $0.2 billion of charges recorded in the first quarter of 2024 at Collins related to the recognition of unfavorable purchase commitments and an impairment of contract fulfillment costs that are no longer recoverable as a result of initiating alternative titanium sources, partially offset by the absence of charges of $0.1 billion at Pratt &amp; Whitney related to a customer insolvency recorded in the second quarter of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total cost of sales due to Acquisitions and divestitures, net of $0.4 billion for both the quarter and six months ended June 30, 2024 compared to the quarter and six months ended June 30, 2023, was primarily driven by the sale of our CIS business within our Raytheon segment completed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actions relate to ongoing cost reduction efforts including workforce reductions and the consolidation of facilities.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12,625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64.0 %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3,516</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17.8 %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16,141</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14,518</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81.8 %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cost of sales increased $1.5 billion in the quarter ended June 30, 2024 compared to the quarter ended June 30, 2023, primarily driven by increases in external products cost of sales at Pratt &amp; Whitney, Raytheon, and Collins, all driven by the products sales changes noted above, and a $0.5 billion charge related to the anticipated Raytheon Contract Termination in the second quarter of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$0.1 billion in the quarter ended June 30, 2024 compared to the quarter ended June 30, 2023, primarily due to increases in external services cost of sales at Pratt &amp; Whitney and Collins, partially offset by a decrease in external services cost of sales at Raytheon, each driven by the services sales changes noted above.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24,841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63.7 %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7,044</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18.0 %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31,885</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28,163</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81.7 %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products cost of sales increased $3.1 billion in the six months ended June 30, 2024 compared to the six months ended June 30, 2023, primarily driven by increases in external products cost of sales at Pratt &amp; Whitney, Raytheon, and Collins, all driven by the products sales changes noted above, a $0.5 billion charge related to the anticipated Raytheon Contract Termination in the second quarter of 2024, and charges of $0.2 billion at Collins as a result of initiating alternative titanium sources recorded in the first quarter of 2024.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$0.7 billion in the six months ended June 30, 2024 compared to the six months ended June 30, 2023, primarily due to increases in external services cost of sales at Pratt &amp; Whitney and Collins, partially offset by a decrease in external services sales at Raytheon, all driven by the services sales changes noted above.</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706</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1,375</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3.6 %</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1,186</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2,422</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Cost of sales in our Condensed Consolidated Statement of Operations.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and customer-funded research and development expenses in the quarter ended June 30, 2024 were relatively consistent with the quarter ended June 30,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Company-funded research and development expenses in the six months ended June 30, 2024 were relatively consistent with the six months ended June 30,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customer-funded research and development of $0.1 billion for the six months ended June 30, 2024 compared to the six months ended June 30, 2023 was primarily driven by higher expenses on commercial and defense programs at Collins and increased spending at Pratt &amp; Whitney on military programs, partially offset by lower expenses on various development programs at Raytheon.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3"/>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1,449</w:t>
            </w:r>
          </w:p>
        </w:tc>
        <w:tc>
          <w:tcPr>
            <w:tcW w:w="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2,843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3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c>
          <w:tcPr>
            <w:tcW w:w="7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$0.2 billion in the quarter ended June 30, 2024 compared to the quarter ended June 30, 2023, primarily driven by the absence of a $0.1 billion charge at Pratt &amp; Whitney related to a customer insolvency recorded in the second quarter of 2023.</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$0.1 billion in the six months ended June 30, 2024 compared to the six months ended June 30, 2023, primarily driven by the absence of a $0.1 billion charge at Pratt &amp; Whitney related to a customer insolvency recorded in the second quarter of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in an effort to keep our cost structure competitive. Therefore, the amounts reflected above include the beneficial impact of previous restructuring actions on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90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122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equity earnings in unconsolidated entities, royalty income, foreign exchange gains and losses, and other ongoing and non-recurring items.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income (expense), net of $0.9 billion for the quarter ended June 30, 2024 compared to the quarter ended June 30, 2023 was primarily due to a $0.9 billion charge related to the Expected Resolution of Certain Legal Matters.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net of $0.6 billion for the six months ended June 30, 2024 compared to the six months ended June 30, 2023 was primarily due to a $0.9 billion charge related to the Expected Resolution of Certain Legal Matters, partially offset by a $0.4 billion gain on sale of Raytheon’s CIS business, net of transaction costs.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3"/>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529</w:t>
            </w:r>
          </w:p>
        </w:tc>
        <w:tc>
          <w:tcPr>
            <w:tcW w:w="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2,399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margin</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2.7 %</w:t>
            </w:r>
          </w:p>
        </w:tc>
        <w:tc>
          <w:tcPr>
            <w:tcW w:w="7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Operating profit of $1.0 billion for the quarter ended June 30, 2024 compared to the quarter ended June 30, 2023 was primarily driven by a $0.9 billion charge related to the Expected Resolution of Certain Legal Matters and a $0.6 billion charge related to the anticipated Raytheon Contract Termination, partially offset by the operating performance of our segments and the absence of $0.2 billion of charges at Pratt &amp; Whitney related to a customer insolvency recorded in the second quarter of 2023.</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Operating profit of $0.8 billion for the six months ended June 30, 2024 compared to the six months ended June 30, 2023 was primarily driven by a $0.9 billion charge related to the Expected Resolution of Certain Legal Matters, a $0.6 billion charge related to the anticipated Raytheon Contract Termination, $0.2 billion of charges at Collins related to the recognition of unfavorable purchase commitments and an impairment of contract fulfillment costs that are no longer recoverable as a result of initiating alternative titanium sources recorded in the first quarter of 2024, and the change in our FAS/CAS operating adjustment which is described below in “Segment Review.” The above items were partially offset by the operating performance of our segments, a $0.4 billion gain on sale of the CIS business, net of transaction and other related costs, and the absence of $0.2 billion of charges at Pratt &amp; Whitney related to a customer insolvency recorded in the second quarter of 2023.</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80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1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11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Non-service pension income of $73 million for the quarter ended June 30, 2024 compared to the quarter ended June 30, 2023 was primarily driven by the decrease in the recognized actuarial net (gain) loss as a result of the merger of the remaining Raytheon Company qualified pension plans into the RTX Consolidated Pension Plan at December 31,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Non-service pension income of $131 million for the six months ended June 30, 2024 compared to the six months ended June 30, 2023 was primarily driven by the decrease in the recognized actuarial net (gain) loss as a result of the merger of the remaining Raytheon Company qualified pension plans into the RTX Consolidated Pension Plan at December 31,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3"/>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488</w:t>
            </w:r>
          </w:p>
        </w:tc>
        <w:tc>
          <w:tcPr>
            <w:tcW w:w="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908</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(19)</w:t>
            </w:r>
          </w:p>
        </w:tc>
        <w:tc>
          <w:tcPr>
            <w:tcW w:w="7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(30)</w:t>
            </w:r>
          </w:p>
        </w:tc>
        <w:tc>
          <w:tcPr>
            <w:tcW w:w="4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expense (income)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6</w:t>
            </w:r>
          </w:p>
        </w:tc>
        <w:tc>
          <w:tcPr>
            <w:tcW w:w="7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w:t>
            </w: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475</w:t>
            </w:r>
          </w:p>
        </w:tc>
        <w:tc>
          <w:tcPr>
            <w:tcW w:w="7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880</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7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4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282" w:lineRule="auto"/>
        <w:tabs>
          <w:tab w:leader="none" w:pos="34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the gains or losses on assets associated with certain of our nonqualified deferred compensation and employee benefit plans, as well as the gains or losses on liabilities associated with certain of our nonqualified deferred compensation plans and non-operating dividend income.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increased $142 million in the quarter ended June 30, 2024 compared to the quarter ended June 30, 2023 primarily due to an increase in Interest expense as a result of the long-term debt issuances in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increased $232 million in the six months ended June 30, 2024 compared to the six months ended June 30, 2023 primarily due to an increase in Interest expense as a result of long-term debt issuances in 2023, partially offset by the reversal of interest accruals as a result of the conclusion of the examination phases of the RTX and Rockwell Collins tax audits in the first quarter of 2024.</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2"/>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120" w:type="dxa"/>
            <w:vAlign w:val="bottom"/>
            <w:tcBorders>
              <w:bottom w:val="single" w:sz="8" w:color="auto"/>
            </w:tcBorders>
            <w:gridSpan w:val="2"/>
            <w:shd w:val="clear" w:color="auto" w:fill="CCEEFF"/>
          </w:tcPr>
          <w:p>
            <w:pPr>
              <w:jc w:val="right"/>
              <w:ind w:right="3208"/>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0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59.1 %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15.8 %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the effective tax rate for the quarter ended June 30, 2024 as compared to the quarter ended June 30, 2023 is primarily driven by a $918 million charge associated with the Expected Resolution of Certain Legal Matters accrued during the quarter ended June 30, 2024 where no tax benefit has been recorded. Additionally, the annualized effective tax rate currently forecasted for 2024 is higher than the comparable period in 2023, principally driven by lower U.S. federal research and development tax credits and higher non-U.S. income taxes. The higher forecasted non-U.S. income taxes are principally driven by legislation enacted during the quarter ended June 30, 2024 by the Organisation for Economic Co-operation and Development’s (OECD) Pillar Two initiatives.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six months ended June 30, 2024 includes a $275 million tax benefit recognized in the quarter ended March 31, 2024 resulting from the conclusion of the examination phases of the RTX and Rockwell Collins audits and $143 million of tax costs associated with the sale of the CIS business. The resulting net tax benefit from these items, coupled with lower year to date pre-tax income, more than offset the effective tax rate impact of a $918 million charge associated with the Expected Resolution of Certain Legal Matters accrued during the quarter ended June 30, 2024 where no tax benefit has been recorded.</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1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1,820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1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1.36</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June 30, 2024 includes the following:</w:t>
      </w:r>
    </w:p>
    <w:p>
      <w:pPr>
        <w:spacing w:after="0" w:line="27" w:lineRule="exact"/>
        <w:rPr>
          <w:sz w:val="20"/>
          <w:szCs w:val="20"/>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related to the Expected Resolution of Certain Legal Matters of $918 million, which had an unfavorable impact on diluted earnings per share (EPS) of $0.68;</w:t>
      </w: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$438 million, net of tax, related to the anticipated Raytheon Contract Termination, which had an unfavorable impact on diluted EPS of $0.33;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$393 million, net of tax, which had an unfavorable impact on diluted EPS of $0.29.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June 30, 2023 includes the following: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$384 million, net of tax, which had an unfavorable impact on diluted EPS of $0.26;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on our contract assets and customer financing assets related to a customer insolvency of $114 million, net of tax and noncontrolling interest, which had an unfavorable impact on diluted EPS of $0.08.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six months ended June 30, 2024 includes the following:</w:t>
      </w:r>
    </w:p>
    <w:p>
      <w:pPr>
        <w:spacing w:after="0" w:line="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related to the Expected Resolution of Certain Legal Matters of $918 million, which had an unfavorable impact on diluted EPS of $0.69;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$782 million, net of tax, which had an unfavorable impact on diluted EPS of $0.58;</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$438 million, net of tax, related to the anticipated Raytheon Contract Termination, which had an unfavorable impact on diluted EPS of $0.33;</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recognized as a result of the conclusion of the examination phases of the RTX and Rockwell Collins tax audits of $285 million, net of tax, which had a favorable impact on diluted EPS of $0.21;</w:t>
      </w: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sale of the CIS business, net of transaction and other related costs, of $241 million, net of tax, which had a favorable impact on diluted EPS of $0.18; and</w:t>
      </w: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initiating alternative titanium sources at our Collins segment of $175 million, which had an unfavorable impact on diluted EPS of $0.13.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six months ended June 30, 2023 includes the following:</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$769 million, net of tax, which had an unfavorable impact on diluted EPS of $0.52;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on our contract assets and customer financing assets related to a customer insolvency of $114 million, net of tax and noncontrolling interest, which had an unfavorable impact on diluted EPS of $0.08.</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results exclude certain acquisition accounting adjustments, the FAS/CAS operating adjustment, and certain corporate expenses, as further discussed below.</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2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6,999</w:t>
            </w:r>
          </w:p>
        </w:tc>
        <w:tc>
          <w:tcPr>
            <w:tcW w:w="10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13,672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6,802</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13,258</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6,511</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13,170</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0" w:type="dxa"/>
            <w:vAlign w:val="bottom"/>
          </w:tcPr>
          <w:p>
            <w:pPr>
              <w:spacing w:after="0"/>
              <w:rPr>
                <w:sz w:val="1"/>
                <w:szCs w:val="1"/>
                <w:color w:val="auto"/>
              </w:rPr>
            </w:pPr>
          </w:p>
        </w:tc>
      </w:tr>
      <w:tr>
        <w:trPr>
          <w:trHeight w:val="223"/>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20,312</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40,100</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(1,074)</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19,721</w:t>
            </w:r>
          </w:p>
        </w:tc>
        <w:tc>
          <w:tcPr>
            <w:tcW w:w="10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39,026</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the operating results of certain smaller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by segment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7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3"/>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1,118</w:t>
            </w:r>
          </w:p>
        </w:tc>
        <w:tc>
          <w:tcPr>
            <w:tcW w:w="11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1,967</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542</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954</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(2)</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1,123</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1,787</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4,044</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(3)</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212</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426</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529</w:t>
            </w:r>
          </w:p>
        </w:tc>
        <w:tc>
          <w:tcPr>
            <w:tcW w:w="11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2,399</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7"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includes a $0.6 billion charge in the second quarter of 2024 related to the anticipated Raytheon Contract Termination and a $0.4 billion gain, net of transaction and other related costs, in the first quarter of 2024 related to the sale of our CIS business. See “Note 5: Changes in Contract Estimates at Completion” and “Note 2: Acquisitions and Dispositions” within Item 1 of this Form 10-Q, respectively, for additional information.</w:t>
      </w:r>
    </w:p>
    <w:p>
      <w:pPr>
        <w:ind w:left="340" w:right="20" w:hanging="332"/>
        <w:spacing w:after="0" w:line="263" w:lineRule="auto"/>
        <w:tabs>
          <w:tab w:leader="none" w:pos="32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Expected Resolution of Certain Legal Matters. See “Note 1: Basis of Presentation” within Item 1 of this Form 10-Q for additional information.</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segment Operating profit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aggregate EAC adjustments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0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333</w:t>
            </w:r>
          </w:p>
        </w:tc>
        <w:tc>
          <w:tcPr>
            <w:tcW w:w="11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543</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604</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unfavorable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(767)</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EAC adjustments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14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(224)</w:t>
            </w:r>
          </w:p>
        </w:tc>
        <w:tc>
          <w:tcPr>
            <w:tcW w:w="11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net EAC adjustments of $32 million in the quarter ended June 30, 2024 compared to the quarter ended June 30, 2023 was primarily due to unfavorable changes in net EAC adjustments at Collins, partially offset by favorable changes in net EAC adjustments at Raytheon.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net EAC adjustments of $70 million in the six months ended June 30, 2024 compared to the six months ended June 30, 2023 was primarily due to unfavorable changes in net EAC adjustments at Collins, partially offset by favorable changes in net EAC adjustments at Raytheon.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quarter ended June 30, 2024, Raytheon initiated the termination of a fixed price development contract with a foreign customer. As a result of this action, Raytheon recognized a $575 million charge related to the estimated impact of this termination. This charge includes the write-off of remaining contract assets and our best estimate of the expected settlement in conjunction with this termination.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EAC adjustments, when they occur, are discussed in each business segment’s discussion below.</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Backlog and Bookings. </w:t>
      </w:r>
      <w:r>
        <w:rPr>
          <w:rFonts w:ascii="Times New Roman" w:cs="Times New Roman" w:eastAsia="Times New Roman" w:hAnsi="Times New Roman"/>
          <w:sz w:val="18"/>
          <w:szCs w:val="18"/>
          <w:color w:val="auto"/>
        </w:rPr>
        <w:t>Total backlog was approximately $206 billion and $196 billion as of June 30, 2024 and December 31, 2023, respectively.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includes commercial backlog of $129 billion and $118 billion as of June 30, 2024 and December 31, 2023, respectively, and defense backlog of $77 billion and $78 billion as of June 30, 2024 and December 31, 2023, respectively. In the quarter ended March 31, 2024, Raytheon backlog was reduced by $1.1 billion as a result of the sale of the CIS business.</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bookings are an important measure of future performance for our defense businesses. Our defense operations consist primarily of our Raytheon business and operations in the defense businesses within our Collins and Pratt &amp; Whitney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segments. Defense bookings were approximately $11 billion and $13 billion for the quarters ended June 30, 2024 and 2023, respectively, and approximately $22 billion and $25 billion for the six months ended June 30, 2024 and 2023,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vMerge w:val="continue"/>
          </w:tcPr>
          <w:p>
            <w:pPr>
              <w:spacing w:after="0"/>
              <w:rPr>
                <w:sz w:val="15"/>
                <w:szCs w:val="15"/>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6,999</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6,384</w:t>
            </w:r>
          </w:p>
        </w:tc>
        <w:tc>
          <w:tcPr>
            <w:tcW w:w="1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13,672</w:t>
            </w:r>
          </w:p>
        </w:tc>
        <w:tc>
          <w:tcPr>
            <w:tcW w:w="4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12,504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1,118</w:t>
            </w:r>
          </w:p>
        </w:tc>
        <w:tc>
          <w:tcPr>
            <w:tcW w:w="280" w:type="dxa"/>
            <w:vAlign w:val="bottom"/>
          </w:tcPr>
          <w:p>
            <w:pPr>
              <w:spacing w:after="0"/>
              <w:rPr>
                <w:sz w:val="19"/>
                <w:szCs w:val="19"/>
                <w:color w:val="auto"/>
              </w:rPr>
            </w:pPr>
          </w:p>
        </w:tc>
        <w:tc>
          <w:tcPr>
            <w:tcW w:w="15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899</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24 %</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1,967</w:t>
            </w:r>
          </w:p>
        </w:tc>
        <w:tc>
          <w:tcPr>
            <w:tcW w:w="48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1,796</w:t>
            </w: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4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16.0 %</w:t>
            </w: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14.1 %</w:t>
            </w:r>
          </w:p>
        </w:tc>
        <w:tc>
          <w:tcPr>
            <w:tcW w:w="1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14.4 %</w:t>
            </w: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300" w:type="dxa"/>
            <w:vAlign w:val="bottom"/>
          </w:tcPr>
          <w:p>
            <w:pPr>
              <w:spacing w:after="0"/>
              <w:rPr>
                <w:sz w:val="24"/>
                <w:szCs w:val="24"/>
                <w:color w:val="auto"/>
              </w:rPr>
            </w:pPr>
          </w:p>
        </w:tc>
        <w:tc>
          <w:tcPr>
            <w:tcW w:w="650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2024 Compared with Quarter Ended June 30, 2023</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580" w:type="dxa"/>
            <w:vAlign w:val="bottom"/>
          </w:tcPr>
          <w:p>
            <w:pPr>
              <w:jc w:val="center"/>
              <w:ind w:right="37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0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40" w:type="dxa"/>
            <w:vAlign w:val="bottom"/>
          </w:tcPr>
          <w:p>
            <w:pPr>
              <w:spacing w:after="0"/>
              <w:rPr>
                <w:sz w:val="11"/>
                <w:szCs w:val="11"/>
                <w:color w:val="auto"/>
              </w:rPr>
            </w:pPr>
          </w:p>
        </w:tc>
        <w:tc>
          <w:tcPr>
            <w:tcW w:w="4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615</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5"/>
              </w:rPr>
              <w:t>(7)</w:t>
            </w: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219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$0.6 billion in the quarter ended June 30, 2024 compared to the quarter ended June 30, 2023 primarily relates to higher commercial aerospace aftermarket sales of $0.3 billion, higher commercial aerospace OEM sales of $0.2 billion, and a $0.1 billion increase in defense sales. The increase in commercial aerospace sales was principally driven by an increase in commercial air traffic, which has resulted in an increase in flight hours, and increased volume across all OEM sales channels. The defense sales increase was primarily due to higher volume.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operating profit increase of $0.3 billion in the quarter ended June 30, 2024 compared to the quarter ended June 30, 2023 was primarily due to higher commercial aerospace operating profit of $0.2 billion, principally driven by the higher aftermarket and OEM sales volume discussed above. Defense operating profit increased in the quarter ended June 30, 2024 compared to the quarter ended June 30, 2023 due to the higher volume discussed above.</w:t>
      </w:r>
    </w:p>
    <w:p>
      <w:pPr>
        <w:spacing w:after="0" w:line="6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with Six Months Ended June 30,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560" w:type="dxa"/>
            <w:vAlign w:val="bottom"/>
          </w:tcPr>
          <w:p>
            <w:pPr>
              <w:jc w:val="center"/>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$1.2 billion in the six months ended June 30, 2024 compared to the six months ended June 30, 2023 primarily relates to higher commercial aerospace aftermarket sales of $0.6 billion, higher commercial aerospace OEM sales of $0.4 billion, and a $0.2 billion increase in defense sales. The increase in commercial aerospace sales was principally driven by an increase in commercial air traffic, which has resulted in an increase in flight hours, and increased volume across all OEM sales channels. The defense sales increase was primarily due to higher volume.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profit increase of $0.4 billion in the six months ended June 30, 2024 compared to the six months ended June 30, 2023 was primarily due to higher commercial aerospace operating profit of $0.4 billion, principally driven by the higher aftermarket and OEM sales volume discussed above. Defense operating profit was relatively flat in the six months ended June 30, 2024 compared to the six months ended June 30, 2023 as the higher volume discussed above was partially offset by higher space program costs.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Other operating profit of $0.2 billion in the six months ended June 30, 2024 compared to the six months ended June 30, 2023 was primarily driven by $175 million of charges in the first quarter of 2024, primarily related to the recognition of unfavorable purchase commitments and an impairment of contract fulfillment costs that are no longer recoverable as a result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initiating alternative titanium sources. See “Note 1: Basis of Presentation” within Item 1 of this Form 10-Q for additional information on Russia sanctions.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quarter ended June 30, 2024, Collins booked $1.9 billion to support the U.S.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Force’s next-generation Survivable Airborne Operations Center and $254 million for F-35 landing gear Lots 18 and 19.</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vMerge w:val="continue"/>
          </w:tcPr>
          <w:p>
            <w:pPr>
              <w:spacing w:after="0"/>
              <w:rPr>
                <w:sz w:val="15"/>
                <w:szCs w:val="15"/>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6,802</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5,701</w:t>
            </w:r>
          </w:p>
        </w:tc>
        <w:tc>
          <w:tcPr>
            <w:tcW w:w="122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 xml:space="preserve">19 %  </w:t>
            </w: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13,258</w:t>
            </w:r>
          </w:p>
        </w:tc>
        <w:tc>
          <w:tcPr>
            <w:tcW w:w="5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10,931</w:t>
            </w:r>
          </w:p>
        </w:tc>
        <w:tc>
          <w:tcPr>
            <w:tcW w:w="1140" w:type="dxa"/>
            <w:vAlign w:val="bottom"/>
            <w:tcBorders>
              <w:top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542</w:t>
            </w:r>
          </w:p>
        </w:tc>
        <w:tc>
          <w:tcPr>
            <w:tcW w:w="300" w:type="dxa"/>
            <w:vAlign w:val="bottom"/>
          </w:tcPr>
          <w:p>
            <w:pPr>
              <w:spacing w:after="0"/>
              <w:rPr>
                <w:sz w:val="19"/>
                <w:szCs w:val="19"/>
                <w:color w:val="auto"/>
              </w:rPr>
            </w:pPr>
          </w:p>
        </w:tc>
        <w:tc>
          <w:tcPr>
            <w:tcW w:w="152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230</w:t>
            </w:r>
          </w:p>
        </w:tc>
        <w:tc>
          <w:tcPr>
            <w:tcW w:w="12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136 %</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954</w:t>
            </w:r>
          </w:p>
        </w:tc>
        <w:tc>
          <w:tcPr>
            <w:tcW w:w="500" w:type="dxa"/>
            <w:vAlign w:val="bottom"/>
          </w:tcPr>
          <w:p>
            <w:pPr>
              <w:spacing w:after="0"/>
              <w:rPr>
                <w:sz w:val="19"/>
                <w:szCs w:val="19"/>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645</w:t>
            </w: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4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8.0 %</w:t>
            </w:r>
          </w:p>
        </w:tc>
        <w:tc>
          <w:tcPr>
            <w:tcW w:w="3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4.0 %</w:t>
            </w:r>
          </w:p>
        </w:tc>
        <w:tc>
          <w:tcPr>
            <w:tcW w:w="12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650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2024 Compared with Quarter Ended June 30, 2023</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1"/>
                <w:szCs w:val="11"/>
                <w:color w:val="auto"/>
              </w:rPr>
            </w:pPr>
          </w:p>
        </w:tc>
        <w:tc>
          <w:tcPr>
            <w:tcW w:w="1520" w:type="dxa"/>
            <w:vAlign w:val="bottom"/>
          </w:tcPr>
          <w:p>
            <w:pPr>
              <w:jc w:val="center"/>
              <w:ind w:right="33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2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60" w:type="dxa"/>
            <w:vAlign w:val="bottom"/>
          </w:tcPr>
          <w:p>
            <w:pPr>
              <w:spacing w:after="0"/>
              <w:rPr>
                <w:sz w:val="11"/>
                <w:szCs w:val="11"/>
                <w:color w:val="auto"/>
              </w:rPr>
            </w:pPr>
          </w:p>
        </w:tc>
        <w:tc>
          <w:tcPr>
            <w:tcW w:w="5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312</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$1.1 billion in the quarter ended June 30, 2024, compared to the quarter ended June 30, 2023, reflects higher commercial aftermarket sales of $0.4 billion, driven by higher volume and favorable mix. The increase in commercial OEM sales was $0.4 billion driven by higher volume and favorable mix within large commercial engines. The increase also includes higher military sales of $0.3 billion driven by higher sustainment volume across multiple platforms.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Organic operating profit increased $0.1 billion in the quarter ended June 30, 2024, compared to the quarter ended June 30, 2023. Commercial aerospace operating profit increased $0.1 billion as the benefit from higher commercial aftermarket volume as well as favorable large commercial OEM and commercial aftermarket mix, was partially offset by the unfavorable impact from higher large commercial OEM volume and the absence of a $60 million favorable contract matter in the second quarter of 2023. Additionally, the increase in military operating profit, driven by the sales volume discussed above and favorable mix, was more than offset by higher production costs and higher research and development and selling, general, and administrative expenses.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operating profit of $0.2 billion in the quarter ended June 30, 2024, compared to the quarter ended June 30, 2023, reflects the absence of a $181 million charge related to a customer insolvency during the second quarter of 2023.</w:t>
      </w:r>
    </w:p>
    <w:p>
      <w:pPr>
        <w:spacing w:after="0" w:line="3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with Six Months Ended June 30,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1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560" w:type="dxa"/>
            <w:vAlign w:val="bottom"/>
          </w:tcPr>
          <w:p>
            <w:pPr>
              <w:jc w:val="center"/>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2,332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$2.3 billion in the six months ended June 30, 2024, compared to the six months ended June 30, 2023 reflects higher commercial OEM sales of $1.0 billion primarily driven by volume and favorable mix and higher commercial aftermarket sales of $0.7 billion primarily driven by higher volume. The organic increase also includes higher military sales of $0.6 billion, driven by higher sustainment volume across multiple platforms.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Organic operating profit increase of $0.1 billion in the six months ended June 30, 2024, compared to the six months ended June 30, 2023 reflects higher commercial aerospace operating profit of $0.1 billion as the benefit from favorable large commercial OEM mix and higher commercial aftermarket volume was partially offset by the unfavorable impact from higher large commercial OEM volume, as well as, the absence of two favorable contracts matters totaling approximately $120 million during the six months ended June 30, 2023. Additionally, the increase in military operating profit of $0.1 billion, driven by the higher sales volume discussed above and favorable mix, was partially offset by higher production costs. The increases described above were also partially offset by higher research and development and selling, general and administrative expenses of $0.1 billion.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Other operating profit of $0.2 billion in the six months ended June 30, 2024, compared to in the six months ended June 30, 2023, reflects the absence of a $181 million charge related to a customer insolvency during the second quarter of 2023.</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six months ended June 30, 2024, Pratt &amp; Whitney booked $381 million for F135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sustainment and $302 million for F135 production.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3"/>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6,511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6,700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13,170</w:t>
            </w:r>
          </w:p>
        </w:tc>
        <w:tc>
          <w:tcPr>
            <w:tcW w:w="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12,992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127</w:t>
            </w:r>
          </w:p>
        </w:tc>
        <w:tc>
          <w:tcPr>
            <w:tcW w:w="260" w:type="dxa"/>
            <w:vAlign w:val="bottom"/>
          </w:tcPr>
          <w:p>
            <w:pPr>
              <w:spacing w:after="0"/>
              <w:rPr>
                <w:sz w:val="19"/>
                <w:szCs w:val="19"/>
                <w:color w:val="auto"/>
              </w:rPr>
            </w:pPr>
          </w:p>
        </w:tc>
        <w:tc>
          <w:tcPr>
            <w:tcW w:w="128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644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1,123</w:t>
            </w:r>
          </w:p>
        </w:tc>
        <w:tc>
          <w:tcPr>
            <w:tcW w:w="44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1,215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margins</w:t>
            </w: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9.6 %</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Defense Bookings</w:t>
            </w:r>
          </w:p>
        </w:tc>
        <w:tc>
          <w:tcPr>
            <w:tcW w:w="1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5,028</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6,203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13,150</w:t>
            </w:r>
          </w:p>
        </w:tc>
        <w:tc>
          <w:tcPr>
            <w:tcW w:w="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15,308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500" w:type="dxa"/>
            <w:vAlign w:val="bottom"/>
            <w:gridSpan w:val="10"/>
          </w:tcPr>
          <w:p>
            <w:pPr>
              <w:jc w:val="right"/>
              <w:ind w:right="275"/>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2024 Compared with Quarter Ended June 30, 2023</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1"/>
                <w:szCs w:val="11"/>
                <w:color w:val="auto"/>
              </w:rPr>
            </w:pPr>
          </w:p>
        </w:tc>
        <w:tc>
          <w:tcPr>
            <w:tcW w:w="128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9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6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net sales increase of $0.3 billion in the quarter ended June 30, 2024 compared to the quarter ended June 30, 2023 was primarily due to higher net sales of $0.4 billion from land and air defense systems programs primarily driven by higher net sales on certain international Patriot programs, higher net sales on Counter-Unmanned Aircraft Systems (C-UAS) programs, and higher volume on Stinger.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quarter ended June 30, 2024 compared to the quarter ended June 30, 2023 was driven by a favorable change in mix and other performance of approximately $40 million spread across numerous individual programs, higher volume of approximately $30 million primarily driven by the sales increases noted above, and a net favorable change in EAC adjustments of approximately $20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in the quarter ended June 30, 2024 compared to the quarter ended June 30, 2023 primarily relates to the sale of the CIS business completed in the first quarter of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Other net sales and operating profit decreases of $0.1 billion and $0.6 billion, respectively, in the quarter ended June 30, 2024 compared to the quarter ended June 30, 2023 was primarily due to a charge of $0.6 billion related to the anticipated Raytheon Contract Termination initiated in the quarter ended June 30, 2024.</w:t>
      </w:r>
    </w:p>
    <w:p>
      <w:pPr>
        <w:spacing w:after="0" w:line="6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with Six Months Ended June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ind w:right="26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660" w:type="dxa"/>
            <w:vAlign w:val="bottom"/>
          </w:tcPr>
          <w:p>
            <w:pPr>
              <w:jc w:val="center"/>
              <w:ind w:right="55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$0.7 billion in the six months ended June 30, 2024 compared to the six months ended June 30, 2023 was primarily driven by higher net sales of $0.6 billion from land and air defense systems programs and $0.2 billion from advanced technology programs. The increase in land and air defense systems programs was primarily driven by higher net sales on certain international Patriot programs, higher net sales on C-UAS programs, higher volume on Stinger, and higher volume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certain international National Advanced Surface-to-air Missile System (NASAMS) programs. The increase in advanced technology programs was primarily driven by higher volume on classified programs and an advanced development program.</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six months ended June 30, 2024 compared to the six months ended June 30, 2023 was due to a favorable change in net EAC adjustments of approximately $80 million and higher volume of approximately $70 million primarily driven by the sales increases noted above, partially offset by a decrease in mix and other performance of approximately $20 million. The favorable change in net EAC adjustments benefited from the absence of an unfavorable impact related to a significant contract option exercised in the first quarter of 2023, and the remaining change was spread across numerous individual programs.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in the six months ended June 30, 2024 compared to the six months ended June 30, 2023 primarily relates to the sale of the CIS business completed in the first quarter of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net sales and operating profit decreases of $0.1 billion and $0.2 billion, respectively in the six months ended June 30, 2024 compared to the six months ended June 30, 2023 were primarily due to a charge of $0.6 billion related to the anticipated Raytheon Contract Termination initiated in the quarter ended June 30, 2024, with the operating profit decrease partially offset by a $0.4 billion gain on sale of the CIS business, net of transaction and other related costs, in the first quarter of 2024.</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Defense Backlog and Bookings</w:t>
      </w:r>
      <w:r>
        <w:rPr>
          <w:rFonts w:ascii="Times New Roman" w:cs="Times New Roman" w:eastAsia="Times New Roman" w:hAnsi="Times New Roman"/>
          <w:sz w:val="18"/>
          <w:szCs w:val="18"/>
          <w:color w:val="auto"/>
        </w:rPr>
        <w:t>– Backlog was $51 billion as of June 30, 2024 and $52 billion as of December 31, 2023. Included in the change in backlog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 $1.1 billion reduction related to the sale of the CIS business discussed above. In addition to a number of smaller bookings, in the quarter ended June 30, 2024, Raytheon booked $928 million on a number of classified contracts, $639 million to produce AN/SPY-6(V) radars for the U.S. Navy, and $393 million to design and build the Landsat Next Instrument Suite (LandIS) for NASA. In addition to these bookings, in the six months ended June 30, 2024, Raytheon booked $1.6 billion on a number of classified contracts, $1.2 billion to provide Patriot Air Defense systems to Germany, $818 million to provide Guidance Enhanced Missiles (GEM-T) for NATO Support and Procurement Agency (NSPA), $623 million to provide GEM-T for an international customer, $282 million to provide NASAMS for Ukraine, and $251 million to provide GEM-T for an international customer.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Eliminations and other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operations.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expenses and other unallocated items consists of costs not considered part of management’s evaluation of reportable segment operating performance, including certain unallowable costs and reserves.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10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(36)</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(930)</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net sales of $0.1 billion in the quarter ended June 30, 2024 compared to the quarter ended June 30, 2023, was primarily due to an increase in intersegment eliminations, principally driven by Collins.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and other operating profit in the quarter ended June 30, 2024 was relatively consistent with the quarter ended June 30, 2023.</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$0.9 billion in the quarter ended June 30, 2024 compared to the quarter ended June 30, 2023, was primarily due to a $0.9 billion charge related to the Expected Resolution of Certain Legal Matters.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88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(1,074)</w:t>
            </w:r>
          </w:p>
        </w:tc>
        <w:tc>
          <w:tcPr>
            <w:tcW w:w="10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(41)</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(1,026)</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sales of $0.2 billion in the six months ended June 30, 2024 compared to the six months ended June 30, 2023, was primarily due to an increase in intersegment eliminations, principally driven by Collins.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eliminations and other operating profit of $0.1 billion in the six months ended June 30, 2024, compared to the six months ended June 30, 2023, was primarily due to a gain on sale of land recorded in the first quarter of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$0.9 billion in the six months ended June 30, 2024 compared to the six months ended June 30, 2023, was primarily due to a $0.9 billion charge related to the Expected Resolution of Certain Legal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FAS requirements of U.S. GAAP and our pension and PRB expense under U.S. government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FAS/CAS operating adjustment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(34)</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(69)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246</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495</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212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426</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our FAS/CAS operating adjustment of $72 million in the quarter ended June 30, 2024 compared to the quarter ended June 30, 2023, was driven by a decrease in CAS expense, primarily due to the recognition of historical CAS gain/loss experience.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our FAS/CAS operating adjustment of $147 million in the six months ended June 30, 2024 compared to the six months ended June 30, 2023, was driven by a decrease in CAS expense, primarily due to the recognition of historical CAS gain/loss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100" w:type="dxa"/>
            <w:vAlign w:val="bottom"/>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 adjustment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customer contractual obligations related to acquired loss-making and</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41</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contracts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10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accounting adjustments for the quarter and six months ended June 30, 2024 were relatively consistent with the quarter and six months ended June 30, 2023,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80" w:type="dxa"/>
            <w:vAlign w:val="bottom"/>
          </w:tcPr>
          <w:p>
            <w:pPr>
              <w:spacing w:after="0"/>
              <w:rPr>
                <w:sz w:val="16"/>
                <w:szCs w:val="16"/>
                <w:color w:val="auto"/>
              </w:rPr>
            </w:pPr>
          </w:p>
        </w:tc>
        <w:tc>
          <w:tcPr>
            <w:tcW w:w="15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6,011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6,587</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380" w:type="dxa"/>
            <w:vAlign w:val="bottom"/>
          </w:tcPr>
          <w:p>
            <w:pPr>
              <w:spacing w:after="0"/>
              <w:rPr>
                <w:sz w:val="19"/>
                <w:szCs w:val="19"/>
                <w:color w:val="auto"/>
              </w:rPr>
            </w:pPr>
          </w:p>
        </w:tc>
        <w:tc>
          <w:tcPr>
            <w:tcW w:w="15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42,151</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43,827</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60,650</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61,410</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380" w:type="dxa"/>
            <w:vAlign w:val="bottom"/>
          </w:tcPr>
          <w:p>
            <w:pPr>
              <w:spacing w:after="0"/>
              <w:rPr>
                <w:sz w:val="19"/>
                <w:szCs w:val="19"/>
                <w:color w:val="auto"/>
              </w:rPr>
            </w:pPr>
          </w:p>
        </w:tc>
        <w:tc>
          <w:tcPr>
            <w:tcW w:w="15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102,801</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105,237</w:t>
            </w:r>
          </w:p>
        </w:tc>
      </w:tr>
      <w:tr>
        <w:trPr>
          <w:trHeight w:val="237"/>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3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we had cash and cash equivalents of $6.0 billion, of which approximately 31% 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access global debt markets and the related cost of these borrowings depends on the strength of our credit rating and market conditions. Our S&amp;P Global credit rating remains at BBB+/negative, and our Moody’s Investors Service outlook is Baa1/negative. Though the Company expects to continue having adequate access to funds, declines in our credit ratings or Company outlook could result in higher borrowing costs.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we had a revolving credit agreement with various banks permitting aggregate borrowings of up to $5.0 billion, which expires in August 2028. As of June 30, 2024, there were no borrowings outstanding under this agreement.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June 30, 2024, our maximum commercial paper borrowing limit was $5.0 billion as the commercial paper is backed by our $5.0 billion revolving credit agreement. At June 30, 2024, we had no commercial paper borrowings outstanding.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repayments of long-term debt during the six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56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420" w:type="dxa"/>
            <w:vAlign w:val="bottom"/>
          </w:tcPr>
          <w:p>
            <w:pPr>
              <w:spacing w:after="0"/>
              <w:rPr>
                <w:sz w:val="13"/>
                <w:szCs w:val="13"/>
                <w:color w:val="auto"/>
              </w:rPr>
            </w:pPr>
          </w:p>
        </w:tc>
        <w:tc>
          <w:tcPr>
            <w:tcW w:w="22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vMerge w:val="continue"/>
          </w:tcPr>
          <w:p>
            <w:pPr>
              <w:spacing w:after="0"/>
              <w:rPr>
                <w:sz w:val="16"/>
                <w:szCs w:val="16"/>
                <w:color w:val="auto"/>
              </w:rPr>
            </w:pPr>
          </w:p>
        </w:tc>
        <w:tc>
          <w:tcPr>
            <w:tcW w:w="55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17, 2024</w:t>
            </w:r>
          </w:p>
        </w:tc>
        <w:tc>
          <w:tcPr>
            <w:tcW w:w="5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4, 2024</w:t>
            </w:r>
          </w:p>
        </w:tc>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55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3.200% notes due 2024</w:t>
            </w: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existing universal shelf registration statement, which we filed with the Securities and Exchange Commission (SEC) on September 22, 2022, for an indeterminate amount of debt and equity securities for future issuance, subject to our internal limitations on the amount of debt to be issued under this shelf registration statement.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voluntary supply chain finance (SCF) programs with global financial institutions which enables our suppliers, at their sole discretion, to sell their receivables from the Company to the financial institutions at a rate that leverages our credit rating, which might be beneficial to them. Our suppliers’ participation in the SCF programs does not impact or change our terms and conditions with those suppliers, and therefore, we have no economic interest in a supplier’s decision to participate in the programs. In addition, we do not pay for any of the costs of the programs incurred by those suppliers that choose to participate, and have no direct financial relationship with the financial institutions, as it relates to sales of receivables made by those suppliers. As such, the SCF programs do not impact our working capital, cash flows, or overall liquidity.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3,075</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for the six months ended June 30, 2024 included a $0.9 billion charge related to the Expected Resolution of Certain Legal Matters and a $0.4 billion, net of tax, charge related to the anticipated Raytheon Contract Termination, both of which had no effect on cash flow in the period. These charges also had the effect of increasing Other accrued liabilities by $1.3 billion in the six months ended June 30, 2024. Excluding the impact of these charges, the $3.2 billion change in cash flows provided by (used in) operating activities in the six months ended June 30, 2024, compared to the six months ended June 30, 2023, was driven by a favorable impact from accounts receivable collections, including the related increase in factoring, as discussed below, the timing of collaborator receivables and lower tax payments year-over-year including a tax refund received in the second quarter of 2024.</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third-parties to sell certain of its receivables, primarily related to customer facilitated programs. The activity in these agreements is generally dependent on underlying delivery volumes within our commercial OEM programs. During the six months ended June 30, 2024, factoring activity resulted in an increase of approximately $0.4 billion in cash provided by operating activities, compared to a decrease of approximately $0.3 billion in cash provided by operating activities during the six months ended June 30, 2023. Factoring activity includes amounts factored on certain aerospace receivables at the customer’s request for which we may be compensated by the customer.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net tax payments of $0.2 billion and $1.4 billion in the six months ended June 30, 2024 and 2023, respectively.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We currently estimate cash outflows related to the Powder Metal Matter of approximately $1.3 billion in 2024. Additionally, we currently estimate 2024 cash outflows of approximately $1.0 billion related to the Expected Resolution of Certain Legal Matters.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92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$1.2 billion change in cash flows used in investing activities in the six months ended June 30, 2024, compared to in the six months ended June 30, 2023, was primarily related to the sale of our CIS business within Raytheon for proceeds of approximately $1.3 billion in cash.</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we increased other intangible assets by $318 million and $314 million, respectively, primarily related to collaboration payment commitments made under our 2012 agreement to acquire Rolls-Royce’s collaboration interests in International Aero Engines AG (IAE) and exclusivity payments made on contractual commitments included within intangible assets.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(3,591)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commercial paper and other short-term and long-term debt, payment of dividends, and stock repurchases.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$4.1 billion change in cash flows (used in) provided by financing activities in the six months ended June 30, 2024, compared to in the six months ended June 30, 2023, was primarily driven by the absence of prior year long-term debt issuances of $3.0 billion, current year repayment of long-term debt of $1.7 billion, and the absence of prior year issuances of commercial paper, net, of $0.5 billion, partially offset by lower share repurchases of $1.1 billion. Refer to “Note 9: Borrowings and Lines of Credit” within Item 1 of this Form 10-Q for additional information on debt issuances and repayments and commercial paper.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management had remaining authority to repurchase approximately $1.0 billion of our common stock under the October 21, 2023 share repurchase program. Under the 2023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in connection with the surrender of shares to cover taxes on vesting of restricted stock and as required under our employee savings plan. Our ability to repurchase shares is subject to applicable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repurchases, which include shares reacquired outside of our share repurchase program,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6"/>
        </w:trPr>
        <w:tc>
          <w:tcPr>
            <w:tcW w:w="6160" w:type="dxa"/>
            <w:vAlign w:val="bottom"/>
            <w:tcBorders>
              <w:bottom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Shares of common stock repurchased </w:t>
            </w:r>
            <w:r>
              <w:rPr>
                <w:rFonts w:ascii="Times New Roman" w:cs="Times New Roman" w:eastAsia="Times New Roman" w:hAnsi="Times New Roman"/>
                <w:sz w:val="23"/>
                <w:szCs w:val="23"/>
                <w:color w:val="auto"/>
                <w:vertAlign w:val="superscript"/>
              </w:rPr>
              <w:t>(1)</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1,045</w:t>
            </w:r>
          </w:p>
        </w:tc>
        <w:tc>
          <w:tcPr>
            <w:tcW w:w="5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1,158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0" w:type="dxa"/>
            <w:vAlign w:val="bottom"/>
          </w:tcPr>
          <w:p>
            <w:pPr>
              <w:spacing w:after="0"/>
              <w:rPr>
                <w:sz w:val="1"/>
                <w:szCs w:val="1"/>
                <w:color w:val="auto"/>
              </w:rPr>
            </w:pPr>
          </w:p>
        </w:tc>
      </w:tr>
      <w:tr>
        <w:trPr>
          <w:trHeight w:val="368"/>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(1)  Relates to share repurchases that were settled in cash during the period.</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Our Board of Directors authorized the following cash dividends: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of common stock</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1.220</w:t>
            </w:r>
          </w:p>
        </w:tc>
        <w:tc>
          <w:tcPr>
            <w:tcW w:w="5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36"/>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dividends paid</w:t>
            </w: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1,592</w:t>
            </w:r>
          </w:p>
        </w:tc>
        <w:tc>
          <w:tcPr>
            <w:tcW w:w="5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2024, the Board of Directors declared a dividend of $0.63 per share payable September 5, 2024 to shareowners of record at the close of business on August 16,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six months ended June 30, 2024. For discussion of our exposure to market risk, refer to Part II, Item 7A, “Quantitative and Qualitative Disclosures About Market Risk,” contained in our 2023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we carried out an evaluation under the supervision and with the participation of our management, including the Chief Executive Officer (CEO), the Executive Vice President and Chief Financial Officer (CFO), and the Corporate Vice President and Controller (Controller), of the effectiveness of the design and operation of our disclosure controls and procedures as of June 30, 2024.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June 30, 2024,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anticipated benefits to RTX of its segment realignment, pending disposition of Collins’ actuation and flight control business, targets and commitments (including for share repurchases or otherwise), and other statements which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2" w:lineRule="exact"/>
        <w:rPr>
          <w:sz w:val="20"/>
          <w:szCs w:val="20"/>
          <w:color w:val="auto"/>
        </w:rPr>
      </w:pPr>
    </w:p>
    <w:p>
      <w:pPr>
        <w:ind w:left="660" w:right="1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economic, capital market, and political conditions in the U.S. and globally, such as from the global sanctions and export controls with respect to Russia, and any changes therein, including related to financial market conditions, banking industry disruptions, fluctuations in commodity prices or supply (including energy supply), inflation, interest rates and foreign currency exchange rates, disruptions in global supply chain and labor markets, and geopolitical risks;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U.S. government sales, including changes or shifts in defense spending due to budgetary constraints, spending cuts resulting from sequestration, a continuing resolution, a government shutdown, the debt ceiling or measures taken to avoid default, or otherwise, and uncertain funding of programs;</w:t>
      </w:r>
    </w:p>
    <w:p>
      <w:pPr>
        <w:spacing w:after="0" w:line="1" w:lineRule="exact"/>
        <w:rPr>
          <w:rFonts w:ascii="Times New Roman" w:cs="Times New Roman" w:eastAsia="Times New Roman" w:hAnsi="Times New Roman"/>
          <w:sz w:val="18"/>
          <w:szCs w:val="18"/>
          <w:color w:val="auto"/>
        </w:rPr>
      </w:pPr>
    </w:p>
    <w:p>
      <w:pPr>
        <w:jc w:val="both"/>
        <w:ind w:left="660" w:right="140" w:hanging="328"/>
        <w:spacing w:after="0"/>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performance on our contracts and programs, including our ability to control costs, and our inability to pass some or all of our costs on fixed price contracts to the customer, and risks related to any termination of these contracts or programs, including the outcome of such terminations and related payments;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production, delivery, support and performance of RTX advanced technologies and new products and services and the realization of the anticipated benefits (including our expected returns under customer contracts), as well as the challenges of operating in RTX’s highly-competitive industries;</w:t>
      </w:r>
    </w:p>
    <w:p>
      <w:pPr>
        <w:spacing w:after="0" w:line="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RTX’s reliance on U.S. and non-U.S. suppliers and commodity markets, including the effect of sanctions, delays, and disruptions in the delivery of materials and services to RTX or its suppliers and price increases;</w:t>
      </w: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 international operations from, among other things, changes in trade policies and implementation of sanctions, foreign currency fluctuations, economic conditions, political factors, sales methods, and U.S. or local government regulations;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aerospace industry;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RTX to attract, train, and retain qualified personnel and maintain its culture and high ethical standards, and the ability of our personnel to continue to operate our facilities and businesses around the world;</w:t>
      </w: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 and risks related to completion of announced divestitures;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RTX and its businesses operate;</w:t>
      </w:r>
    </w:p>
    <w:p>
      <w:pPr>
        <w:ind w:left="660" w:right="440" w:hanging="328"/>
        <w:spacing w:after="0" w:line="23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threatened and future legal proceedings, investigations, and other contingencies, including those related to U.S. government audits and disputes and the potential for suspension or debarment of U.S. government contracting or export privileges as a result thereof, and including updates to accrual amounts as a result of such outcomes;</w:t>
      </w: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impact RTX’s ability to engage in desirable capital-raising or strategic transactions, including its credit rating, capital structure, levels of indebtedness and related obligations, capital expenditures, and research and development spending, and capital deployment strategy including with respect to share repurchases, and the availability of credit, borrowing costs, credit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timing and scope of future repurchases by RTX of its common stock, including the ability to complete the accelerated share repurchase (ASR), the purchase price of the shares acquired pursuant to the ASR agreement, and the timing and duration of the ASR program, or declarations of cash dividends, which may be discontinued, accelerated, suspended, or delayed at any time due to various factors, including market conditions and the level of other investing activities and uses of cash;</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realizing expected benefits from, incurring costs for, and successfully managing strategic initiatives such as cost reduction, restructuring, digital transformation, and other operational initiatives;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additional tax exposures due to new tax legislation or other developments in the U.S. and other countries in which RTX and its businesses operate;</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addressing the Powder Metal Matter, including, without limitation, the number and expected timing of shop visits, inspection results and scope of work to be performed, turnaround time, availability of parts, available capacity at overhaul facilities, outcomes of negotiations with impacted customers, and risks related to other engine models that may be impacted by the Powder Metal Matter, and in each case the timing and costs relating thereto, as well as other issues that could impact RTX product performance, including quality, reliability, or durability;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volumes of one or more of our significant customers as a result of business or other challenges, and the resulting effect on its or their demand for our products and services;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 RTX product safety failure or other failure affecting RTX’s or its customers’ or suppliers’ products or systems;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including cyber-attacks on RTX’s information technology infrastructure, products, suppliers, customers and partners, and cybersecurity-related regulations;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intellectual property and certain third-party intellectual property;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to RTX facilities and personnel, as well as other events outside of RTX’s control such as public health crises, damaging weather, or other acts of nature;</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estimates for our programs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pension and other postretirement plan estimates and assumptions and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changing or new climate-related regulations, customer and market demands, products and technologies;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separation transactions and other internal restructurings as tax-free to us (formerly known as United Technologies Corporation (UTC)) and former UTC shareowners, in each case, for U.S. federal income tax purposes.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“Note 16: Commitments and Contingencies” within Item 1 of this Form 10-Q and “Management’s Discussion and Analysis of Financial Condition and Results of Operations” under the headings “Business Overview,”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“Results of Operations,” “Liquidity and Financial Condition,” “Critical Accounting Estimates,” and “Government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 regulations, for proceedings under environmental laws to which a government authority is a party and we reasonably believe such proceedings will result in monetary sanctions, we have adopted a disclosure threshold of $1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Enforcement Proceeding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Colorado Department of Public Health and Environment (CDPHE) issued a Notice of Violation/Cease and Desist Order (NOV/CDO) to Raytheon Company on January 31, 2023, alleging violations of a water discharge permit at a former Raytheon Company facility in Boulder, Colorado. On March 27, 2024, CDPHE informed Raytheon Company that it is seeking a penalty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amount of approximately $1 million in connection with the alleged violations and is requiring us to undertake a compliance program. Raytheon Company is contesting the alleged violations and the penalty demand, and has the right to appeal the NOV/CDO and any associated penalty. We do not expect liability related to this matter to have a material adverse impact on our results of operations, financial condition or liquidity.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Commitments and Contingencies” within Item 1 of this Form 10-Q for a discussion regarding additional material legal proceedings.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2023 Annual Report on Form 10-K.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Item 1A in our 2023 Annual Report on Form 10-K (2023 Form 10-K). There have been no material changes from the factors disclosed in our 2023 Form 10-K, although we may disclose changes to such factors or disclose additional factors from time to time in our future filings with the Securities and Exchange Commission (SEC).</w:t>
      </w:r>
    </w:p>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Exchange Act during the quarter ended June 30,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2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2740" w:type="dxa"/>
            <w:vAlign w:val="bottom"/>
            <w:vMerge w:val="restart"/>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82"/>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740" w:type="dxa"/>
            <w:vAlign w:val="bottom"/>
          </w:tcPr>
          <w:p>
            <w:pPr>
              <w:jc w:val="center"/>
              <w:ind w:left="71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7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320" w:type="dxa"/>
            <w:vAlign w:val="bottom"/>
          </w:tcPr>
          <w:p>
            <w:pPr>
              <w:spacing w:after="0"/>
              <w:rPr>
                <w:sz w:val="12"/>
                <w:szCs w:val="12"/>
                <w:color w:val="auto"/>
              </w:rPr>
            </w:pPr>
          </w:p>
        </w:tc>
        <w:tc>
          <w:tcPr>
            <w:tcW w:w="16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(000’s)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27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100.27</w:t>
            </w:r>
          </w:p>
        </w:tc>
        <w:tc>
          <w:tcPr>
            <w:tcW w:w="22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27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9"/>
                <w:szCs w:val="19"/>
                <w:color w:val="auto"/>
              </w:rPr>
            </w:pPr>
          </w:p>
        </w:tc>
        <w:tc>
          <w:tcPr>
            <w:tcW w:w="17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105.18</w:t>
            </w:r>
          </w:p>
        </w:tc>
        <w:tc>
          <w:tcPr>
            <w:tcW w:w="22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27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103.70</w:t>
            </w:r>
          </w:p>
        </w:tc>
        <w:tc>
          <w:tcPr>
            <w:tcW w:w="226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102.81</w:t>
            </w:r>
          </w:p>
        </w:tc>
        <w:tc>
          <w:tcPr>
            <w:tcW w:w="22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24, 2023, we entered into accelerated share repurchase (ASR) agreements with certain financial institution counterparties to repurchase shares of our common stock for an aggregate purchase price of $10 billion. Pursuant to the ASR agreements, in 2023 we made aggregate payments of $10 billion, and received initial deliveries of approximately 108.4 million shares which, at that time, represented approximately 85% of the shares expected to be repurchased. The final number of shares to be repurchased will be based on the average of the daily volume-weighted average prices of our common stock during the term of the ASR agreements, less a discount and subject to adjustments pursuant to the terms and conditions of the ASR agreements. Upon final settlement of the ASR, under certain circumstances, each of the counterparties may be required to deliver additional shares of common stock, or we may be required to deliver shares of common stock or to make a cash payment to the counterparties, at our election. The final settlement of each transaction under the ASR agreements is scheduled to occur no later than the third quarter of 2024 and in each case may be accelerated at the option of the applicable counterparty.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reacquire shares outside of the program in connection with the surrender of shares to cover taxes on vesting of restricted stock and as required under our employee savings plan. Our ability to repurchase shares is subject to applicable law. During the quarter ended June 30, 2024, we repurchased 486 thousand shares outside of the program related to our employee savings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 director or “officer” (as defined in Rule 16a-1(f)) of the Company adopted or terminated a “Rule 10b5-1 trading arrangement” or “non-Rule 10b5-1 trading arrangement,” as each term is defined in Item 408(a) of Regulation S-K.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RTX Corporation Long-Term Incentive Plan, as Amended and Restated as of May 2, 2024*</w:t>
            </w: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40" w:type="dxa"/>
            <w:vAlign w:val="bottom"/>
            <w:tcBorders>
              <w:top w:val="single" w:sz="8" w:color="0000FF"/>
            </w:tcBorders>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Letter re: unaudited interim financial information.*</w:t>
            </w:r>
          </w:p>
        </w:tc>
        <w:tc>
          <w:tcPr>
            <w:tcW w:w="2900" w:type="dxa"/>
            <w:vAlign w:val="bottom"/>
            <w:tcBorders>
              <w:top w:val="single" w:sz="8" w:color="0000FF"/>
            </w:tcBorders>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RTX CORPORATION</w:t>
      </w: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70"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Dated:</w:t>
        <w:tab/>
        <w:t>July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279"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Times New Roman" w:cs="Times New Roman" w:eastAsia="Times New Roman" w:hAnsi="Times New Roman"/>
          <w:sz w:val="18"/>
          <w:szCs w:val="18"/>
          <w:color w:val="auto"/>
        </w:rPr>
        <w:t>Dated:</w:t>
        <w:tab/>
        <w:t>July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8" w:right="339" w:bottom="1440" w:gutter="0" w:footer="0" w:header="0"/>
        </w:sectPr>
      </w:pPr>
    </w:p>
    <w:bookmarkStart w:id="56" w:name="page57"/>
    <w:bookmarkEnd w:id="56"/>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RTX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LONG-TERM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as of May 2,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DEFINITIONS</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purpose of this Plan is to enable the Corporation to implement a compensation program that correlates compensation opportunities with shareowner value, focuses Management on long-term, sustainable performance and provides the Corporation with a competitive advantage in attracting, retaining and motivating officers, employees and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Plan, the following terms are defined as set forth below:</w:t>
      </w:r>
    </w:p>
    <w:p>
      <w:pPr>
        <w:spacing w:after="0" w:line="117" w:lineRule="exact"/>
        <w:rPr>
          <w:sz w:val="20"/>
          <w:szCs w:val="20"/>
          <w:color w:val="auto"/>
        </w:rPr>
      </w:pPr>
    </w:p>
    <w:p>
      <w:pPr>
        <w:ind w:left="340" w:right="140" w:hanging="332"/>
        <w:spacing w:after="0" w:line="28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“Affiliate” means a company or other entity in which the Corporation has an equity or other financial interest, including joint ventures and partnerships.</w:t>
      </w:r>
    </w:p>
    <w:p>
      <w:pPr>
        <w:spacing w:after="0" w:line="44" w:lineRule="exact"/>
        <w:rPr>
          <w:rFonts w:ascii="Arial" w:cs="Arial" w:eastAsia="Arial" w:hAnsi="Arial"/>
          <w:sz w:val="18"/>
          <w:szCs w:val="18"/>
          <w:color w:val="auto"/>
        </w:rPr>
      </w:pPr>
    </w:p>
    <w:p>
      <w:pPr>
        <w:ind w:left="340" w:right="400" w:hanging="332"/>
        <w:spacing w:after="0" w:line="28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Exchange” means the New York Stock Exchange or such other securities exchange as may at the applicable time be the principal market for the Common Stock.</w:t>
      </w:r>
    </w:p>
    <w:p>
      <w:pPr>
        <w:spacing w:after="0" w:line="44" w:lineRule="exact"/>
        <w:rPr>
          <w:rFonts w:ascii="Arial" w:cs="Arial" w:eastAsia="Arial" w:hAnsi="Arial"/>
          <w:sz w:val="18"/>
          <w:szCs w:val="18"/>
          <w:color w:val="auto"/>
        </w:rPr>
      </w:pPr>
    </w:p>
    <w:p>
      <w:pPr>
        <w:ind w:left="340" w:right="480" w:hanging="332"/>
        <w:spacing w:after="0" w:line="287" w:lineRule="auto"/>
        <w:tabs>
          <w:tab w:leader="none" w:pos="3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“Award” means a Stock Option, Stock Appreciation Right, Restricted Stock Award, Restricted Stock Unit Award, Other Stock-Based Award or Cash Award granted pursuant to the terms of this Plan.</w:t>
      </w:r>
    </w:p>
    <w:p>
      <w:pPr>
        <w:spacing w:after="0" w:line="44"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“Award Agreement” means a written or electronic document or agreement setting forth the terms and conditions of a specific Award.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“Board” means the Board of Directors of the Corporation.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Combination” has the meaning set forth in Section 10(e)(iii).</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Award” means an award granted to a Participant under Section 9 of this Plan.</w:t>
      </w:r>
    </w:p>
    <w:p>
      <w:pPr>
        <w:spacing w:after="0" w:line="117" w:lineRule="exact"/>
        <w:rPr>
          <w:rFonts w:ascii="Arial" w:cs="Arial" w:eastAsia="Arial" w:hAnsi="Arial"/>
          <w:sz w:val="18"/>
          <w:szCs w:val="18"/>
          <w:color w:val="auto"/>
        </w:rPr>
      </w:pPr>
    </w:p>
    <w:p>
      <w:pPr>
        <w:ind w:left="340" w:right="100" w:hanging="332"/>
        <w:spacing w:after="0" w:line="255"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means, unless otherwise provided in an Award Agreement: (i) conduct involving a felony criminal offense under U.S. federal or state law or an equivalent violation of the laws of any other country; (ii) dishonesty, fraud, self-dealing or material violations of civil law in the course of fulfilling the Participant’s employment duties; (iii) breach of the Participant’s intellectual property agreement or other written agreement with the Corporation; (iv) willful misconduct injurious to the Corporation or any of its Subsidiaries or Affiliates as shall be determined by the Committee; (v) negligent conduct injurious to the Corporation and any of its Subsidiaries and Affiliates, including negligent supervision of a subordinate who causes significant harm to the Corporation as determined by the Committee; or (vi) prior to a Change-in-Control, such other events as shall be determined by the Committee. Notwithstanding the general rule of Section 2(c), following a Change-in-Control, any determination by the Committee as to whether “Cause” exists shall be subject to de novo review.</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“Change-in-Control” has the meaning set forth in Section 10(e).</w:t>
      </w:r>
    </w:p>
    <w:p>
      <w:pPr>
        <w:spacing w:after="0" w:line="117" w:lineRule="exact"/>
        <w:rPr>
          <w:rFonts w:ascii="Arial" w:cs="Arial" w:eastAsia="Arial" w:hAnsi="Arial"/>
          <w:sz w:val="18"/>
          <w:szCs w:val="18"/>
          <w:color w:val="auto"/>
        </w:rPr>
      </w:pPr>
    </w:p>
    <w:p>
      <w:pPr>
        <w:ind w:left="340" w:right="120" w:hanging="332"/>
        <w:spacing w:after="0" w:line="262"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68"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“Committee” means the Committee referred to in Section 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“Common Stock” means common stock, par value $1 per Share, of the Corporation.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Transaction” has the meaning set forth in Section 3(e).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“Corporation” means RTX Corporation, a Delaware corporation, or its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85" w:lineRule="exact"/>
        <w:rPr>
          <w:sz w:val="20"/>
          <w:szCs w:val="20"/>
          <w:color w:val="auto"/>
        </w:rPr>
      </w:pPr>
    </w:p>
    <w:p>
      <w:pPr>
        <w:ind w:left="332" w:hanging="332"/>
        <w:spacing w:after="0" w:line="259"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“Disability” means permanent and total disability as determined under the Corporation’s long-term disability plan applicable to 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 with respect to an Award that constitutes “nonqualified deferred compensation” subject to Section 409A of the Code.</w:t>
      </w:r>
    </w:p>
    <w:p>
      <w:pPr>
        <w:spacing w:after="0" w:line="71" w:lineRule="exact"/>
        <w:rPr>
          <w:rFonts w:ascii="Arial" w:cs="Arial" w:eastAsia="Arial" w:hAnsi="Arial"/>
          <w:sz w:val="18"/>
          <w:szCs w:val="18"/>
          <w:color w:val="auto"/>
        </w:rPr>
      </w:pPr>
    </w:p>
    <w:p>
      <w:pPr>
        <w:jc w:val="both"/>
        <w:ind w:left="332" w:right="60" w:hanging="332"/>
        <w:spacing w:after="0" w:line="268"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“Disaffiliation” means a Subsidiary’s or an Affiliate’s ceasing to be a Subsidiary or Affiliate for any reason (including as a result of a public offering, or a spinoff or sale by the Corporation, of the stock of the Subsidiary or Affiliate) or a sale of a division of the Corporation and its Affiliates.</w:t>
      </w:r>
    </w:p>
    <w:p>
      <w:pPr>
        <w:spacing w:after="0" w:line="62" w:lineRule="exact"/>
        <w:rPr>
          <w:rFonts w:ascii="Arial" w:cs="Arial" w:eastAsia="Arial" w:hAnsi="Arial"/>
          <w:sz w:val="18"/>
          <w:szCs w:val="18"/>
          <w:color w:val="auto"/>
        </w:rPr>
      </w:pPr>
    </w:p>
    <w:p>
      <w:pPr>
        <w:ind w:left="312" w:hanging="312"/>
        <w:spacing w:after="0"/>
        <w:tabs>
          <w:tab w:leader="none" w:pos="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Date” has the meaning set forth in Section 12(a).</w:t>
      </w:r>
    </w:p>
    <w:p>
      <w:pPr>
        <w:spacing w:after="0" w:line="117" w:lineRule="exact"/>
        <w:rPr>
          <w:rFonts w:ascii="Arial" w:cs="Arial" w:eastAsia="Arial" w:hAnsi="Arial"/>
          <w:sz w:val="18"/>
          <w:szCs w:val="18"/>
          <w:color w:val="auto"/>
        </w:rPr>
      </w:pPr>
    </w:p>
    <w:p>
      <w:pPr>
        <w:ind w:left="332" w:right="220" w:hanging="332"/>
        <w:spacing w:after="0" w:line="268" w:lineRule="auto"/>
        <w:tabs>
          <w:tab w:leader="none" w:pos="3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“Eligible Individuals” means directors, officers and employees of the Corporation or any of its Subsidiaries or Affiliates, and prospective directors, officers and employees who have accepted offers of employment or consultancy from the Corporation or its Subsidiaries or Affiliates.</w:t>
      </w:r>
    </w:p>
    <w:p>
      <w:pPr>
        <w:spacing w:after="0" w:line="62" w:lineRule="exact"/>
        <w:rPr>
          <w:rFonts w:ascii="Arial" w:cs="Arial" w:eastAsia="Arial" w:hAnsi="Arial"/>
          <w:sz w:val="18"/>
          <w:szCs w:val="18"/>
          <w:color w:val="auto"/>
        </w:rPr>
      </w:pPr>
    </w:p>
    <w:p>
      <w:pPr>
        <w:ind w:left="312" w:hanging="312"/>
        <w:spacing w:after="0"/>
        <w:tabs>
          <w:tab w:leader="none" w:pos="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 and any successor thereto.</w:t>
      </w:r>
    </w:p>
    <w:p>
      <w:pPr>
        <w:spacing w:after="0" w:line="117" w:lineRule="exact"/>
        <w:rPr>
          <w:rFonts w:ascii="Arial" w:cs="Arial" w:eastAsia="Arial" w:hAnsi="Arial"/>
          <w:sz w:val="18"/>
          <w:szCs w:val="18"/>
          <w:color w:val="auto"/>
        </w:rPr>
      </w:pPr>
    </w:p>
    <w:p>
      <w:pPr>
        <w:ind w:left="332" w:hanging="332"/>
        <w:spacing w:after="0" w:line="25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Market Value” means, except as otherwise determined by the Committee, the closing price of a Share on the Applicable Exchange on the date of measurement or, if Shares were not traded on the Applicable Exchange on such measurement date, then on the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p>
      <w:pPr>
        <w:spacing w:after="0" w:line="74" w:lineRule="exact"/>
        <w:rPr>
          <w:rFonts w:ascii="Arial" w:cs="Arial" w:eastAsia="Arial" w:hAnsi="Arial"/>
          <w:sz w:val="18"/>
          <w:szCs w:val="18"/>
          <w:color w:val="auto"/>
        </w:rPr>
      </w:pPr>
    </w:p>
    <w:p>
      <w:pPr>
        <w:ind w:left="312" w:hanging="312"/>
        <w:spacing w:after="0"/>
        <w:tabs>
          <w:tab w:leader="none" w:pos="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“Forfeiture Amount” has the meaning set forth in Section 14(i).</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“Full-Value Award” means any Award other than a Stock Appreciation Right, Stock Option or Cash Award.</w:t>
      </w:r>
    </w:p>
    <w:p>
      <w:pPr>
        <w:spacing w:after="0" w:line="117" w:lineRule="exact"/>
        <w:rPr>
          <w:rFonts w:ascii="Arial" w:cs="Arial" w:eastAsia="Arial" w:hAnsi="Arial"/>
          <w:sz w:val="18"/>
          <w:szCs w:val="18"/>
          <w:color w:val="auto"/>
        </w:rPr>
      </w:pPr>
    </w:p>
    <w:p>
      <w:pPr>
        <w:ind w:left="332" w:right="40" w:hanging="332"/>
        <w:spacing w:after="0" w:line="253" w:lineRule="auto"/>
        <w:tabs>
          <w:tab w:leader="none" w:pos="3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“Good Reason” means, the occurrence of any of the following without a Participant’s consent: (i) a material reduction in the Participant’s annual base salary, annual bonus opportunities, long-term incentive opportunities or other compensation and benefits in the aggregate from those in effect immediately prior to the Change-in-Control; (ii) a material diminution in the Participant’s title, duties, authority, responsibilities, functions or reporting relationship from those in effect immediately prior to the Change-in-Control; or (iii) a mandatory relocation of the Participant’s principal location of employment greater than 50 miles from immediately prior to the Change-in-Control. In order to invoke a termination for Good Reason, the Participant shall provide written notice to the Corporation of the existence of one or more of the conditions described in clauses (i) through (iii) within 90 days following the Participant’s knowledge of the initial existence of such condition or conditions, and the Corporation shall have 30 days following receipt of such written notice (the “Cure Period”) during which it may cure the condition, if curable. If the Corporation fails to cure the condition constituting Good Reason during the Cure Period, the Participant must terminate employment, if at all, within one year following the end of the Cure Period in order for such termination to constitute a termination for Good Reason. The Participant’s mental or physical incapacity following the occurrence of an event described above in clauses (i) through (iii) shall not affect the Participant’s ability to terminate employment for Good Reason.</w:t>
      </w:r>
    </w:p>
    <w:p>
      <w:pPr>
        <w:spacing w:after="0" w:line="81" w:lineRule="exact"/>
        <w:rPr>
          <w:rFonts w:ascii="Arial" w:cs="Arial" w:eastAsia="Arial" w:hAnsi="Arial"/>
          <w:sz w:val="18"/>
          <w:szCs w:val="18"/>
          <w:color w:val="auto"/>
        </w:rPr>
      </w:pPr>
    </w:p>
    <w:p>
      <w:pPr>
        <w:ind w:left="332" w:right="60" w:hanging="332"/>
        <w:spacing w:after="0" w:line="262"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 Date” means (i) the date on which the Committee or its delegate, as applicable, selects an Eligible Individual to receive a grant of an Award and determines the number of Shares, or the formula for earning a number of Shares, to be subject to such Award or the cash amount subject to such Award and all other material terms applicable to such Award; or (ii) such later date as the Committee or its delegate shall provide.</w:t>
      </w:r>
    </w:p>
    <w:p>
      <w:pPr>
        <w:spacing w:after="0" w:line="68" w:lineRule="exact"/>
        <w:rPr>
          <w:rFonts w:ascii="Arial" w:cs="Arial" w:eastAsia="Arial" w:hAnsi="Arial"/>
          <w:sz w:val="18"/>
          <w:szCs w:val="18"/>
          <w:color w:val="auto"/>
        </w:rPr>
      </w:pPr>
    </w:p>
    <w:p>
      <w:pPr>
        <w:ind w:left="332" w:right="20" w:hanging="332"/>
        <w:spacing w:after="0" w:line="287" w:lineRule="auto"/>
        <w:tabs>
          <w:tab w:leader="none" w:pos="3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“Incentive Stock Option” means any Stock Option designated in the applicable Award Agreement as an “incentive stock option” within the meaning of Section 422 of the Code, and that in fact so qualifies.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12"/>
          </w:cols>
          <w:pgMar w:left="328" w:top="1440" w:right="359" w:bottom="1440" w:gutter="0" w:footer="0" w:header="0"/>
        </w:sectPr>
      </w:pPr>
    </w:p>
    <w:bookmarkStart w:id="58" w:name="page59"/>
    <w:bookmarkEnd w:id="58"/>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z.</w:t>
        <w:tab/>
        <w:t>“Incumbent Board” has the meaning set forth in Section 10(e)(ii).</w:t>
      </w:r>
    </w:p>
    <w:p>
      <w:pPr>
        <w:spacing w:after="0" w:line="117" w:lineRule="exact"/>
        <w:rPr>
          <w:sz w:val="20"/>
          <w:szCs w:val="20"/>
          <w:color w:val="auto"/>
        </w:rPr>
      </w:pPr>
    </w:p>
    <w:p>
      <w:pPr>
        <w:ind w:left="340" w:right="80" w:hanging="332"/>
        <w:spacing w:after="0" w:line="268" w:lineRule="auto"/>
        <w:tabs>
          <w:tab w:leader="none" w:pos="3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Agreement” means, after a Change-in-Control, (i) a change-in-control or severance agreement between a Participant and the Corporation or one of its Affiliates, or (ii) a change-in-control or severance plan covering a Participant that is sponsored by the Corporation or one of its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 “Nonqualified Stock Option” means any Stock Option that is not an Incentive Stock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 “Other Stock-Based Award” means an award granted to a Participant under Section 8 of this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 “Outstanding Corporation Common Stock” has the meaning set forth in Section 10(e)(i).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ae. “Outstanding Corporation Voting Securities” has the meaning set forth in Section 10(e)(i).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  “Participant” means an Eligible Individual to whom an Award is or has been granted.</w:t>
      </w:r>
    </w:p>
    <w:p>
      <w:pPr>
        <w:spacing w:after="0" w:line="117" w:lineRule="exact"/>
        <w:rPr>
          <w:sz w:val="20"/>
          <w:szCs w:val="20"/>
          <w:color w:val="auto"/>
        </w:rPr>
      </w:pPr>
    </w:p>
    <w:p>
      <w:pPr>
        <w:ind w:left="340" w:hanging="323"/>
        <w:spacing w:after="0" w:line="254" w:lineRule="auto"/>
        <w:rPr>
          <w:sz w:val="20"/>
          <w:szCs w:val="20"/>
          <w:color w:val="auto"/>
        </w:rPr>
      </w:pPr>
      <w:r>
        <w:rPr>
          <w:rFonts w:ascii="Arial" w:cs="Arial" w:eastAsia="Arial" w:hAnsi="Arial"/>
          <w:sz w:val="18"/>
          <w:szCs w:val="18"/>
          <w:color w:val="auto"/>
        </w:rPr>
        <w:t>ag. “Performance Goals” means the performance goals established by the Committee in connection with the grant of an Award, which may be based on attainment of specified levels of one or more of the following measures, or of any other measures determined by the Committee in its discretion: stock price, total shareholder return, earnings (whether based on earnings before taxes, earnings before interest and taxes, or earnings before interest, taxes, depreciation and amortization), earnings per share, return on equity, return on sales, return on assets or operating or net assets, market share, objective customer service measures or indices, pre- or after-tax income, net income, cash flow (before or after dividends or other adjustments), free cash flow, cash flow per share (before or after dividends or other adjustments), gross margin, working capital and gross inventory turnover, risk-based capital, revenues, revenue growth, return on capital (whether based on return on total capital or return on invested capital), cost control, gross profit, operating profit, and unit volume, sales, in each case with respect to the Corporation or any one or more Subsidiaries, Affiliates, divisions, business units or business segments thereof, either in absolute terms or relative to the performance of one or more other companies (including an index covering multiple companies).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ah. “Person” has the meaning set forth in Section 10(e)(i).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ai.  “Plan” means the RTX Corporation Long-Term Incentive Plan, as set forth herein and as amended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aj.  “Prior Plan” means the amended and restated United Technologies Corporation Long-Term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ak. “Replaced Award” has the meaning set forth in Section 10(b).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  “Replacement Award” has the meaning set forth in Section 10(b).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am.“Section 16(b)” has the meaning set forth in Section 11(a).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“Share” means a share of the Corporation’s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ao. “Stock Appreciation Right” means an Award granted under Section 5(a).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 “Stock Option” means an Award granted under Section 5(b).</w:t>
      </w:r>
    </w:p>
    <w:p>
      <w:pPr>
        <w:spacing w:after="0" w:line="117" w:lineRule="exact"/>
        <w:rPr>
          <w:sz w:val="20"/>
          <w:szCs w:val="20"/>
          <w:color w:val="auto"/>
        </w:rPr>
      </w:pPr>
    </w:p>
    <w:p>
      <w:pPr>
        <w:ind w:left="340" w:right="100" w:hanging="323"/>
        <w:spacing w:after="0" w:line="287" w:lineRule="auto"/>
        <w:rPr>
          <w:sz w:val="20"/>
          <w:szCs w:val="20"/>
          <w:color w:val="auto"/>
        </w:rPr>
      </w:pPr>
      <w:r>
        <w:rPr>
          <w:rFonts w:ascii="Arial" w:cs="Arial" w:eastAsia="Arial" w:hAnsi="Arial"/>
          <w:sz w:val="18"/>
          <w:szCs w:val="18"/>
          <w:color w:val="auto"/>
        </w:rPr>
        <w:t>aq. “Subsidiary” means any corporation, partnership, joint venture, limited company or other entity during any period in which at least a 50% voting or profits interest is owned, directly or indirectly, by the Corporation or any successor to the Corporation.</w:t>
      </w:r>
    </w:p>
    <w:p>
      <w:pPr>
        <w:spacing w:after="0" w:line="45" w:lineRule="exact"/>
        <w:rPr>
          <w:sz w:val="20"/>
          <w:szCs w:val="20"/>
          <w:color w:val="auto"/>
        </w:rPr>
      </w:pPr>
    </w:p>
    <w:p>
      <w:pPr>
        <w:ind w:left="340" w:right="200" w:hanging="323"/>
        <w:spacing w:after="0" w:line="287" w:lineRule="auto"/>
        <w:rPr>
          <w:sz w:val="20"/>
          <w:szCs w:val="20"/>
          <w:color w:val="auto"/>
        </w:rPr>
      </w:pPr>
      <w:r>
        <w:rPr>
          <w:rFonts w:ascii="Arial" w:cs="Arial" w:eastAsia="Arial" w:hAnsi="Arial"/>
          <w:sz w:val="18"/>
          <w:szCs w:val="18"/>
          <w:color w:val="auto"/>
        </w:rPr>
        <w:t>ar. “Term” means the maximum period during which a Stock Appreciation Right or Stock Option may remain outstanding, subject to earlier termination upon Termination of Service or otherwise, as specified in the applicable Award Agreement.</w:t>
      </w:r>
    </w:p>
    <w:p>
      <w:pPr>
        <w:spacing w:after="0" w:line="45" w:lineRule="exact"/>
        <w:rPr>
          <w:sz w:val="20"/>
          <w:szCs w:val="20"/>
          <w:color w:val="auto"/>
        </w:rPr>
      </w:pPr>
    </w:p>
    <w:p>
      <w:pPr>
        <w:ind w:left="340" w:hanging="323"/>
        <w:spacing w:after="0" w:line="262" w:lineRule="auto"/>
        <w:rPr>
          <w:sz w:val="20"/>
          <w:szCs w:val="20"/>
          <w:color w:val="auto"/>
        </w:rPr>
      </w:pPr>
      <w:r>
        <w:rPr>
          <w:rFonts w:ascii="Arial" w:cs="Arial" w:eastAsia="Arial" w:hAnsi="Arial"/>
          <w:sz w:val="18"/>
          <w:szCs w:val="18"/>
          <w:color w:val="auto"/>
        </w:rPr>
        <w:t>as. “Termination of Service” means the termination of the applicable Participant’s employment with, or performance of services for, the Corporation and any of its Subsidiaries or Affiliates. Unless otherwise determined by the Committee: (i) if a Participant’s employment with the Corporation and its Affiliates terminates but such Participant continues to provide services to the Corporation and its Affiliates in a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59" w:name="page60"/>
    <w:bookmarkEnd w:id="59"/>
    <w:p>
      <w:pPr>
        <w:spacing w:after="0" w:line="85"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employee capacity, such change in status shall not be deemed a Termination of Service, (ii) a Participant employed by, or performing services for, a Subsidiary or an Affiliate or a division of the Corporation and its Affiliates shall also be deemed to incur a Termination of Service if, as a result of a Disaffiliation, such Subsidiary, Affiliate or division ceases to be a Subsidiary, Affiliate or division, as the case may be, and the Participant does not immediately thereafter become an employee of, or service provider for, the Corporation or another Subsidiary or Affiliate, and (iii) a Participant shall not be deemed to have incurred a Termination of Service solely by reason of such individual’s incurrence of a Disability. Temporary absences from employment because of illness, vacation or leave of absence, and transfers among the Corporation and its Subsidiaries and Affiliates shall not be considered a Termination of Service. Absences from employment by reason of notice periods, garden leaves or similar paid leaves implemented in contemplation of a permanent termination of employment shall not be recognized as service under this Plan. Notwithstanding the foregoing provisions of this definition, with respect to any Award that constitutes “nonqualified deferred compensation” subject to Section 409A of the Code, a Participant shall not be considered to have experienced a “Termination of Service” unless the Participant has experienced a “separation from service” within the meaning of Section 409A of the Code (a “Separation from Service”), and a Separation from Service shall be deemed to occur where the Participant and the Corporation and its Subsidiaries and Affiliates reasonably anticipate that the bona fide level of services that the Participant will perform (whether as an employee or as an independent contractor) will be permanently reduced to a level that is less than thirty-seven and a half percent (37.5%) of the average level of bona fide services the Participant performed during the immediately preceding 36 months (or the entire period the Participant has provided services if the Participant has been providing services to the Corporation and/or any of its Subsidiaries or Affiliates for less than 36 months).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ADMINISTRATION</w:t>
      </w:r>
    </w:p>
    <w:p>
      <w:pPr>
        <w:spacing w:after="0" w:line="117" w:lineRule="exact"/>
        <w:rPr>
          <w:sz w:val="20"/>
          <w:szCs w:val="20"/>
          <w:color w:val="auto"/>
        </w:rPr>
      </w:pPr>
    </w:p>
    <w:p>
      <w:pPr>
        <w:ind w:left="260" w:hanging="252"/>
        <w:spacing w:after="0" w:line="262"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This Plan shall be administered by the Board directly, or if the Board elects, by the Human Capital &amp;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or such other committee of the Board as the Board may from time to time designate, which committee shall be 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68"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Subject to the terms and conditions of this Plan, the Committee shall have absolute authority:</w:t>
      </w:r>
    </w:p>
    <w:p>
      <w:pPr>
        <w:spacing w:after="0" w:line="117" w:lineRule="exact"/>
        <w:rPr>
          <w:rFonts w:ascii="Arial" w:cs="Arial" w:eastAsia="Arial" w:hAnsi="Arial"/>
          <w:sz w:val="18"/>
          <w:szCs w:val="18"/>
          <w:color w:val="auto"/>
        </w:rPr>
      </w:pPr>
    </w:p>
    <w:p>
      <w:pPr>
        <w:ind w:left="600" w:hanging="333"/>
        <w:spacing w:after="0"/>
        <w:tabs>
          <w:tab w:leader="none" w:pos="600" w:val="left"/>
        </w:tabs>
        <w:numPr>
          <w:ilvl w:val="1"/>
          <w:numId w:val="18"/>
        </w:numPr>
        <w:rPr>
          <w:rFonts w:ascii="Arial" w:cs="Arial" w:eastAsia="Arial" w:hAnsi="Arial"/>
          <w:sz w:val="16"/>
          <w:szCs w:val="16"/>
          <w:color w:val="auto"/>
        </w:rPr>
      </w:pPr>
      <w:r>
        <w:rPr>
          <w:rFonts w:ascii="Arial" w:cs="Arial" w:eastAsia="Arial" w:hAnsi="Arial"/>
          <w:sz w:val="18"/>
          <w:szCs w:val="18"/>
          <w:color w:val="auto"/>
        </w:rPr>
        <w:t>To select the Eligible Individuals to whom Awards may from time to time be granted;</w:t>
      </w:r>
    </w:p>
    <w:p>
      <w:pPr>
        <w:spacing w:after="0" w:line="117" w:lineRule="exact"/>
        <w:rPr>
          <w:rFonts w:ascii="Arial" w:cs="Arial" w:eastAsia="Arial" w:hAnsi="Arial"/>
          <w:sz w:val="16"/>
          <w:szCs w:val="16"/>
          <w:color w:val="auto"/>
        </w:rPr>
      </w:pPr>
    </w:p>
    <w:p>
      <w:pPr>
        <w:ind w:left="600" w:right="20" w:hanging="333"/>
        <w:spacing w:after="0" w:line="318" w:lineRule="auto"/>
        <w:tabs>
          <w:tab w:leader="none" w:pos="595" w:val="left"/>
        </w:tabs>
        <w:numPr>
          <w:ilvl w:val="1"/>
          <w:numId w:val="18"/>
        </w:numPr>
        <w:rPr>
          <w:rFonts w:ascii="Arial" w:cs="Arial" w:eastAsia="Arial" w:hAnsi="Arial"/>
          <w:sz w:val="15"/>
          <w:szCs w:val="15"/>
          <w:color w:val="auto"/>
        </w:rPr>
      </w:pPr>
      <w:r>
        <w:rPr>
          <w:rFonts w:ascii="Arial" w:cs="Arial" w:eastAsia="Arial" w:hAnsi="Arial"/>
          <w:sz w:val="17"/>
          <w:szCs w:val="17"/>
          <w:color w:val="auto"/>
        </w:rPr>
        <w:t>To determine whether and to what extent Stock Appreciation Rights, Incentive Stock Options, Nonqualified Stock Options, Restricted Stock Units, Restricted Stock, Other Stock-Based Awards and Cash Awards, or any combination thereof are to be granted hereunder;</w:t>
      </w:r>
    </w:p>
    <w:p>
      <w:pPr>
        <w:spacing w:after="0" w:line="21" w:lineRule="exact"/>
        <w:rPr>
          <w:rFonts w:ascii="Arial" w:cs="Arial" w:eastAsia="Arial" w:hAnsi="Arial"/>
          <w:sz w:val="15"/>
          <w:szCs w:val="15"/>
          <w:color w:val="auto"/>
        </w:rPr>
      </w:pPr>
    </w:p>
    <w:p>
      <w:pPr>
        <w:ind w:left="580" w:hanging="313"/>
        <w:spacing w:after="0"/>
        <w:tabs>
          <w:tab w:leader="none" w:pos="580" w:val="left"/>
        </w:tabs>
        <w:numPr>
          <w:ilvl w:val="1"/>
          <w:numId w:val="18"/>
        </w:numPr>
        <w:rPr>
          <w:rFonts w:ascii="Arial" w:cs="Arial" w:eastAsia="Arial" w:hAnsi="Arial"/>
          <w:sz w:val="16"/>
          <w:szCs w:val="16"/>
          <w:color w:val="auto"/>
        </w:rPr>
      </w:pPr>
      <w:r>
        <w:rPr>
          <w:rFonts w:ascii="Arial" w:cs="Arial" w:eastAsia="Arial" w:hAnsi="Arial"/>
          <w:sz w:val="18"/>
          <w:szCs w:val="18"/>
          <w:color w:val="auto"/>
        </w:rPr>
        <w:t>To determine the number of Shares to be covered by each Award granted hereunder;</w:t>
      </w:r>
    </w:p>
    <w:p>
      <w:pPr>
        <w:spacing w:after="0" w:line="117" w:lineRule="exact"/>
        <w:rPr>
          <w:rFonts w:ascii="Arial" w:cs="Arial" w:eastAsia="Arial" w:hAnsi="Arial"/>
          <w:sz w:val="16"/>
          <w:szCs w:val="16"/>
          <w:color w:val="auto"/>
        </w:rPr>
      </w:pPr>
    </w:p>
    <w:p>
      <w:pPr>
        <w:ind w:left="600" w:right="40" w:hanging="333"/>
        <w:spacing w:after="0" w:line="259" w:lineRule="auto"/>
        <w:tabs>
          <w:tab w:leader="none" w:pos="588" w:val="left"/>
        </w:tabs>
        <w:numPr>
          <w:ilvl w:val="1"/>
          <w:numId w:val="18"/>
        </w:numPr>
        <w:rPr>
          <w:rFonts w:ascii="Arial" w:cs="Arial" w:eastAsia="Arial" w:hAnsi="Arial"/>
          <w:sz w:val="16"/>
          <w:szCs w:val="16"/>
          <w:color w:val="auto"/>
        </w:rPr>
      </w:pPr>
      <w:r>
        <w:rPr>
          <w:rFonts w:ascii="Arial" w:cs="Arial" w:eastAsia="Arial" w:hAnsi="Arial"/>
          <w:sz w:val="18"/>
          <w:szCs w:val="18"/>
          <w:color w:val="auto"/>
        </w:rPr>
        <w:t>To approve the form of any Award Agreement and determine the terms and conditions of any Award granted hereunder, including, but not limited to, the exercise price (subject to Section 5(c)), any vesting condition, restriction or limitation (which may be related to the performance of the Participant, the Corporation or any Subsidiary or Affiliate), treatment on Termination of Service, and any vesting acceleration or forfeiture waiver regarding any Award and the Shares relating thereto, based on such factors as the Committee shall determine;</w:t>
      </w:r>
    </w:p>
    <w:p>
      <w:pPr>
        <w:spacing w:after="0" w:line="71" w:lineRule="exact"/>
        <w:rPr>
          <w:rFonts w:ascii="Arial" w:cs="Arial" w:eastAsia="Arial" w:hAnsi="Arial"/>
          <w:sz w:val="16"/>
          <w:szCs w:val="16"/>
          <w:color w:val="auto"/>
        </w:rPr>
      </w:pPr>
    </w:p>
    <w:p>
      <w:pPr>
        <w:ind w:left="600" w:right="360" w:hanging="333"/>
        <w:spacing w:after="0" w:line="282" w:lineRule="auto"/>
        <w:tabs>
          <w:tab w:leader="none" w:pos="579" w:val="left"/>
        </w:tabs>
        <w:numPr>
          <w:ilvl w:val="1"/>
          <w:numId w:val="18"/>
        </w:numPr>
        <w:rPr>
          <w:rFonts w:ascii="Arial" w:cs="Arial" w:eastAsia="Arial" w:hAnsi="Arial"/>
          <w:sz w:val="15"/>
          <w:szCs w:val="15"/>
          <w:color w:val="auto"/>
        </w:rPr>
      </w:pPr>
      <w:r>
        <w:rPr>
          <w:rFonts w:ascii="Arial" w:cs="Arial" w:eastAsia="Arial" w:hAnsi="Arial"/>
          <w:sz w:val="17"/>
          <w:szCs w:val="17"/>
          <w:color w:val="auto"/>
        </w:rPr>
        <w:t>To modify, amend or adjust the terms and conditions (including, but not limited to, Performance Goals and measured results when necessary or appropriate for the purposes of preserving the validity of the goals as originally set by the Committee) of any Award (subject to Sections 5(d) and 5(e)), from time to time, including, without limitation, in order to comply with tax and securities laws, including laws of countries outside of the United States, and to comply with changes of law and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60" w:name="page61"/>
    <w:bookmarkEnd w:id="60"/>
    <w:p>
      <w:pPr>
        <w:spacing w:after="0" w:line="85" w:lineRule="exact"/>
        <w:rPr>
          <w:sz w:val="20"/>
          <w:szCs w:val="20"/>
          <w:color w:val="auto"/>
        </w:rPr>
      </w:pPr>
    </w:p>
    <w:p>
      <w:pPr>
        <w:ind w:left="592" w:right="180" w:hanging="333"/>
        <w:spacing w:after="0" w:line="287" w:lineRule="auto"/>
        <w:tabs>
          <w:tab w:leader="none" w:pos="592" w:val="left"/>
        </w:tabs>
        <w:numPr>
          <w:ilvl w:val="1"/>
          <w:numId w:val="19"/>
        </w:numPr>
        <w:rPr>
          <w:rFonts w:ascii="Arial" w:cs="Arial" w:eastAsia="Arial" w:hAnsi="Arial"/>
          <w:sz w:val="16"/>
          <w:szCs w:val="16"/>
          <w:color w:val="auto"/>
        </w:rPr>
      </w:pPr>
      <w:r>
        <w:rPr>
          <w:rFonts w:ascii="Arial" w:cs="Arial" w:eastAsia="Arial" w:hAnsi="Arial"/>
          <w:sz w:val="18"/>
          <w:szCs w:val="18"/>
          <w:color w:val="auto"/>
        </w:rPr>
        <w:t>To establish sub-plans and to determine to what extent and under what circumstances Common Stock or cash payable with respect to an Award shall be deferred either automatically or at the election of a Participant under such sub-plans;</w:t>
      </w:r>
    </w:p>
    <w:p>
      <w:pPr>
        <w:spacing w:after="0" w:line="44" w:lineRule="exact"/>
        <w:rPr>
          <w:rFonts w:ascii="Arial" w:cs="Arial" w:eastAsia="Arial" w:hAnsi="Arial"/>
          <w:sz w:val="16"/>
          <w:szCs w:val="16"/>
          <w:color w:val="auto"/>
        </w:rPr>
      </w:pPr>
    </w:p>
    <w:p>
      <w:pPr>
        <w:ind w:left="572" w:hanging="313"/>
        <w:spacing w:after="0"/>
        <w:tabs>
          <w:tab w:leader="none" w:pos="572" w:val="left"/>
        </w:tabs>
        <w:numPr>
          <w:ilvl w:val="1"/>
          <w:numId w:val="19"/>
        </w:numPr>
        <w:rPr>
          <w:rFonts w:ascii="Arial" w:cs="Arial" w:eastAsia="Arial" w:hAnsi="Arial"/>
          <w:sz w:val="16"/>
          <w:szCs w:val="16"/>
          <w:color w:val="auto"/>
        </w:rPr>
      </w:pPr>
      <w:r>
        <w:rPr>
          <w:rFonts w:ascii="Arial" w:cs="Arial" w:eastAsia="Arial" w:hAnsi="Arial"/>
          <w:sz w:val="18"/>
          <w:szCs w:val="18"/>
          <w:color w:val="auto"/>
        </w:rPr>
        <w:t>To determine under what circumstances an Award may be settled in cash, Shares, other property or a combination of the foregoing;</w:t>
      </w:r>
    </w:p>
    <w:p>
      <w:pPr>
        <w:spacing w:after="0" w:line="117" w:lineRule="exact"/>
        <w:rPr>
          <w:rFonts w:ascii="Arial" w:cs="Arial" w:eastAsia="Arial" w:hAnsi="Arial"/>
          <w:sz w:val="16"/>
          <w:szCs w:val="16"/>
          <w:color w:val="auto"/>
        </w:rPr>
      </w:pPr>
    </w:p>
    <w:p>
      <w:pPr>
        <w:ind w:left="592" w:right="160" w:hanging="333"/>
        <w:spacing w:after="0" w:line="287" w:lineRule="auto"/>
        <w:tabs>
          <w:tab w:leader="none" w:pos="583" w:val="left"/>
        </w:tabs>
        <w:numPr>
          <w:ilvl w:val="1"/>
          <w:numId w:val="19"/>
        </w:numPr>
        <w:rPr>
          <w:rFonts w:ascii="Arial" w:cs="Arial" w:eastAsia="Arial" w:hAnsi="Arial"/>
          <w:sz w:val="16"/>
          <w:szCs w:val="16"/>
          <w:color w:val="auto"/>
        </w:rPr>
      </w:pPr>
      <w:r>
        <w:rPr>
          <w:rFonts w:ascii="Arial" w:cs="Arial" w:eastAsia="Arial" w:hAnsi="Arial"/>
          <w:sz w:val="18"/>
          <w:szCs w:val="18"/>
          <w:color w:val="auto"/>
        </w:rPr>
        <w:t>To adopt, alter and repeal such administrative rules, guidelines and practices governing this Plan as it shall, from time to time, deem advisable;</w:t>
      </w:r>
    </w:p>
    <w:p>
      <w:pPr>
        <w:spacing w:after="0" w:line="44" w:lineRule="exact"/>
        <w:rPr>
          <w:rFonts w:ascii="Arial" w:cs="Arial" w:eastAsia="Arial" w:hAnsi="Arial"/>
          <w:sz w:val="16"/>
          <w:szCs w:val="16"/>
          <w:color w:val="auto"/>
        </w:rPr>
      </w:pPr>
    </w:p>
    <w:p>
      <w:pPr>
        <w:ind w:left="592" w:hanging="333"/>
        <w:spacing w:after="0"/>
        <w:tabs>
          <w:tab w:leader="none" w:pos="592" w:val="left"/>
        </w:tabs>
        <w:numPr>
          <w:ilvl w:val="1"/>
          <w:numId w:val="19"/>
        </w:numPr>
        <w:rPr>
          <w:rFonts w:ascii="Arial" w:cs="Arial" w:eastAsia="Arial" w:hAnsi="Arial"/>
          <w:sz w:val="16"/>
          <w:szCs w:val="16"/>
          <w:color w:val="auto"/>
        </w:rPr>
      </w:pPr>
      <w:r>
        <w:rPr>
          <w:rFonts w:ascii="Arial" w:cs="Arial" w:eastAsia="Arial" w:hAnsi="Arial"/>
          <w:sz w:val="18"/>
          <w:szCs w:val="18"/>
          <w:color w:val="auto"/>
        </w:rPr>
        <w:t>To establish any “blackout” period that the Committee in its sole discretion deems necessary or advisable;</w:t>
      </w:r>
    </w:p>
    <w:p>
      <w:pPr>
        <w:spacing w:after="0" w:line="117" w:lineRule="exact"/>
        <w:rPr>
          <w:rFonts w:ascii="Arial" w:cs="Arial" w:eastAsia="Arial" w:hAnsi="Arial"/>
          <w:sz w:val="16"/>
          <w:szCs w:val="16"/>
          <w:color w:val="auto"/>
        </w:rPr>
      </w:pPr>
    </w:p>
    <w:p>
      <w:pPr>
        <w:ind w:left="572" w:hanging="313"/>
        <w:spacing w:after="0"/>
        <w:tabs>
          <w:tab w:leader="none" w:pos="572" w:val="left"/>
        </w:tabs>
        <w:numPr>
          <w:ilvl w:val="1"/>
          <w:numId w:val="19"/>
        </w:numPr>
        <w:rPr>
          <w:rFonts w:ascii="Arial" w:cs="Arial" w:eastAsia="Arial" w:hAnsi="Arial"/>
          <w:sz w:val="16"/>
          <w:szCs w:val="16"/>
          <w:color w:val="auto"/>
        </w:rPr>
      </w:pPr>
      <w:r>
        <w:rPr>
          <w:rFonts w:ascii="Arial" w:cs="Arial" w:eastAsia="Arial" w:hAnsi="Arial"/>
          <w:sz w:val="18"/>
          <w:szCs w:val="18"/>
          <w:color w:val="auto"/>
        </w:rPr>
        <w:t>To interpret the terms and provisions of this Plan and any Award issued under this Plan (and any Award Agreement relating thereto);</w:t>
      </w:r>
    </w:p>
    <w:p>
      <w:pPr>
        <w:spacing w:after="0" w:line="117" w:lineRule="exact"/>
        <w:rPr>
          <w:rFonts w:ascii="Arial" w:cs="Arial" w:eastAsia="Arial" w:hAnsi="Arial"/>
          <w:sz w:val="16"/>
          <w:szCs w:val="16"/>
          <w:color w:val="auto"/>
        </w:rPr>
      </w:pPr>
    </w:p>
    <w:p>
      <w:pPr>
        <w:ind w:left="592" w:hanging="333"/>
        <w:spacing w:after="0"/>
        <w:tabs>
          <w:tab w:leader="none" w:pos="592" w:val="left"/>
        </w:tabs>
        <w:numPr>
          <w:ilvl w:val="1"/>
          <w:numId w:val="19"/>
        </w:numPr>
        <w:rPr>
          <w:rFonts w:ascii="Arial" w:cs="Arial" w:eastAsia="Arial" w:hAnsi="Arial"/>
          <w:sz w:val="16"/>
          <w:szCs w:val="16"/>
          <w:color w:val="auto"/>
        </w:rPr>
      </w:pPr>
      <w:r>
        <w:rPr>
          <w:rFonts w:ascii="Arial" w:cs="Arial" w:eastAsia="Arial" w:hAnsi="Arial"/>
          <w:sz w:val="18"/>
          <w:szCs w:val="18"/>
          <w:color w:val="auto"/>
        </w:rPr>
        <w:t>To decide all other matters that must be determined in connection with an Award; and</w:t>
      </w:r>
    </w:p>
    <w:p>
      <w:pPr>
        <w:spacing w:after="0" w:line="117" w:lineRule="exact"/>
        <w:rPr>
          <w:rFonts w:ascii="Arial" w:cs="Arial" w:eastAsia="Arial" w:hAnsi="Arial"/>
          <w:sz w:val="16"/>
          <w:szCs w:val="16"/>
          <w:color w:val="auto"/>
        </w:rPr>
      </w:pPr>
    </w:p>
    <w:p>
      <w:pPr>
        <w:ind w:left="572" w:hanging="313"/>
        <w:spacing w:after="0"/>
        <w:tabs>
          <w:tab w:leader="none" w:pos="572" w:val="left"/>
        </w:tabs>
        <w:numPr>
          <w:ilvl w:val="1"/>
          <w:numId w:val="19"/>
        </w:numPr>
        <w:rPr>
          <w:rFonts w:ascii="Arial" w:cs="Arial" w:eastAsia="Arial" w:hAnsi="Arial"/>
          <w:sz w:val="16"/>
          <w:szCs w:val="16"/>
          <w:color w:val="auto"/>
        </w:rPr>
      </w:pPr>
      <w:r>
        <w:rPr>
          <w:rFonts w:ascii="Arial" w:cs="Arial" w:eastAsia="Arial" w:hAnsi="Arial"/>
          <w:sz w:val="18"/>
          <w:szCs w:val="18"/>
          <w:color w:val="auto"/>
        </w:rPr>
        <w:t>To otherwise administer this Plan.</w:t>
      </w:r>
    </w:p>
    <w:p>
      <w:pPr>
        <w:spacing w:after="0" w:line="119" w:lineRule="exact"/>
        <w:rPr>
          <w:rFonts w:ascii="Arial" w:cs="Arial" w:eastAsia="Arial" w:hAnsi="Arial"/>
          <w:sz w:val="16"/>
          <w:szCs w:val="16"/>
          <w:color w:val="auto"/>
        </w:rPr>
      </w:pPr>
    </w:p>
    <w:p>
      <w:pPr>
        <w:ind w:left="252" w:hanging="252"/>
        <w:spacing w:after="0"/>
        <w:tabs>
          <w:tab w:leader="none" w:pos="25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Procedures.</w:t>
      </w:r>
    </w:p>
    <w:p>
      <w:pPr>
        <w:spacing w:after="0" w:line="115" w:lineRule="exact"/>
        <w:rPr>
          <w:rFonts w:ascii="Arial" w:cs="Arial" w:eastAsia="Arial" w:hAnsi="Arial"/>
          <w:sz w:val="18"/>
          <w:szCs w:val="18"/>
          <w:color w:val="auto"/>
        </w:rPr>
      </w:pPr>
    </w:p>
    <w:p>
      <w:pPr>
        <w:ind w:left="592" w:right="280" w:hanging="333"/>
        <w:spacing w:after="0" w:line="259" w:lineRule="auto"/>
        <w:tabs>
          <w:tab w:leader="none" w:pos="592" w:val="left"/>
        </w:tabs>
        <w:numPr>
          <w:ilvl w:val="1"/>
          <w:numId w:val="20"/>
        </w:numPr>
        <w:rPr>
          <w:rFonts w:ascii="Arial" w:cs="Arial" w:eastAsia="Arial" w:hAnsi="Arial"/>
          <w:sz w:val="16"/>
          <w:szCs w:val="16"/>
          <w:color w:val="auto"/>
        </w:rPr>
      </w:pPr>
      <w:r>
        <w:rPr>
          <w:rFonts w:ascii="Arial" w:cs="Arial" w:eastAsia="Arial" w:hAnsi="Arial"/>
          <w:sz w:val="18"/>
          <w:szCs w:val="18"/>
          <w:color w:val="auto"/>
        </w:rPr>
        <w:t>The Committee may act only by a majority of its members then in office, except that the Committee may, except to the extent prohibited by applicable law, including Section 157(c) of the Delaware General Corporation Law, or the listing standards of the Applicable Exchange,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71" w:lineRule="exact"/>
        <w:rPr>
          <w:rFonts w:ascii="Arial" w:cs="Arial" w:eastAsia="Arial" w:hAnsi="Arial"/>
          <w:sz w:val="16"/>
          <w:szCs w:val="16"/>
          <w:color w:val="auto"/>
        </w:rPr>
      </w:pPr>
    </w:p>
    <w:p>
      <w:pPr>
        <w:ind w:left="592" w:right="80" w:hanging="333"/>
        <w:spacing w:after="0" w:line="287" w:lineRule="auto"/>
        <w:tabs>
          <w:tab w:leader="none" w:pos="587" w:val="left"/>
        </w:tabs>
        <w:numPr>
          <w:ilvl w:val="1"/>
          <w:numId w:val="20"/>
        </w:numPr>
        <w:rPr>
          <w:rFonts w:ascii="Arial" w:cs="Arial" w:eastAsia="Arial" w:hAnsi="Arial"/>
          <w:sz w:val="16"/>
          <w:szCs w:val="16"/>
          <w:color w:val="auto"/>
        </w:rPr>
      </w:pPr>
      <w:r>
        <w:rPr>
          <w:rFonts w:ascii="Arial" w:cs="Arial" w:eastAsia="Arial" w:hAnsi="Arial"/>
          <w:sz w:val="18"/>
          <w:szCs w:val="18"/>
          <w:color w:val="auto"/>
        </w:rPr>
        <w:t>Subject to Section 11(a), any authority granted to the Committee may be exercised by the full Board. To the extent that any permitted action taken by the Board conflicts with action taken by the Committee, the Board action shall control.</w:t>
      </w:r>
    </w:p>
    <w:p>
      <w:pPr>
        <w:spacing w:after="0" w:line="44" w:lineRule="exact"/>
        <w:rPr>
          <w:rFonts w:ascii="Arial" w:cs="Arial" w:eastAsia="Arial" w:hAnsi="Arial"/>
          <w:sz w:val="16"/>
          <w:szCs w:val="16"/>
          <w:color w:val="auto"/>
        </w:rPr>
      </w:pPr>
    </w:p>
    <w:p>
      <w:pPr>
        <w:ind w:left="252" w:right="40" w:hanging="252"/>
        <w:spacing w:after="0" w:line="259" w:lineRule="auto"/>
        <w:tabs>
          <w:tab w:leader="none" w:pos="24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Discretion of Committee</w:t>
      </w:r>
      <w:r>
        <w:rPr>
          <w:rFonts w:ascii="Arial" w:cs="Arial" w:eastAsia="Arial" w:hAnsi="Arial"/>
          <w:sz w:val="18"/>
          <w:szCs w:val="18"/>
          <w:color w:val="auto"/>
        </w:rPr>
        <w:t>. Subject to Section 1(i), any determination made by the Committee or pursuant to delegated authority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person pursuant to the provisions of this Plan shall be final, binding and conclusive on all persons, including the Corporation, Participants and Eligible Individuals.</w:t>
      </w:r>
    </w:p>
    <w:p>
      <w:pPr>
        <w:spacing w:after="0" w:line="71" w:lineRule="exact"/>
        <w:rPr>
          <w:rFonts w:ascii="Arial" w:cs="Arial" w:eastAsia="Arial" w:hAnsi="Arial"/>
          <w:sz w:val="18"/>
          <w:szCs w:val="18"/>
          <w:color w:val="auto"/>
        </w:rPr>
      </w:pPr>
    </w:p>
    <w:p>
      <w:pPr>
        <w:ind w:left="252" w:right="400" w:hanging="252"/>
        <w:spacing w:after="0" w:line="287" w:lineRule="auto"/>
        <w:tabs>
          <w:tab w:leader="none" w:pos="25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Cancellation or Suspension</w:t>
      </w:r>
      <w:r>
        <w:rPr>
          <w:rFonts w:ascii="Arial" w:cs="Arial" w:eastAsia="Arial" w:hAnsi="Arial"/>
          <w:sz w:val="18"/>
          <w:szCs w:val="18"/>
          <w:color w:val="auto"/>
        </w:rPr>
        <w:t>. Subject to Section 5(d), the Committee shall have full power and authority to determine whether, to what</w:t>
      </w:r>
      <w:r>
        <w:rPr>
          <w:rFonts w:ascii="Arial" w:cs="Arial" w:eastAsia="Arial" w:hAnsi="Arial"/>
          <w:sz w:val="18"/>
          <w:szCs w:val="18"/>
          <w:i w:val="1"/>
          <w:iCs w:val="1"/>
          <w:color w:val="auto"/>
        </w:rPr>
        <w:t xml:space="preserve"> </w:t>
      </w:r>
      <w:r>
        <w:rPr>
          <w:rFonts w:ascii="Arial" w:cs="Arial" w:eastAsia="Arial" w:hAnsi="Arial"/>
          <w:sz w:val="18"/>
          <w:szCs w:val="18"/>
          <w:color w:val="auto"/>
        </w:rPr>
        <w:t>extent and under what circumstances any Award shall be canceled or suspended.</w:t>
      </w:r>
    </w:p>
    <w:p>
      <w:pPr>
        <w:spacing w:after="0" w:line="44" w:lineRule="exact"/>
        <w:rPr>
          <w:rFonts w:ascii="Arial" w:cs="Arial" w:eastAsia="Arial" w:hAnsi="Arial"/>
          <w:sz w:val="18"/>
          <w:szCs w:val="18"/>
          <w:color w:val="auto"/>
        </w:rPr>
      </w:pPr>
    </w:p>
    <w:p>
      <w:pPr>
        <w:ind w:left="252" w:right="420" w:hanging="252"/>
        <w:spacing w:after="0" w:line="259" w:lineRule="auto"/>
        <w:tabs>
          <w:tab w:leader="none" w:pos="25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Award Agreements</w:t>
      </w:r>
      <w:r>
        <w:rPr>
          <w:rFonts w:ascii="Arial" w:cs="Arial" w:eastAsia="Arial" w:hAnsi="Arial"/>
          <w:sz w:val="18"/>
          <w:szCs w:val="18"/>
          <w:color w:val="auto"/>
        </w:rPr>
        <w:t>. The terms and conditions of each Award, as determined by the Committee, shall be set forth in a written (or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Award Agreement, which shall be delivered to the Participant receiving such Award upon, or as promptly as is reasonably practicable following, the grant of such Award. The effectiveness of an Award shall be subject to the Participant’s acceptance of the applicable Award Agreement within the time period specified in the Award Agreement, unless otherwise provided in the Award Agreement. Award Agreements may be amended only in accordance with Section 12(d) hereof.</w:t>
      </w:r>
    </w:p>
    <w:p>
      <w:pPr>
        <w:spacing w:after="0" w:line="71" w:lineRule="exact"/>
        <w:rPr>
          <w:rFonts w:ascii="Arial" w:cs="Arial" w:eastAsia="Arial" w:hAnsi="Arial"/>
          <w:sz w:val="18"/>
          <w:szCs w:val="18"/>
          <w:color w:val="auto"/>
        </w:rPr>
      </w:pPr>
    </w:p>
    <w:p>
      <w:pPr>
        <w:ind w:left="252" w:hanging="252"/>
        <w:spacing w:after="0" w:line="256" w:lineRule="auto"/>
        <w:tabs>
          <w:tab w:leader="none" w:pos="24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Minimum Vesting Requirement</w:t>
      </w:r>
      <w:r>
        <w:rPr>
          <w:rFonts w:ascii="Arial" w:cs="Arial" w:eastAsia="Arial" w:hAnsi="Arial"/>
          <w:sz w:val="18"/>
          <w:szCs w:val="18"/>
          <w:color w:val="auto"/>
        </w:rPr>
        <w:t>. Awards granted under the Plan (other than cash-based awards) shall vest no earlier than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date on which the Award is granted; provided that the foregoing minimum vesting requirement shall not apply as determined by the Committee in its sole discretion to: (i) substitute Awards granted in connection with awards that are assumed, converted or substituted pursuant to a merger, acquisition or similar transaction entered into by the Company or any of its Subsidiaries; (ii) Awards held by Participants who experience a Termination of Service, as defined in Section 1(ss)(ii), as a direct result of a Corporate Transaction, for which the Committee or its delegate, as applicable, has deemed it appropriate and equitable to make an adjustment to the vesting period of such Awards to allow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12"/>
          </w:cols>
          <w:pgMar w:left="328" w:top="1440" w:right="359" w:bottom="1440" w:gutter="0" w:footer="0" w:header="0"/>
        </w:sectPr>
      </w:pPr>
    </w:p>
    <w:bookmarkStart w:id="61" w:name="page62"/>
    <w:bookmarkEnd w:id="61"/>
    <w:p>
      <w:pPr>
        <w:spacing w:after="0" w:line="85" w:lineRule="exact"/>
        <w:rPr>
          <w:sz w:val="20"/>
          <w:szCs w:val="20"/>
          <w:color w:val="auto"/>
        </w:rPr>
      </w:pPr>
    </w:p>
    <w:p>
      <w:pPr>
        <w:ind w:left="260" w:right="200"/>
        <w:spacing w:after="0" w:line="262" w:lineRule="auto"/>
        <w:rPr>
          <w:sz w:val="20"/>
          <w:szCs w:val="20"/>
          <w:color w:val="auto"/>
        </w:rPr>
      </w:pPr>
      <w:r>
        <w:rPr>
          <w:rFonts w:ascii="Arial" w:cs="Arial" w:eastAsia="Arial" w:hAnsi="Arial"/>
          <w:sz w:val="18"/>
          <w:szCs w:val="18"/>
          <w:color w:val="auto"/>
        </w:rPr>
        <w:t>accelerated vesting or continued vesting (in the case of performance based Awards); (iii) Awards held by Participants who experience a Termination of Service by reason of death or Disability; or (iv) Deferred Stock Unit Awards granted under the RTX Corporation Board of Directors Deferred Stock Unit Plan held by non-employee Directors who experience a Termination of Service prior to the earlier of the one-year anniversary of the date of grant and the next annual meeting of shareowners.</w:t>
      </w:r>
    </w:p>
    <w:p>
      <w:pPr>
        <w:spacing w:after="0" w:line="68" w:lineRule="exact"/>
        <w:rPr>
          <w:sz w:val="20"/>
          <w:szCs w:val="20"/>
          <w:color w:val="auto"/>
        </w:rPr>
      </w:pPr>
    </w:p>
    <w:p>
      <w:pPr>
        <w:ind w:left="260" w:right="20" w:hanging="252"/>
        <w:spacing w:after="0" w:line="259"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Foreign Employees and Foreign Law Considerations</w:t>
      </w:r>
      <w:r>
        <w:rPr>
          <w:rFonts w:ascii="Arial" w:cs="Arial" w:eastAsia="Arial" w:hAnsi="Arial"/>
          <w:sz w:val="18"/>
          <w:szCs w:val="18"/>
          <w:color w:val="auto"/>
        </w:rPr>
        <w:t>. The Committee may grant Awards to Eligible Individuals who are foreign nationals,</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located outside the United States, who are not compensated from a payroll maintained in the United States, and/or who are otherwise subject to (or could cause the Corporation to be subject to) legal or regulatory provisions of countries or jurisdictions outside the United States, and, in furtherance of such purposes, the Committee may adopt such procedures or sub-plans as may be necessary or advisable to comply with such legal or regulatory provisions.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COMMON STOCK SUBJECT TO PLAN</w:t>
      </w:r>
    </w:p>
    <w:p>
      <w:pPr>
        <w:spacing w:after="0" w:line="117"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The maximum number of Shares that may be issued pursuant to Awards granted under this Plan shall be the sum of:</w:t>
      </w:r>
    </w:p>
    <w:p>
      <w:pPr>
        <w:spacing w:after="0" w:line="27" w:lineRule="exact"/>
        <w:rPr>
          <w:rFonts w:ascii="Arial" w:cs="Arial" w:eastAsia="Arial" w:hAnsi="Arial"/>
          <w:sz w:val="18"/>
          <w:szCs w:val="18"/>
          <w:color w:val="auto"/>
        </w:rPr>
      </w:pPr>
    </w:p>
    <w:p>
      <w:pPr>
        <w:ind w:left="260" w:right="120"/>
        <w:spacing w:after="0" w:line="252" w:lineRule="auto"/>
        <w:rPr>
          <w:rFonts w:ascii="Arial" w:cs="Arial" w:eastAsia="Arial" w:hAnsi="Arial"/>
          <w:sz w:val="18"/>
          <w:szCs w:val="18"/>
          <w:color w:val="auto"/>
        </w:rPr>
      </w:pPr>
      <w:r>
        <w:rPr>
          <w:rFonts w:ascii="Arial" w:cs="Arial" w:eastAsia="Arial" w:hAnsi="Arial"/>
          <w:sz w:val="18"/>
          <w:szCs w:val="18"/>
          <w:color w:val="auto"/>
        </w:rPr>
        <w:t>(i) 75 million; (ii) the total number of Shares remaining available for new awards under the Plan as of immediately prior to the Effective Date; and (iii) the total number of Shares subject to outstanding Awards under the Plan as of immediately prior to the Effective Date. Shares issued under this Plan may be authorized and unissued Shares, treasury Shares, or Shares purchased in the open market or otherwise, at the sole discretion of the Committee. Each Share issued pursuant to a Full-Value Award will result in a reduction of the number of Shares available for issuance under this Plan by 4.03 Shares. Each Share issued pursuant to a Stock Option or Stock Appreciation Right will result in a reduction of the number of Shares available for issuance under this Plan by one Share. To the extent that an award under this Plan is forfeited, terminates, expires or lapses without being exercised (to the extent applicable), or is settled for cash, the Shares subject to such award not delivered as a result thereof shall again be available for Awards under this Plan on the same share counting basis as provided under this paragraph (a).</w:t>
      </w:r>
    </w:p>
    <w:p>
      <w:pPr>
        <w:spacing w:after="0" w:line="77" w:lineRule="exact"/>
        <w:rPr>
          <w:rFonts w:ascii="Arial" w:cs="Arial" w:eastAsia="Arial" w:hAnsi="Arial"/>
          <w:sz w:val="18"/>
          <w:szCs w:val="18"/>
          <w:color w:val="auto"/>
        </w:rPr>
      </w:pPr>
    </w:p>
    <w:p>
      <w:pPr>
        <w:ind w:left="260" w:hanging="252"/>
        <w:spacing w:after="0" w:line="256"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Prior Plan</w:t>
      </w:r>
      <w:r>
        <w:rPr>
          <w:rFonts w:ascii="Arial" w:cs="Arial" w:eastAsia="Arial" w:hAnsi="Arial"/>
          <w:sz w:val="18"/>
          <w:szCs w:val="18"/>
          <w:color w:val="auto"/>
        </w:rPr>
        <w:t>. Awards outstanding under the Prior Plan as of the April 30, 2018, shall remain in full force and effect under the Prior Plan</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their respective terms, and to the extent that any such award is forfeited, terminates, expires or lapses without being exercised (to the extent applicable), or is settled for cash, the Shares subject to such award not delivered as a result thereof shall again be available for Awards under this Plan on the same share counting basis as provided under paragraph (a) under this Section 3 (i.e., each Share subject to a Prior Plan full-value award will be added back as 4.03 Shares and each Share subject to a Prior Plan Stock Option or Stock Appreciation Right will be added back as one Share); provided, however, that dividend equivalents may continue to be issued under the Corporation’s Prior Plan in respect of awards granted under the Prior Plan which are outstanding as of the April 30, 2018.</w:t>
      </w:r>
    </w:p>
    <w:p>
      <w:pPr>
        <w:spacing w:after="0" w:line="74" w:lineRule="exact"/>
        <w:rPr>
          <w:rFonts w:ascii="Arial" w:cs="Arial" w:eastAsia="Arial" w:hAnsi="Arial"/>
          <w:sz w:val="18"/>
          <w:szCs w:val="18"/>
          <w:color w:val="auto"/>
        </w:rPr>
      </w:pPr>
    </w:p>
    <w:p>
      <w:pPr>
        <w:ind w:left="260" w:right="60" w:hanging="252"/>
        <w:spacing w:after="0" w:line="257"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Individual Limits. </w:t>
      </w:r>
      <w:r>
        <w:rPr>
          <w:rFonts w:ascii="Arial" w:cs="Arial" w:eastAsia="Arial" w:hAnsi="Arial"/>
          <w:sz w:val="18"/>
          <w:szCs w:val="18"/>
          <w:color w:val="auto"/>
        </w:rPr>
        <w:t>A Participant who is not a non-employee director may not be granted: (i) Stock Appreciation Rights and Stock Options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1 million Shares during any calendar year; (ii) Full-Value Awards in excess of 500,000 Shares during any calendar year; or (iii) Cash Awards in excess of $10 million. Compensation payable by the Corporation to any non-employee director of the Corporation, including Awards granted under this Plan (with Awards valued based on the fair value on the Grant Date for accounting purposes) and cash fees paid or credited, in respect of such non-employee director’s service as a member of the Board during the calendar year, may not exceed $1.5 million during any single calendar year.</w:t>
      </w:r>
    </w:p>
    <w:p>
      <w:pPr>
        <w:spacing w:after="0" w:line="74" w:lineRule="exact"/>
        <w:rPr>
          <w:rFonts w:ascii="Arial" w:cs="Arial" w:eastAsia="Arial" w:hAnsi="Arial"/>
          <w:sz w:val="18"/>
          <w:szCs w:val="18"/>
          <w:color w:val="auto"/>
        </w:rPr>
      </w:pPr>
    </w:p>
    <w:p>
      <w:pPr>
        <w:ind w:left="260" w:right="40" w:hanging="252"/>
        <w:spacing w:after="0" w:line="257"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Rules for Calculating Shares Issued. </w:t>
      </w:r>
      <w:r>
        <w:rPr>
          <w:rFonts w:ascii="Arial" w:cs="Arial" w:eastAsia="Arial" w:hAnsi="Arial"/>
          <w:sz w:val="18"/>
          <w:szCs w:val="18"/>
          <w:color w:val="auto"/>
        </w:rPr>
        <w:t>To the extent that any Award is forfeited, terminates, expires or lapses instead of being exercised,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 is settled for cash, the Shares subject to such Awards will not be counted as Shares issued under this Plan. If the exercise price of any Stock Appreciation Right or Stock Option and/or the tax withholding obligations relating to any Award are satisfied by delivering Shares (either actually or through a signed document affirming the Participant’s ownership and delivery of such Shares) or the Corporation withholding Shares relating to such Award, the gross number of Shares subject to the Award shall nonetheless be deemed to have been issued under this Plan. Shares reacquired by the Corporation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62" w:name="page63"/>
    <w:bookmarkEnd w:id="62"/>
    <w:p>
      <w:pPr>
        <w:spacing w:after="0" w:line="85" w:lineRule="exact"/>
        <w:rPr>
          <w:sz w:val="20"/>
          <w:szCs w:val="20"/>
          <w:color w:val="auto"/>
        </w:rPr>
      </w:pPr>
    </w:p>
    <w:p>
      <w:pPr>
        <w:ind w:left="252" w:right="100"/>
        <w:spacing w:after="0" w:line="287" w:lineRule="auto"/>
        <w:rPr>
          <w:sz w:val="20"/>
          <w:szCs w:val="20"/>
          <w:color w:val="auto"/>
        </w:rPr>
      </w:pPr>
      <w:r>
        <w:rPr>
          <w:rFonts w:ascii="Arial" w:cs="Arial" w:eastAsia="Arial" w:hAnsi="Arial"/>
          <w:sz w:val="18"/>
          <w:szCs w:val="18"/>
          <w:color w:val="auto"/>
        </w:rPr>
        <w:t>the open market or otherwise using cash proceeds from the exercise of Stock Appreciation Rights or Stock Options shall not be available for Awards under the Plan.</w:t>
      </w:r>
    </w:p>
    <w:p>
      <w:pPr>
        <w:spacing w:after="0" w:line="47" w:lineRule="exact"/>
        <w:rPr>
          <w:sz w:val="20"/>
          <w:szCs w:val="20"/>
          <w:color w:val="auto"/>
        </w:rPr>
      </w:pPr>
    </w:p>
    <w:p>
      <w:pPr>
        <w:ind w:left="252" w:hanging="252"/>
        <w:spacing w:after="0"/>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Adjustment Provisions.</w:t>
      </w:r>
    </w:p>
    <w:p>
      <w:pPr>
        <w:spacing w:after="0" w:line="115" w:lineRule="exact"/>
        <w:rPr>
          <w:rFonts w:ascii="Arial" w:cs="Arial" w:eastAsia="Arial" w:hAnsi="Arial"/>
          <w:sz w:val="18"/>
          <w:szCs w:val="18"/>
          <w:color w:val="auto"/>
        </w:rPr>
      </w:pPr>
    </w:p>
    <w:p>
      <w:pPr>
        <w:ind w:left="592" w:right="20" w:hanging="333"/>
        <w:spacing w:after="0" w:line="268" w:lineRule="auto"/>
        <w:tabs>
          <w:tab w:leader="none" w:pos="592" w:val="left"/>
        </w:tabs>
        <w:numPr>
          <w:ilvl w:val="1"/>
          <w:numId w:val="23"/>
        </w:numPr>
        <w:rPr>
          <w:rFonts w:ascii="Arial" w:cs="Arial" w:eastAsia="Arial" w:hAnsi="Arial"/>
          <w:sz w:val="15"/>
          <w:szCs w:val="15"/>
          <w:color w:val="auto"/>
        </w:rPr>
      </w:pPr>
      <w:r>
        <w:rPr>
          <w:rFonts w:ascii="Arial" w:cs="Arial" w:eastAsia="Arial" w:hAnsi="Arial"/>
          <w:sz w:val="17"/>
          <w:szCs w:val="17"/>
          <w:color w:val="auto"/>
        </w:rPr>
        <w:t>In the event of a merger, consolidation, acquisition of property or shares, stock rights offering, liquidation, disposition for consideration of the Corporation’s direct or indirect ownership of a Subsidiary or Affiliate (including by reason of a Disaffiliation), or similar event affecting the Corporation or any of its Subsidiaries (each, a “Corporate Transaction”), the Committee or the Board may in its discretion make such substitutions or adjustments as it deems appropriate and equitable to: (A) the aggregate number and kind of Shares or other securities reserved for issuance and delivery under this Plan; (B) the various maximum limitations set forth in Section 3(c) applicable to the grants to individuals of certain types of Awards; (C) the number and kind of Shares or other securities subject to outstanding Awards; (D) financial goals or measured results to preserve the validity of the original goals set by the Committee; and</w:t>
      </w:r>
    </w:p>
    <w:p>
      <w:pPr>
        <w:spacing w:after="0" w:line="2" w:lineRule="exact"/>
        <w:rPr>
          <w:rFonts w:ascii="Arial" w:cs="Arial" w:eastAsia="Arial" w:hAnsi="Arial"/>
          <w:sz w:val="15"/>
          <w:szCs w:val="15"/>
          <w:color w:val="auto"/>
        </w:rPr>
      </w:pPr>
    </w:p>
    <w:p>
      <w:pPr>
        <w:ind w:left="872" w:hanging="289"/>
        <w:spacing w:after="0"/>
        <w:tabs>
          <w:tab w:leader="none" w:pos="872"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exercise price of outstanding Awards.</w:t>
      </w:r>
    </w:p>
    <w:p>
      <w:pPr>
        <w:spacing w:after="0" w:line="99" w:lineRule="exact"/>
        <w:rPr>
          <w:rFonts w:ascii="Arial" w:cs="Arial" w:eastAsia="Arial" w:hAnsi="Arial"/>
          <w:sz w:val="18"/>
          <w:szCs w:val="18"/>
          <w:color w:val="auto"/>
        </w:rPr>
      </w:pPr>
    </w:p>
    <w:p>
      <w:pPr>
        <w:ind w:left="592" w:right="140" w:hanging="333"/>
        <w:spacing w:after="0" w:line="255" w:lineRule="auto"/>
        <w:tabs>
          <w:tab w:leader="none" w:pos="587" w:val="left"/>
        </w:tabs>
        <w:numPr>
          <w:ilvl w:val="1"/>
          <w:numId w:val="23"/>
        </w:numPr>
        <w:rPr>
          <w:rFonts w:ascii="Arial" w:cs="Arial" w:eastAsia="Arial" w:hAnsi="Arial"/>
          <w:sz w:val="16"/>
          <w:szCs w:val="16"/>
          <w:color w:val="auto"/>
        </w:rPr>
      </w:pPr>
      <w:r>
        <w:rPr>
          <w:rFonts w:ascii="Arial" w:cs="Arial" w:eastAsia="Arial" w:hAnsi="Arial"/>
          <w:sz w:val="18"/>
          <w:szCs w:val="18"/>
          <w:color w:val="auto"/>
        </w:rPr>
        <w:t>In the event of a stock dividend, stock split, reverse stock split, reorganization, share combination, or recapitalization or similar event affecting the capital structure of the Corporation, or a Disaffiliation, separation or spinoff, in each case without consideration, or other extraordinary dividend of cash or other property to the Corporation’s shareholders, the Committee or the Board shall make such substitutions or adjustments as it deems appropriate and equitable to: (A) the aggregate number and kind of Shares or other securities reserved for issuance and delivery under this Plan; (B) the various maximum limitations set forth in Section 3(c) applicable to the grants to individuals of certain types of Awards; (C) the number and kind of Shares or other securities subject to outstanding Awards; (D) financial goals or measured results to preserve the validity of the original goals set by the Committee; and (E) the exercise price of outstanding Awards.</w:t>
      </w:r>
    </w:p>
    <w:p>
      <w:pPr>
        <w:spacing w:after="0" w:line="76" w:lineRule="exact"/>
        <w:rPr>
          <w:rFonts w:ascii="Arial" w:cs="Arial" w:eastAsia="Arial" w:hAnsi="Arial"/>
          <w:sz w:val="16"/>
          <w:szCs w:val="16"/>
          <w:color w:val="auto"/>
        </w:rPr>
      </w:pPr>
    </w:p>
    <w:p>
      <w:pPr>
        <w:ind w:left="592" w:hanging="333"/>
        <w:spacing w:after="0" w:line="253" w:lineRule="auto"/>
        <w:tabs>
          <w:tab w:leader="none" w:pos="583" w:val="left"/>
        </w:tabs>
        <w:numPr>
          <w:ilvl w:val="1"/>
          <w:numId w:val="23"/>
        </w:numPr>
        <w:rPr>
          <w:rFonts w:ascii="Arial" w:cs="Arial" w:eastAsia="Arial" w:hAnsi="Arial"/>
          <w:sz w:val="16"/>
          <w:szCs w:val="16"/>
          <w:color w:val="auto"/>
        </w:rPr>
      </w:pPr>
      <w:r>
        <w:rPr>
          <w:rFonts w:ascii="Arial" w:cs="Arial" w:eastAsia="Arial" w:hAnsi="Arial"/>
          <w:sz w:val="18"/>
          <w:szCs w:val="18"/>
          <w:color w:val="auto"/>
        </w:rPr>
        <w:t>In the case of Corporate Transactions, such adjustments may include: (A)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of the consideration being paid for each Share pursuant to such Corporate Transaction over the exercise price of such Stock Appreciation Right or Stock Option shall conclusively be deemed valid); (B) the substitution of other property (including cash or other securities of the Corporation and securities of entities other than the Corporation) for the Shares subject to outstanding Awards; and (C) in connection with any Disaffiliation, arranging for the assumption of Awards, or replacement of Awards with new awards based on other property or other securities (including other securities of the Corporation and securities of entities other than the Corporation), by the affected Subsidiary, Affiliate or division, or by the entity that controls such Subsidiary, Affiliate or division following such Disaffiliation (as well as any corresponding adjustments to Awards that remain based upon Corporation securities).</w:t>
      </w:r>
    </w:p>
    <w:p>
      <w:pPr>
        <w:spacing w:after="0" w:line="79" w:lineRule="exact"/>
        <w:rPr>
          <w:rFonts w:ascii="Arial" w:cs="Arial" w:eastAsia="Arial" w:hAnsi="Arial"/>
          <w:sz w:val="16"/>
          <w:szCs w:val="16"/>
          <w:color w:val="auto"/>
        </w:rPr>
      </w:pPr>
    </w:p>
    <w:p>
      <w:pPr>
        <w:ind w:left="592" w:right="140" w:hanging="333"/>
        <w:spacing w:after="0" w:line="257" w:lineRule="auto"/>
        <w:tabs>
          <w:tab w:leader="none" w:pos="580" w:val="left"/>
        </w:tabs>
        <w:numPr>
          <w:ilvl w:val="1"/>
          <w:numId w:val="23"/>
        </w:numPr>
        <w:rPr>
          <w:rFonts w:ascii="Arial" w:cs="Arial" w:eastAsia="Arial" w:hAnsi="Arial"/>
          <w:sz w:val="16"/>
          <w:szCs w:val="16"/>
          <w:color w:val="auto"/>
        </w:rPr>
      </w:pPr>
      <w:r>
        <w:rPr>
          <w:rFonts w:ascii="Arial" w:cs="Arial" w:eastAsia="Arial" w:hAnsi="Arial"/>
          <w:sz w:val="18"/>
          <w:szCs w:val="18"/>
          <w:color w:val="auto"/>
        </w:rPr>
        <w:t>Any adjustments made pursuant to this Section 3(e) to Awards that are considered “nonqualified deferred compensation” subject to Section 409A of the Code shall be made in compliance with the requirements of Section 409A of the Code; and any adjustments made pursuant to Section 3(e) to Awards that are not considered “deferred compensation” subject to Section 409A of the Code shall be made in such a manner as to ensure that after such adjustments, either: (A) the Awards continue not to constitute “deferred compensation” subject to Section 409A of the Code; or (B) there does not result in the imposition of any penalty taxes under Section 409A of the Code in respect of such Awards.</w:t>
      </w:r>
    </w:p>
    <w:p>
      <w:pPr>
        <w:spacing w:after="0" w:line="74" w:lineRule="exact"/>
        <w:rPr>
          <w:rFonts w:ascii="Arial" w:cs="Arial" w:eastAsia="Arial" w:hAnsi="Arial"/>
          <w:sz w:val="16"/>
          <w:szCs w:val="16"/>
          <w:color w:val="auto"/>
        </w:rPr>
      </w:pPr>
    </w:p>
    <w:p>
      <w:pPr>
        <w:ind w:left="572" w:hanging="313"/>
        <w:spacing w:after="0"/>
        <w:tabs>
          <w:tab w:leader="none" w:pos="572" w:val="left"/>
        </w:tabs>
        <w:numPr>
          <w:ilvl w:val="1"/>
          <w:numId w:val="23"/>
        </w:numPr>
        <w:rPr>
          <w:rFonts w:ascii="Arial" w:cs="Arial" w:eastAsia="Arial" w:hAnsi="Arial"/>
          <w:sz w:val="16"/>
          <w:szCs w:val="16"/>
          <w:color w:val="auto"/>
        </w:rPr>
      </w:pPr>
      <w:r>
        <w:rPr>
          <w:rFonts w:ascii="Arial" w:cs="Arial" w:eastAsia="Arial" w:hAnsi="Arial"/>
          <w:sz w:val="18"/>
          <w:szCs w:val="18"/>
          <w:color w:val="auto"/>
        </w:rPr>
        <w:t>Any adjustment under this Section 3(e) need not be applied uniformly to all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32"/>
          </w:cols>
          <w:pgMar w:left="328" w:top="1440" w:right="339" w:bottom="1440" w:gutter="0" w:footer="0" w:header="0"/>
        </w:sectPr>
      </w:pPr>
    </w:p>
    <w:bookmarkStart w:id="63" w:name="page64"/>
    <w:bookmarkEnd w:id="6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ELIGIBILITY</w:t>
      </w:r>
    </w:p>
    <w:p>
      <w:pPr>
        <w:spacing w:after="0" w:line="11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Awards may be granted under this Plan to Eligible Individuals; provided, however, that Incentive Stock Options may be granted only to employees of the Corporation and its subsidiaries or Parent Corporation (within the meaning of Section 424(f) of the Code).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STOCK APPRECIATION RIGHTS AND STOCK OPTIONS</w:t>
      </w:r>
    </w:p>
    <w:p>
      <w:pPr>
        <w:spacing w:after="0" w:line="117" w:lineRule="exact"/>
        <w:rPr>
          <w:sz w:val="20"/>
          <w:szCs w:val="20"/>
          <w:color w:val="auto"/>
        </w:rPr>
      </w:pPr>
    </w:p>
    <w:p>
      <w:pPr>
        <w:ind w:left="260" w:right="120" w:hanging="252"/>
        <w:spacing w:after="0" w:line="257" w:lineRule="auto"/>
        <w:tabs>
          <w:tab w:leader="none" w:pos="257" w:val="left"/>
        </w:tabs>
        <w:numPr>
          <w:ilvl w:val="0"/>
          <w:numId w:val="24"/>
        </w:numPr>
        <w:rPr>
          <w:rFonts w:ascii="Arial" w:cs="Arial" w:eastAsia="Arial" w:hAnsi="Arial"/>
          <w:sz w:val="16"/>
          <w:szCs w:val="16"/>
          <w:color w:val="auto"/>
        </w:rPr>
      </w:pPr>
      <w:r>
        <w:rPr>
          <w:rFonts w:ascii="Arial" w:cs="Arial" w:eastAsia="Arial" w:hAnsi="Arial"/>
          <w:sz w:val="18"/>
          <w:szCs w:val="18"/>
          <w:i w:val="1"/>
          <w:iCs w:val="1"/>
          <w:color w:val="auto"/>
        </w:rPr>
        <w:t>Nature of Stock Appreciation Rights</w:t>
      </w:r>
      <w:r>
        <w:rPr>
          <w:rFonts w:ascii="Arial" w:cs="Arial" w:eastAsia="Arial" w:hAnsi="Arial"/>
          <w:sz w:val="18"/>
          <w:szCs w:val="18"/>
          <w:color w:val="auto"/>
        </w:rPr>
        <w:t>. Upon the exercise of a Stock Appreciation Right, the Participant shall be entitled to receive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in cash, or Shares with a Fair Market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shall reserve to the Committee or the Participant the right to make that determination prior to or upon the exercise of the Stock Appreciation Right.</w:t>
      </w:r>
    </w:p>
    <w:p>
      <w:pPr>
        <w:spacing w:after="0" w:line="74" w:lineRule="exact"/>
        <w:rPr>
          <w:rFonts w:ascii="Arial" w:cs="Arial" w:eastAsia="Arial" w:hAnsi="Arial"/>
          <w:sz w:val="16"/>
          <w:szCs w:val="16"/>
          <w:color w:val="auto"/>
        </w:rPr>
      </w:pPr>
    </w:p>
    <w:p>
      <w:pPr>
        <w:ind w:left="260" w:right="40" w:hanging="252"/>
        <w:spacing w:after="0" w:line="268" w:lineRule="auto"/>
        <w:tabs>
          <w:tab w:leader="none" w:pos="257" w:val="left"/>
        </w:tabs>
        <w:numPr>
          <w:ilvl w:val="0"/>
          <w:numId w:val="24"/>
        </w:numPr>
        <w:rPr>
          <w:rFonts w:ascii="Arial" w:cs="Arial" w:eastAsia="Arial" w:hAnsi="Arial"/>
          <w:sz w:val="16"/>
          <w:szCs w:val="16"/>
          <w:color w:val="auto"/>
        </w:rPr>
      </w:pPr>
      <w:r>
        <w:rPr>
          <w:rFonts w:ascii="Arial" w:cs="Arial" w:eastAsia="Arial" w:hAnsi="Arial"/>
          <w:sz w:val="18"/>
          <w:szCs w:val="18"/>
          <w:i w:val="1"/>
          <w:iCs w:val="1"/>
          <w:color w:val="auto"/>
        </w:rPr>
        <w:t>Types of Stock Options</w:t>
      </w:r>
      <w:r>
        <w:rPr>
          <w:rFonts w:ascii="Arial" w:cs="Arial" w:eastAsia="Arial" w:hAnsi="Arial"/>
          <w:sz w:val="18"/>
          <w:szCs w:val="18"/>
          <w:color w:val="auto"/>
        </w:rPr>
        <w:t>. Stock Options may be granted in the form of Incentive Stock Options or Nonqualified Stock Options.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for a Stock Option shall indicate whether the Stock Option is intended to be an Incentive Stock Option or a Nonqualified Stock Option.</w:t>
      </w:r>
    </w:p>
    <w:p>
      <w:pPr>
        <w:spacing w:after="0" w:line="62" w:lineRule="exact"/>
        <w:rPr>
          <w:rFonts w:ascii="Arial" w:cs="Arial" w:eastAsia="Arial" w:hAnsi="Arial"/>
          <w:sz w:val="16"/>
          <w:szCs w:val="16"/>
          <w:color w:val="auto"/>
        </w:rPr>
      </w:pPr>
    </w:p>
    <w:p>
      <w:pPr>
        <w:ind w:left="260" w:hanging="252"/>
        <w:spacing w:after="0" w:line="255" w:lineRule="auto"/>
        <w:tabs>
          <w:tab w:leader="none" w:pos="248" w:val="left"/>
        </w:tabs>
        <w:numPr>
          <w:ilvl w:val="0"/>
          <w:numId w:val="24"/>
        </w:numPr>
        <w:rPr>
          <w:rFonts w:ascii="Arial" w:cs="Arial" w:eastAsia="Arial" w:hAnsi="Arial"/>
          <w:sz w:val="16"/>
          <w:szCs w:val="16"/>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subject to a Stock Appreciation Right or Stock Option shall be determined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set forth in the applicable Award Agreement and shall not be less than the Fair Market Value of a Share on the applicable Grant Date. In no event may any Stock Appreciation Right or Stock Option granted under this Plan be amended, other than pursuant to Section 3(e), to decrease the exercise price thereof, be cancelled in exchange for cash (where such Stock Appreciation Right or Stock Option currently hold no value) or other Awards or in conjunction with the grant of any new Stock Appreciation Right or Stock Option with a lower exercise price, or otherwise be subject to any action that would be treated, under the Applicable Exchange listing standards or for accounting purposes, as a “repricing” of such Stock Appreciation Right or Stock Option, unless such amendment, cancellation or action is approved by the Corporation’s shareholders.</w:t>
      </w:r>
    </w:p>
    <w:p>
      <w:pPr>
        <w:spacing w:after="0" w:line="76" w:lineRule="exact"/>
        <w:rPr>
          <w:rFonts w:ascii="Arial" w:cs="Arial" w:eastAsia="Arial" w:hAnsi="Arial"/>
          <w:sz w:val="16"/>
          <w:szCs w:val="16"/>
          <w:color w:val="auto"/>
        </w:rPr>
      </w:pPr>
    </w:p>
    <w:p>
      <w:pPr>
        <w:ind w:left="260" w:right="460" w:hanging="252"/>
        <w:spacing w:after="0" w:line="287" w:lineRule="auto"/>
        <w:tabs>
          <w:tab w:leader="none" w:pos="257" w:val="left"/>
        </w:tabs>
        <w:numPr>
          <w:ilvl w:val="0"/>
          <w:numId w:val="24"/>
        </w:numPr>
        <w:rPr>
          <w:rFonts w:ascii="Arial" w:cs="Arial" w:eastAsia="Arial" w:hAnsi="Arial"/>
          <w:sz w:val="16"/>
          <w:szCs w:val="16"/>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each Stock Appreciation Right and each Stock Option shall be fixed by the Committee, but no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 or Stock Option shall be exercisable more than 10 years after its Grant Date.</w:t>
      </w:r>
    </w:p>
    <w:p>
      <w:pPr>
        <w:spacing w:after="0" w:line="44" w:lineRule="exact"/>
        <w:rPr>
          <w:rFonts w:ascii="Arial" w:cs="Arial" w:eastAsia="Arial" w:hAnsi="Arial"/>
          <w:sz w:val="16"/>
          <w:szCs w:val="16"/>
          <w:color w:val="auto"/>
        </w:rPr>
      </w:pPr>
    </w:p>
    <w:p>
      <w:pPr>
        <w:ind w:left="260" w:right="260" w:hanging="252"/>
        <w:spacing w:after="0" w:line="262" w:lineRule="auto"/>
        <w:tabs>
          <w:tab w:leader="none" w:pos="257" w:val="left"/>
        </w:tabs>
        <w:numPr>
          <w:ilvl w:val="0"/>
          <w:numId w:val="24"/>
        </w:numPr>
        <w:rPr>
          <w:rFonts w:ascii="Arial" w:cs="Arial" w:eastAsia="Arial" w:hAnsi="Arial"/>
          <w:sz w:val="16"/>
          <w:szCs w:val="16"/>
          <w:color w:val="auto"/>
        </w:rPr>
      </w:pPr>
      <w:r>
        <w:rPr>
          <w:rFonts w:ascii="Arial" w:cs="Arial" w:eastAsia="Arial" w:hAnsi="Arial"/>
          <w:sz w:val="18"/>
          <w:szCs w:val="18"/>
          <w:i w:val="1"/>
          <w:iCs w:val="1"/>
          <w:color w:val="auto"/>
        </w:rPr>
        <w:t>Exercisability; Method of Exercise</w:t>
      </w:r>
      <w:r>
        <w:rPr>
          <w:rFonts w:ascii="Arial" w:cs="Arial" w:eastAsia="Arial" w:hAnsi="Arial"/>
          <w:sz w:val="18"/>
          <w:szCs w:val="18"/>
          <w:color w:val="auto"/>
        </w:rPr>
        <w:t>. Except as otherwise provided herein, Stock Appreciation Rights and Stock Options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at such time or times and subject to such terms and conditions as shall be determined by the Committee. Subject to the provisions of this Section 5, Stock Appreciation Rights and Stock Options may be exercised, in whole or in part, in accordance with the methods and procedures established by the Committee in the Award Agreement or otherwise.</w:t>
      </w:r>
    </w:p>
    <w:p>
      <w:pPr>
        <w:spacing w:after="0" w:line="68" w:lineRule="exact"/>
        <w:rPr>
          <w:rFonts w:ascii="Arial" w:cs="Arial" w:eastAsia="Arial" w:hAnsi="Arial"/>
          <w:sz w:val="16"/>
          <w:szCs w:val="16"/>
          <w:color w:val="auto"/>
        </w:rPr>
      </w:pPr>
    </w:p>
    <w:p>
      <w:pPr>
        <w:ind w:left="260" w:right="80" w:hanging="252"/>
        <w:spacing w:after="0" w:line="257" w:lineRule="auto"/>
        <w:tabs>
          <w:tab w:leader="none" w:pos="253" w:val="left"/>
        </w:tabs>
        <w:numPr>
          <w:ilvl w:val="0"/>
          <w:numId w:val="24"/>
        </w:numPr>
        <w:rPr>
          <w:rFonts w:ascii="Arial" w:cs="Arial" w:eastAsia="Arial" w:hAnsi="Arial"/>
          <w:sz w:val="16"/>
          <w:szCs w:val="16"/>
          <w:color w:val="auto"/>
        </w:rPr>
      </w:pPr>
      <w:r>
        <w:rPr>
          <w:rFonts w:ascii="Arial" w:cs="Arial" w:eastAsia="Arial" w:hAnsi="Arial"/>
          <w:sz w:val="18"/>
          <w:szCs w:val="18"/>
          <w:i w:val="1"/>
          <w:iCs w:val="1"/>
          <w:color w:val="auto"/>
        </w:rPr>
        <w:t>Delivery; Rights of Shareowners</w:t>
      </w:r>
      <w:r>
        <w:rPr>
          <w:rFonts w:ascii="Arial" w:cs="Arial" w:eastAsia="Arial" w:hAnsi="Arial"/>
          <w:sz w:val="18"/>
          <w:szCs w:val="18"/>
          <w:color w:val="auto"/>
        </w:rPr>
        <w:t>. A Participant shall not be entitled to delivery of Shares pursuant to the exercise of a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 or Stock Option until the exercise price therefore has been fully paid and applicable taxes have been withheld. Except as otherwise provided in Section 5(j), a Participant shall have all of the rights of a shareowner of the number of Shares deliverable pursuant to such Stock Appreciation Right or Stock Option (including, if applicable, the right to vote the applicable Shares), when the Participant: (i) has given written notice of exercise; (ii) if requested, has given the representation described in Section 14(a); and (iii) in the case of a Stock Option, has paid in full for such Shares.</w:t>
      </w:r>
    </w:p>
    <w:p>
      <w:pPr>
        <w:spacing w:after="0" w:line="74" w:lineRule="exact"/>
        <w:rPr>
          <w:rFonts w:ascii="Arial" w:cs="Arial" w:eastAsia="Arial" w:hAnsi="Arial"/>
          <w:sz w:val="16"/>
          <w:szCs w:val="16"/>
          <w:color w:val="auto"/>
        </w:rPr>
      </w:pPr>
    </w:p>
    <w:p>
      <w:pPr>
        <w:ind w:left="260" w:hanging="252"/>
        <w:spacing w:after="0" w:line="256" w:lineRule="auto"/>
        <w:tabs>
          <w:tab w:leader="none" w:pos="257" w:val="left"/>
        </w:tabs>
        <w:numPr>
          <w:ilvl w:val="0"/>
          <w:numId w:val="24"/>
        </w:numPr>
        <w:rPr>
          <w:rFonts w:ascii="Arial" w:cs="Arial" w:eastAsia="Arial" w:hAnsi="Arial"/>
          <w:sz w:val="16"/>
          <w:szCs w:val="16"/>
          <w:color w:val="auto"/>
        </w:rPr>
      </w:pPr>
      <w:r>
        <w:rPr>
          <w:rFonts w:ascii="Arial" w:cs="Arial" w:eastAsia="Arial" w:hAnsi="Arial"/>
          <w:sz w:val="18"/>
          <w:szCs w:val="18"/>
          <w:i w:val="1"/>
          <w:iCs w:val="1"/>
          <w:color w:val="auto"/>
        </w:rPr>
        <w:t>Nontransferability of Stock Appreciation Rights and Stock Options</w:t>
      </w:r>
      <w:r>
        <w:rPr>
          <w:rFonts w:ascii="Arial" w:cs="Arial" w:eastAsia="Arial" w:hAnsi="Arial"/>
          <w:sz w:val="18"/>
          <w:szCs w:val="18"/>
          <w:color w:val="auto"/>
        </w:rPr>
        <w:t>. No Stock Appreciation Right or Stock Option shall be transferable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other than by will or by the laws of descent and distribution. Any Stock Appreciation Right or Stock Option shall be exercisable, subject to the terms of this Plan, only by the Participant, the guardian or legal representative of the Participant, or any person to whom such Stock Appreciation Rights or Stock Option is transferred pursuant to this Section 5(g). For purposes of applying the terms of this Plan to such transferred Awards under this Section 5(g), the term “Participant” shall include such guardian, legal representative or other transferee; provided, however, that the term “Termination of Service” shall continue to refer to the Termination of Service of the original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64" w:name="page65"/>
    <w:bookmarkEnd w:id="64"/>
    <w:p>
      <w:pPr>
        <w:spacing w:after="0" w:line="85" w:lineRule="exact"/>
        <w:rPr>
          <w:sz w:val="20"/>
          <w:szCs w:val="20"/>
          <w:color w:val="auto"/>
        </w:rPr>
      </w:pPr>
    </w:p>
    <w:p>
      <w:pPr>
        <w:ind w:left="260" w:right="160" w:hanging="252"/>
        <w:spacing w:after="0" w:line="287" w:lineRule="auto"/>
        <w:tabs>
          <w:tab w:leader="none" w:pos="257" w:val="left"/>
        </w:tabs>
        <w:numPr>
          <w:ilvl w:val="0"/>
          <w:numId w:val="25"/>
        </w:numPr>
        <w:rPr>
          <w:rFonts w:ascii="Arial" w:cs="Arial" w:eastAsia="Arial" w:hAnsi="Arial"/>
          <w:sz w:val="16"/>
          <w:szCs w:val="16"/>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The effect of a Participant’s Termination of Service on any Stock Appreciation Right or Stock Option then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shall be set forth in the applicable Award Agreement.</w:t>
      </w:r>
    </w:p>
    <w:p>
      <w:pPr>
        <w:spacing w:after="0" w:line="44" w:lineRule="exact"/>
        <w:rPr>
          <w:rFonts w:ascii="Arial" w:cs="Arial" w:eastAsia="Arial" w:hAnsi="Arial"/>
          <w:sz w:val="16"/>
          <w:szCs w:val="16"/>
          <w:color w:val="auto"/>
        </w:rPr>
      </w:pPr>
    </w:p>
    <w:p>
      <w:pPr>
        <w:ind w:left="260" w:right="20" w:hanging="252"/>
        <w:spacing w:after="0" w:line="254" w:lineRule="auto"/>
        <w:tabs>
          <w:tab w:leader="none" w:pos="257" w:val="left"/>
        </w:tabs>
        <w:numPr>
          <w:ilvl w:val="0"/>
          <w:numId w:val="25"/>
        </w:numPr>
        <w:rPr>
          <w:rFonts w:ascii="Arial" w:cs="Arial" w:eastAsia="Arial" w:hAnsi="Arial"/>
          <w:sz w:val="16"/>
          <w:szCs w:val="16"/>
          <w:color w:val="auto"/>
        </w:rPr>
      </w:pPr>
      <w:r>
        <w:rPr>
          <w:rFonts w:ascii="Arial" w:cs="Arial" w:eastAsia="Arial" w:hAnsi="Arial"/>
          <w:sz w:val="18"/>
          <w:szCs w:val="18"/>
          <w:i w:val="1"/>
          <w:iCs w:val="1"/>
          <w:color w:val="auto"/>
        </w:rPr>
        <w:t>Additional Rules for Incentive Stock Options</w:t>
      </w:r>
      <w:r>
        <w:rPr>
          <w:rFonts w:ascii="Arial" w:cs="Arial" w:eastAsia="Arial" w:hAnsi="Arial"/>
          <w:sz w:val="18"/>
          <w:szCs w:val="18"/>
          <w:color w:val="auto"/>
        </w:rPr>
        <w:t>. Notwithstanding any other provision of this Plan to the contrary, no Stock Option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qualify as an Incentive Stock Option may be granted to any Eligible Individual who at the time of such grant owns stock possessing more than 10% of the total combined voting power of all classes of stock of the Corporation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 Participant during any calendar year, under all of the incentive stock option plans of the Corporation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77" w:lineRule="exact"/>
        <w:rPr>
          <w:rFonts w:ascii="Arial" w:cs="Arial" w:eastAsia="Arial" w:hAnsi="Arial"/>
          <w:sz w:val="16"/>
          <w:szCs w:val="16"/>
          <w:color w:val="auto"/>
        </w:rPr>
      </w:pPr>
    </w:p>
    <w:p>
      <w:pPr>
        <w:ind w:left="260" w:right="60" w:hanging="252"/>
        <w:spacing w:after="0" w:line="268" w:lineRule="auto"/>
        <w:tabs>
          <w:tab w:leader="none" w:pos="257" w:val="left"/>
        </w:tabs>
        <w:numPr>
          <w:ilvl w:val="0"/>
          <w:numId w:val="25"/>
        </w:numPr>
        <w:rPr>
          <w:rFonts w:ascii="Arial" w:cs="Arial" w:eastAsia="Arial" w:hAnsi="Arial"/>
          <w:sz w:val="16"/>
          <w:szCs w:val="16"/>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Dividends (whether paid in cash or Shares) and dividend equivalents may not be paid or accrued 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or Stock Options; provided that Stock Appreciation Rights and Stock Options may be adjusted under certain circumstances in accordance with the terms of Section 3(e).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RESTRICTED STOCK</w:t>
      </w:r>
    </w:p>
    <w:p>
      <w:pPr>
        <w:spacing w:after="0" w:line="117" w:lineRule="exact"/>
        <w:rPr>
          <w:sz w:val="20"/>
          <w:szCs w:val="20"/>
          <w:color w:val="auto"/>
        </w:rPr>
      </w:pPr>
    </w:p>
    <w:p>
      <w:pPr>
        <w:ind w:left="260" w:hanging="252"/>
        <w:spacing w:after="0" w:line="259" w:lineRule="auto"/>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Shares of Restricted Stock are actual Shares issued to a Participant and may be awarded either alone or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other Awards 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p>
      <w:pPr>
        <w:spacing w:after="0" w:line="71" w:lineRule="exact"/>
        <w:rPr>
          <w:rFonts w:ascii="Arial" w:cs="Arial" w:eastAsia="Arial" w:hAnsi="Arial"/>
          <w:sz w:val="18"/>
          <w:szCs w:val="18"/>
          <w:color w:val="auto"/>
        </w:rPr>
      </w:pPr>
    </w:p>
    <w:p>
      <w:pPr>
        <w:ind w:left="260" w:right="100" w:hanging="252"/>
        <w:spacing w:after="0" w:line="268" w:lineRule="auto"/>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Book Entry Registration or Certificated Shares</w:t>
      </w:r>
      <w:r>
        <w:rPr>
          <w:rFonts w:ascii="Arial" w:cs="Arial" w:eastAsia="Arial" w:hAnsi="Arial"/>
          <w:sz w:val="18"/>
          <w:szCs w:val="18"/>
          <w:color w:val="auto"/>
        </w:rPr>
        <w:t>. Shares of Restricted Stock shall be evidenced in such manner as the Committee may</w:t>
      </w:r>
      <w:r>
        <w:rPr>
          <w:rFonts w:ascii="Arial" w:cs="Arial" w:eastAsia="Arial" w:hAnsi="Arial"/>
          <w:sz w:val="18"/>
          <w:szCs w:val="18"/>
          <w:i w:val="1"/>
          <w:iCs w:val="1"/>
          <w:color w:val="auto"/>
        </w:rPr>
        <w:t xml:space="preserve"> </w:t>
      </w:r>
      <w:r>
        <w:rPr>
          <w:rFonts w:ascii="Arial" w:cs="Arial" w:eastAsia="Arial" w:hAnsi="Arial"/>
          <w:sz w:val="18"/>
          <w:szCs w:val="18"/>
          <w:color w:val="auto"/>
        </w:rPr>
        <w:t>deem appropriate, including book-entry registration or issuance of one or more stock certificates registered in the name of the Participant and bearing an appropriate legend referring to the terms, conditions and restrictions applicable to such Award.</w:t>
      </w:r>
    </w:p>
    <w:p>
      <w:pPr>
        <w:spacing w:after="0" w:line="62" w:lineRule="exact"/>
        <w:rPr>
          <w:rFonts w:ascii="Arial" w:cs="Arial" w:eastAsia="Arial" w:hAnsi="Arial"/>
          <w:sz w:val="18"/>
          <w:szCs w:val="18"/>
          <w:color w:val="auto"/>
        </w:rPr>
      </w:pPr>
    </w:p>
    <w:p>
      <w:pPr>
        <w:ind w:left="260" w:right="60" w:hanging="252"/>
        <w:spacing w:after="0" w:line="268"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Shares of Restricted Stock shall be subject to the following terms and conditions and such other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as are set forth in the applicable Award Agreement (including the vesting or forfeiture provisions applicable upon a Termination of Service):</w:t>
      </w:r>
    </w:p>
    <w:p>
      <w:pPr>
        <w:spacing w:after="0" w:line="62" w:lineRule="exact"/>
        <w:rPr>
          <w:rFonts w:ascii="Arial" w:cs="Arial" w:eastAsia="Arial" w:hAnsi="Arial"/>
          <w:sz w:val="18"/>
          <w:szCs w:val="18"/>
          <w:color w:val="auto"/>
        </w:rPr>
      </w:pPr>
    </w:p>
    <w:p>
      <w:pPr>
        <w:ind w:left="600" w:right="60" w:hanging="333"/>
        <w:spacing w:after="0" w:line="259" w:lineRule="auto"/>
        <w:tabs>
          <w:tab w:leader="none" w:pos="600" w:val="left"/>
        </w:tabs>
        <w:numPr>
          <w:ilvl w:val="1"/>
          <w:numId w:val="26"/>
        </w:numPr>
        <w:rPr>
          <w:rFonts w:ascii="Arial" w:cs="Arial" w:eastAsia="Arial" w:hAnsi="Arial"/>
          <w:sz w:val="16"/>
          <w:szCs w:val="16"/>
          <w:color w:val="auto"/>
        </w:rPr>
      </w:pPr>
      <w:r>
        <w:rPr>
          <w:rFonts w:ascii="Arial" w:cs="Arial" w:eastAsia="Arial" w:hAnsi="Arial"/>
          <w:sz w:val="18"/>
          <w:szCs w:val="18"/>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 the attainment of Performance Goals and the continued service of the applicable Participant. The conditions for grant or vesting and the other provisions of Restricted Stock Awards (including any applicable Performance Goals) need not be the same with respect to each recipient.</w:t>
      </w:r>
    </w:p>
    <w:p>
      <w:pPr>
        <w:spacing w:after="0" w:line="71" w:lineRule="exact"/>
        <w:rPr>
          <w:rFonts w:ascii="Arial" w:cs="Arial" w:eastAsia="Arial" w:hAnsi="Arial"/>
          <w:sz w:val="16"/>
          <w:szCs w:val="16"/>
          <w:color w:val="auto"/>
        </w:rPr>
      </w:pPr>
    </w:p>
    <w:p>
      <w:pPr>
        <w:ind w:left="600" w:right="260" w:hanging="333"/>
        <w:spacing w:after="0" w:line="291" w:lineRule="auto"/>
        <w:tabs>
          <w:tab w:leader="none" w:pos="595" w:val="left"/>
        </w:tabs>
        <w:numPr>
          <w:ilvl w:val="1"/>
          <w:numId w:val="26"/>
        </w:numPr>
        <w:rPr>
          <w:rFonts w:ascii="Arial" w:cs="Arial" w:eastAsia="Arial" w:hAnsi="Arial"/>
          <w:sz w:val="15"/>
          <w:szCs w:val="15"/>
          <w:color w:val="auto"/>
        </w:rPr>
      </w:pPr>
      <w:r>
        <w:rPr>
          <w:rFonts w:ascii="Arial" w:cs="Arial" w:eastAsia="Arial" w:hAnsi="Arial"/>
          <w:sz w:val="17"/>
          <w:szCs w:val="17"/>
          <w:color w:val="auto"/>
        </w:rPr>
        <w:t>Subject to the provisions of this Plan and the applicable Award Agreement, during the period, if any, set by the Committee, commencing with the date of such Restricted Stock Award for which such vesting restrictions apply, and until the expiration of such period, the Participant shall not be permitted to sell, assign, transfer, pledge or otherwise encumber Shares of Restricted Stock.</w:t>
      </w:r>
    </w:p>
    <w:p>
      <w:pPr>
        <w:spacing w:after="0" w:line="44" w:lineRule="exact"/>
        <w:rPr>
          <w:rFonts w:ascii="Arial" w:cs="Arial" w:eastAsia="Arial" w:hAnsi="Arial"/>
          <w:sz w:val="15"/>
          <w:szCs w:val="15"/>
          <w:color w:val="auto"/>
        </w:rPr>
      </w:pPr>
    </w:p>
    <w:p>
      <w:pPr>
        <w:jc w:val="both"/>
        <w:ind w:left="260" w:right="60" w:hanging="252"/>
        <w:spacing w:after="0" w:line="262" w:lineRule="auto"/>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Rights of a Shareowner</w:t>
      </w:r>
      <w:r>
        <w:rPr>
          <w:rFonts w:ascii="Arial" w:cs="Arial" w:eastAsia="Arial" w:hAnsi="Arial"/>
          <w:sz w:val="18"/>
          <w:szCs w:val="18"/>
          <w:color w:val="auto"/>
        </w:rPr>
        <w:t>. Except as provided in this Section 6 and the applicable Award Agreement, the applicable Participant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Shares of Restricted Stock, all of the rights of a shareowner of the Corporation holding the class or series of Common Stock that is the subject of the Restricted Stock, including, if applicable, the right to vote the Shares and the right to receive any dividends (subject to Section 14(e)).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85" w:lineRule="exact"/>
        <w:rPr>
          <w:sz w:val="20"/>
          <w:szCs w:val="20"/>
          <w:color w:val="auto"/>
        </w:rPr>
      </w:pPr>
    </w:p>
    <w:p>
      <w:pPr>
        <w:ind w:left="260" w:right="780" w:hanging="252"/>
        <w:spacing w:after="0" w:line="287"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The effect of a Participant’s Termination of Service on his or her Restricted Stock shall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Award Agreement.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STOCK UNITS</w:t>
      </w:r>
    </w:p>
    <w:p>
      <w:pPr>
        <w:spacing w:after="0" w:line="117" w:lineRule="exact"/>
        <w:rPr>
          <w:sz w:val="20"/>
          <w:szCs w:val="20"/>
          <w:color w:val="auto"/>
        </w:rPr>
      </w:pPr>
    </w:p>
    <w:p>
      <w:pPr>
        <w:ind w:left="260" w:right="100" w:hanging="252"/>
        <w:spacing w:after="0" w:line="268"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Nature of Awards</w:t>
      </w:r>
      <w:r>
        <w:rPr>
          <w:rFonts w:ascii="Arial" w:cs="Arial" w:eastAsia="Arial" w:hAnsi="Arial"/>
          <w:sz w:val="18"/>
          <w:szCs w:val="18"/>
          <w:color w:val="auto"/>
        </w:rPr>
        <w:t>. Restricted stock units and deferred stock units (together, “Restricted Stock Units”) are Awards denominated in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will be settled, subject to the terms and conditions of the Restricted Stock Units, in a specified number of Shares or an amount of cash equal to the Fair Market Value of a specified number of Shares.</w:t>
      </w:r>
    </w:p>
    <w:p>
      <w:pPr>
        <w:spacing w:after="0" w:line="62" w:lineRule="exact"/>
        <w:rPr>
          <w:rFonts w:ascii="Arial" w:cs="Arial" w:eastAsia="Arial" w:hAnsi="Arial"/>
          <w:sz w:val="18"/>
          <w:szCs w:val="18"/>
          <w:color w:val="auto"/>
        </w:rPr>
      </w:pPr>
    </w:p>
    <w:p>
      <w:pPr>
        <w:ind w:left="260" w:right="120" w:hanging="252"/>
        <w:spacing w:after="0" w:line="268"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Restricted Stock Units shall be subject to the following terms and conditions and such other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are set forth in the applicable Award Agreement (including the vesting or forfeiture provisions applicable upon a Termination of Service):</w:t>
      </w:r>
    </w:p>
    <w:p>
      <w:pPr>
        <w:spacing w:after="0" w:line="62" w:lineRule="exact"/>
        <w:rPr>
          <w:rFonts w:ascii="Arial" w:cs="Arial" w:eastAsia="Arial" w:hAnsi="Arial"/>
          <w:sz w:val="18"/>
          <w:szCs w:val="18"/>
          <w:color w:val="auto"/>
        </w:rPr>
      </w:pPr>
    </w:p>
    <w:p>
      <w:pPr>
        <w:ind w:left="600" w:right="20" w:hanging="333"/>
        <w:spacing w:after="0" w:line="275" w:lineRule="auto"/>
        <w:tabs>
          <w:tab w:leader="none" w:pos="600" w:val="left"/>
        </w:tabs>
        <w:numPr>
          <w:ilvl w:val="1"/>
          <w:numId w:val="28"/>
        </w:numPr>
        <w:rPr>
          <w:rFonts w:ascii="Arial" w:cs="Arial" w:eastAsia="Arial" w:hAnsi="Arial"/>
          <w:sz w:val="15"/>
          <w:szCs w:val="15"/>
          <w:color w:val="auto"/>
        </w:rPr>
      </w:pPr>
      <w:r>
        <w:rPr>
          <w:rFonts w:ascii="Arial" w:cs="Arial" w:eastAsia="Arial" w:hAnsi="Arial"/>
          <w:sz w:val="17"/>
          <w:szCs w:val="17"/>
          <w:color w:val="auto"/>
        </w:rPr>
        <w:t>The Committee shall, prior to or at the time of grant, condition: (A) the vesting of Restricted Stock Units upon the continued service of the applicable Participant; or (B) the grant or vesting of Restricted Stock Units upon the attainment of Performance Goals, or the attainment of Performance Goals and the continued service of the applicable Participant. The conditions for grant or vesting and the other provisions of Restricted Stock Units (including any applicable Performance Goals) need not be the same with respect to each recipient. An Award of Restricted Stock Units shall be settled as and when the Restricted Stock Units vest, at a later time specified by the Committee in the applicable Award Agreement, or, if the Committee so permits, in accordance with an election of the Participant.</w:t>
      </w:r>
    </w:p>
    <w:p>
      <w:pPr>
        <w:spacing w:after="0" w:line="60" w:lineRule="exact"/>
        <w:rPr>
          <w:rFonts w:ascii="Arial" w:cs="Arial" w:eastAsia="Arial" w:hAnsi="Arial"/>
          <w:sz w:val="15"/>
          <w:szCs w:val="15"/>
          <w:color w:val="auto"/>
        </w:rPr>
      </w:pPr>
    </w:p>
    <w:p>
      <w:pPr>
        <w:ind w:left="600" w:right="40" w:hanging="333"/>
        <w:spacing w:after="0" w:line="268" w:lineRule="auto"/>
        <w:tabs>
          <w:tab w:leader="none" w:pos="595" w:val="left"/>
        </w:tabs>
        <w:numPr>
          <w:ilvl w:val="1"/>
          <w:numId w:val="28"/>
        </w:numPr>
        <w:rPr>
          <w:rFonts w:ascii="Arial" w:cs="Arial" w:eastAsia="Arial" w:hAnsi="Arial"/>
          <w:sz w:val="16"/>
          <w:szCs w:val="16"/>
          <w:color w:val="auto"/>
        </w:rPr>
      </w:pPr>
      <w:r>
        <w:rPr>
          <w:rFonts w:ascii="Arial" w:cs="Arial" w:eastAsia="Arial" w:hAnsi="Arial"/>
          <w:sz w:val="18"/>
          <w:szCs w:val="18"/>
          <w:color w:val="auto"/>
        </w:rPr>
        <w:t>The Award Agreement for Restricted Stock Units shall specify whether, to what extent and on what terms and conditions the applicable Participant shall be entitled to receive payments corresponding to the dividends payable on the Common Stock (subject to Section 14(e)).</w:t>
      </w:r>
    </w:p>
    <w:p>
      <w:pPr>
        <w:spacing w:after="0" w:line="62" w:lineRule="exact"/>
        <w:rPr>
          <w:rFonts w:ascii="Arial" w:cs="Arial" w:eastAsia="Arial" w:hAnsi="Arial"/>
          <w:sz w:val="16"/>
          <w:szCs w:val="16"/>
          <w:color w:val="auto"/>
        </w:rPr>
      </w:pPr>
    </w:p>
    <w:p>
      <w:pPr>
        <w:ind w:left="260" w:right="160" w:hanging="252"/>
        <w:spacing w:after="0" w:line="268"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Rights of a Shareowner</w:t>
      </w:r>
      <w:r>
        <w:rPr>
          <w:rFonts w:ascii="Arial" w:cs="Arial" w:eastAsia="Arial" w:hAnsi="Arial"/>
          <w:sz w:val="18"/>
          <w:szCs w:val="18"/>
          <w:color w:val="auto"/>
        </w:rPr>
        <w:t>. A Participant to whom Restricted Stock Units are awarded shall have no rights as a shareowner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represented by the Restricted Stock Units unless and until Shares are actually delivered to the Participant in settlement thereof.</w:t>
      </w:r>
    </w:p>
    <w:p>
      <w:pPr>
        <w:spacing w:after="0" w:line="62" w:lineRule="exact"/>
        <w:rPr>
          <w:rFonts w:ascii="Arial" w:cs="Arial" w:eastAsia="Arial" w:hAnsi="Arial"/>
          <w:sz w:val="18"/>
          <w:szCs w:val="18"/>
          <w:color w:val="auto"/>
        </w:rPr>
      </w:pPr>
    </w:p>
    <w:p>
      <w:pPr>
        <w:ind w:left="260" w:right="320" w:hanging="252"/>
        <w:spacing w:after="0" w:line="287"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The effect of a Participant’s Termination of Service on his or her Restricted Stock Units shall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Award Agreement.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OTHER STOCK-BASED AWARDS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may grant equity-based or equity-related awards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 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CASH AWARDS</w:t>
      </w:r>
    </w:p>
    <w:p>
      <w:pPr>
        <w:spacing w:after="0" w:line="11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Committee may grant awards that are denominated and payable in cash in such amounts and subject to such terms and conditions consistent with the terms of this Plan as the Committee shall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40" w:right="379" w:bottom="1440" w:gutter="0" w:footer="0" w:header="0"/>
        </w:sectPr>
      </w:pPr>
    </w:p>
    <w:bookmarkStart w:id="66" w:name="page67"/>
    <w:bookmarkEnd w:id="66"/>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CHANGE-IN-CONTROL PROVISIONS</w:t>
      </w:r>
    </w:p>
    <w:p>
      <w:pPr>
        <w:spacing w:after="0" w:line="117" w:lineRule="exact"/>
        <w:rPr>
          <w:sz w:val="20"/>
          <w:szCs w:val="20"/>
          <w:color w:val="auto"/>
        </w:rPr>
      </w:pPr>
    </w:p>
    <w:p>
      <w:pPr>
        <w:ind w:left="260" w:right="480" w:hanging="252"/>
        <w:spacing w:after="0" w:line="287" w:lineRule="auto"/>
        <w:tabs>
          <w:tab w:leader="none" w:pos="257" w:val="left"/>
        </w:tabs>
        <w:numPr>
          <w:ilvl w:val="0"/>
          <w:numId w:val="29"/>
        </w:numPr>
        <w:rPr>
          <w:rFonts w:ascii="Arial" w:cs="Arial" w:eastAsia="Arial" w:hAnsi="Arial"/>
          <w:sz w:val="16"/>
          <w:szCs w:val="16"/>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provisions of this Section 10 shall, subject to Section 3(e), apply notwithstanding any other provision of this Plan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except to the extent the Committee specifically provides otherwise in an Award Agreement.</w:t>
      </w:r>
    </w:p>
    <w:p>
      <w:pPr>
        <w:spacing w:after="0" w:line="44" w:lineRule="exact"/>
        <w:rPr>
          <w:rFonts w:ascii="Arial" w:cs="Arial" w:eastAsia="Arial" w:hAnsi="Arial"/>
          <w:sz w:val="16"/>
          <w:szCs w:val="16"/>
          <w:color w:val="auto"/>
        </w:rPr>
      </w:pPr>
    </w:p>
    <w:p>
      <w:pPr>
        <w:ind w:left="260" w:right="20" w:hanging="252"/>
        <w:spacing w:after="0" w:line="254" w:lineRule="auto"/>
        <w:tabs>
          <w:tab w:leader="none" w:pos="257" w:val="left"/>
        </w:tabs>
        <w:numPr>
          <w:ilvl w:val="0"/>
          <w:numId w:val="29"/>
        </w:numPr>
        <w:rPr>
          <w:rFonts w:ascii="Arial" w:cs="Arial" w:eastAsia="Arial" w:hAnsi="Arial"/>
          <w:sz w:val="16"/>
          <w:szCs w:val="16"/>
          <w:color w:val="auto"/>
        </w:rPr>
      </w:pPr>
      <w:r>
        <w:rPr>
          <w:rFonts w:ascii="Arial" w:cs="Arial" w:eastAsia="Arial" w:hAnsi="Arial"/>
          <w:sz w:val="18"/>
          <w:szCs w:val="18"/>
          <w:i w:val="1"/>
          <w:iCs w:val="1"/>
          <w:color w:val="auto"/>
        </w:rPr>
        <w:t>Impact of Change-in-Control</w:t>
      </w:r>
      <w:r>
        <w:rPr>
          <w:rFonts w:ascii="Arial" w:cs="Arial" w:eastAsia="Arial" w:hAnsi="Arial"/>
          <w:sz w:val="18"/>
          <w:szCs w:val="18"/>
          <w:color w:val="auto"/>
        </w:rPr>
        <w:t>. Upon the occurrence of a Change-in-Control: (i) all then-outstanding Stock Appreciation Rights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shall become fully vested and exercisable, all Full-Value Awards (other than performance-based Awards), and all Cash Awards (other than performance-based Awards) shall vest in full, be free of restrictions, and be deemed to be earned and payable in an amount equal to the full value of such Award, except in each case to the extent that another Award meeting the requirements of Section 10(c) (a “Replacement Award”) is provided to the Participant pursuant to Section 3(e) to replace such Award (any award intended to be replaced by a Replacement Award, a “Replaced Award”); and (ii) 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w:t>
      </w:r>
    </w:p>
    <w:p>
      <w:pPr>
        <w:spacing w:after="0" w:line="74" w:lineRule="exact"/>
        <w:rPr>
          <w:rFonts w:ascii="Arial" w:cs="Arial" w:eastAsia="Arial" w:hAnsi="Arial"/>
          <w:sz w:val="16"/>
          <w:szCs w:val="16"/>
          <w:color w:val="auto"/>
        </w:rPr>
      </w:pPr>
    </w:p>
    <w:p>
      <w:pPr>
        <w:jc w:val="both"/>
        <w:ind w:left="260" w:right="160" w:hanging="252"/>
        <w:spacing w:after="0" w:line="270" w:lineRule="auto"/>
        <w:tabs>
          <w:tab w:leader="none" w:pos="248" w:val="left"/>
        </w:tabs>
        <w:numPr>
          <w:ilvl w:val="0"/>
          <w:numId w:val="29"/>
        </w:numPr>
        <w:rPr>
          <w:rFonts w:ascii="Arial" w:cs="Arial" w:eastAsia="Arial" w:hAnsi="Arial"/>
          <w:sz w:val="15"/>
          <w:szCs w:val="15"/>
          <w:color w:val="auto"/>
        </w:rPr>
      </w:pPr>
      <w:r>
        <w:rPr>
          <w:rFonts w:ascii="Arial" w:cs="Arial" w:eastAsia="Arial" w:hAnsi="Arial"/>
          <w:sz w:val="17"/>
          <w:szCs w:val="17"/>
          <w:i w:val="1"/>
          <w:iCs w:val="1"/>
          <w:color w:val="auto"/>
        </w:rPr>
        <w:t>Replacement Awards</w:t>
      </w:r>
      <w:r>
        <w:rPr>
          <w:rFonts w:ascii="Arial" w:cs="Arial" w:eastAsia="Arial" w:hAnsi="Arial"/>
          <w:sz w:val="17"/>
          <w:szCs w:val="17"/>
          <w:color w:val="auto"/>
        </w:rPr>
        <w:t>. An Award shall meet the conditions of this Section 10(c) (and hence qualify as a Replacement Award) if: (i) it is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type as the Replaced Award (except that for any Replaced Award that is performance-based, the Replacement Award shall be subject solely to time-based vesting for the remainder of the applicable performance period (or such shorter period as determined by the Committee) and the applicable Performance Goals shall be deemed to be achieved at the greater of: (x) the applicable target level; and</w:t>
      </w:r>
    </w:p>
    <w:p>
      <w:pPr>
        <w:spacing w:after="0" w:line="2" w:lineRule="exact"/>
        <w:rPr>
          <w:rFonts w:ascii="Arial" w:cs="Arial" w:eastAsia="Arial" w:hAnsi="Arial"/>
          <w:sz w:val="15"/>
          <w:szCs w:val="15"/>
          <w:color w:val="auto"/>
        </w:rPr>
      </w:pPr>
    </w:p>
    <w:p>
      <w:pPr>
        <w:ind w:left="260" w:right="40"/>
        <w:spacing w:after="0" w:line="251" w:lineRule="auto"/>
        <w:rPr>
          <w:rFonts w:ascii="Arial" w:cs="Arial" w:eastAsia="Arial" w:hAnsi="Arial"/>
          <w:sz w:val="15"/>
          <w:szCs w:val="15"/>
          <w:color w:val="auto"/>
        </w:rPr>
      </w:pPr>
      <w:r>
        <w:rPr>
          <w:rFonts w:ascii="Arial" w:cs="Arial" w:eastAsia="Arial" w:hAnsi="Arial"/>
          <w:sz w:val="18"/>
          <w:szCs w:val="18"/>
          <w:color w:val="auto"/>
        </w:rPr>
        <w:t>(y) the level of achievement as determined by the Committee, taking into account performance through the latest date preceding the Change-in-Control as to which performance can, as a practical matter, be determined (but not later than the end of the applicable performance period)); (ii) it has a value equal to the value of the Replaced Award as of the date of the Change-in-Control, as determined by the Committee in its sole discretion consistent with Section 3(e); (iii) the underlying Replaced Award was an equity-based award, it relates to publicly traded equity securities of the Corporation or the entity surviving the Corporation following the Change-in-Control; (iv) it contains terms relating to time-based vesting (including with respect to a Termination of Service) that are substantially identical to those of the Replaced Award; and (v) its other terms and conditions are not less favorable to the Participant than the terms and conditions of the Replaced Award (including the provisions that would apply in the event of a subsequent Change-in-Control) as of the date of the Change-in-Control. Without limiting the generality of the foregoing, a Replacement Award may take the form of a continuation of the applicable Replaced Award if the requirements of the preceding sentence are satisfied. If a Replacement Award is granted, the Replaced Award shall not vest upon the Change-in-Control. The determination whether the conditions of this Section 10(c) are satisfied shall be made by the Committee, as constituted immediately before the Change-in-Control, in its sole discretion.</w:t>
      </w:r>
    </w:p>
    <w:p>
      <w:pPr>
        <w:spacing w:after="0" w:line="84" w:lineRule="exact"/>
        <w:rPr>
          <w:rFonts w:ascii="Arial" w:cs="Arial" w:eastAsia="Arial" w:hAnsi="Arial"/>
          <w:sz w:val="15"/>
          <w:szCs w:val="15"/>
          <w:color w:val="auto"/>
        </w:rPr>
      </w:pPr>
    </w:p>
    <w:p>
      <w:pPr>
        <w:ind w:left="260" w:hanging="252"/>
        <w:spacing w:after="0" w:line="255" w:lineRule="auto"/>
        <w:tabs>
          <w:tab w:leader="none" w:pos="257" w:val="left"/>
        </w:tabs>
        <w:numPr>
          <w:ilvl w:val="0"/>
          <w:numId w:val="29"/>
        </w:numPr>
        <w:rPr>
          <w:rFonts w:ascii="Arial" w:cs="Arial" w:eastAsia="Arial" w:hAnsi="Arial"/>
          <w:sz w:val="16"/>
          <w:szCs w:val="16"/>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Notwithstanding any other provision of this Plan to the contrary, and unless otherwise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set forth in the applicable Award Agreement, upon a Termination of Service of a Participant by the Corporation other than for Cause or by the Participant for Good Reason within 24 months (or such longer period as is specified in the applicable Award Agreement) following a Change-in-Control: (i) all Replacement Awards held by such Participant shall vest in full and be free of restrictions; and (ii) unless otherwise provided in the applicable Award Agreement, notwithstanding any other provision of this Plan to the contrary, any Stock Appreciation Right or Stock Option held by the Participant as of the date of the Change-in-Control that remains outstanding as of the date of such Termination of Service may thereafter be exercised until the expiration of the stated full Term of such Stock Appreciation Right or Nonqualified Stock Option.</w:t>
      </w:r>
    </w:p>
    <w:p>
      <w:pPr>
        <w:spacing w:after="0" w:line="76"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8"/>
          <w:szCs w:val="18"/>
          <w:i w:val="1"/>
          <w:iCs w:val="1"/>
          <w:color w:val="auto"/>
        </w:rPr>
        <w:t>Definition of Change-in-Control</w:t>
      </w:r>
      <w:r>
        <w:rPr>
          <w:rFonts w:ascii="Arial" w:cs="Arial" w:eastAsia="Arial" w:hAnsi="Arial"/>
          <w:sz w:val="18"/>
          <w:szCs w:val="18"/>
          <w:color w:val="auto"/>
        </w:rPr>
        <w:t>. For purposes of this Plan, a “Change-in-Control” shall mean the happening of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85" w:lineRule="exact"/>
        <w:rPr>
          <w:sz w:val="20"/>
          <w:szCs w:val="20"/>
          <w:color w:val="auto"/>
        </w:rPr>
      </w:pPr>
    </w:p>
    <w:p>
      <w:pPr>
        <w:ind w:left="592" w:right="40" w:hanging="333"/>
        <w:spacing w:after="0" w:line="272" w:lineRule="auto"/>
        <w:tabs>
          <w:tab w:leader="none" w:pos="592" w:val="left"/>
        </w:tabs>
        <w:numPr>
          <w:ilvl w:val="1"/>
          <w:numId w:val="30"/>
        </w:numPr>
        <w:rPr>
          <w:rFonts w:ascii="Arial" w:cs="Arial" w:eastAsia="Arial" w:hAnsi="Arial"/>
          <w:sz w:val="15"/>
          <w:szCs w:val="15"/>
          <w:color w:val="auto"/>
        </w:rPr>
      </w:pPr>
      <w:r>
        <w:rPr>
          <w:rFonts w:ascii="Arial" w:cs="Arial" w:eastAsia="Arial" w:hAnsi="Arial"/>
          <w:sz w:val="17"/>
          <w:szCs w:val="17"/>
          <w:color w:val="auto"/>
        </w:rPr>
        <w:t>An acquisition by any individual, entity or group (within the meaning of Section 13(d)(3) or 14(d)(2) of the Exchange Act) (a “Person”) of beneficial ownership (within the meaning of Rule 13d-3 promulgated under the Exchange Act) of 20% or more of either: (1) the then outstanding Shares (the “Outstanding Corporation Common Stock”); or (2) the combined voting power of the then outstanding voting securities of the Corporation entitled to vote generally in the election of directors (the “Outstanding Corporation Voting Securities”); provided, however, that for purposes of this subsection (i), the following acquisitions shall not constitute a Change-in-Control: (1) any acquisition directly from the Corporation; (2) any acquisition by the Corporation; (3) any acquisition by any employee benefit plan (or related trust) sponsored or maintained by the Corporation or any entity controlled by the Corporation; or (4) any acquisition by any entity pursuant to a transaction that complies with clauses (1), (2) and (3) of subsection (iii) of this Section 10(e); or</w:t>
      </w:r>
    </w:p>
    <w:p>
      <w:pPr>
        <w:spacing w:after="0" w:line="63" w:lineRule="exact"/>
        <w:rPr>
          <w:rFonts w:ascii="Arial" w:cs="Arial" w:eastAsia="Arial" w:hAnsi="Arial"/>
          <w:sz w:val="15"/>
          <w:szCs w:val="15"/>
          <w:color w:val="auto"/>
        </w:rPr>
      </w:pPr>
    </w:p>
    <w:p>
      <w:pPr>
        <w:ind w:left="592" w:right="40" w:hanging="333"/>
        <w:spacing w:after="0" w:line="255" w:lineRule="auto"/>
        <w:tabs>
          <w:tab w:leader="none" w:pos="587" w:val="left"/>
        </w:tabs>
        <w:numPr>
          <w:ilvl w:val="1"/>
          <w:numId w:val="30"/>
        </w:numPr>
        <w:rPr>
          <w:rFonts w:ascii="Arial" w:cs="Arial" w:eastAsia="Arial" w:hAnsi="Arial"/>
          <w:sz w:val="16"/>
          <w:szCs w:val="16"/>
          <w:color w:val="auto"/>
        </w:rPr>
      </w:pPr>
      <w:r>
        <w:rPr>
          <w:rFonts w:ascii="Arial" w:cs="Arial" w:eastAsia="Arial" w:hAnsi="Arial"/>
          <w:sz w:val="18"/>
          <w:szCs w:val="18"/>
          <w:color w:val="auto"/>
        </w:rPr>
        <w:t>A change in the composition of the Board such that the individuals who, as of the Effective Date, constitute the Board (the “Incumbent Board”) cease for any reason to constitute at least a majority of the Board; provided, however, that, for purposes of this Section 10(e), any individual who becomes a member of the Board subsequent to the Effective Date whose election, or nomination for election by the Corporation’s shareowners, was approved by a vote of at least two-thirds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72" w:lineRule="exact"/>
        <w:rPr>
          <w:rFonts w:ascii="Arial" w:cs="Arial" w:eastAsia="Arial" w:hAnsi="Arial"/>
          <w:sz w:val="16"/>
          <w:szCs w:val="16"/>
          <w:color w:val="auto"/>
        </w:rPr>
      </w:pPr>
    </w:p>
    <w:p>
      <w:pPr>
        <w:ind w:left="592" w:hanging="333"/>
        <w:spacing w:after="0" w:line="252" w:lineRule="auto"/>
        <w:tabs>
          <w:tab w:leader="none" w:pos="583" w:val="left"/>
        </w:tabs>
        <w:numPr>
          <w:ilvl w:val="1"/>
          <w:numId w:val="30"/>
        </w:numPr>
        <w:rPr>
          <w:rFonts w:ascii="Arial" w:cs="Arial" w:eastAsia="Arial" w:hAnsi="Arial"/>
          <w:sz w:val="16"/>
          <w:szCs w:val="16"/>
          <w:color w:val="auto"/>
        </w:rPr>
      </w:pPr>
      <w:r>
        <w:rPr>
          <w:rFonts w:ascii="Arial" w:cs="Arial" w:eastAsia="Arial" w:hAnsi="Arial"/>
          <w:sz w:val="18"/>
          <w:szCs w:val="18"/>
          <w:color w:val="auto"/>
        </w:rPr>
        <w:t>The consummation of a reorganization, merger, statutory share exchange or consolidation or similar transaction involving the Corporation or any of its subsidiaries; or sale or other disposition of all or substantially all of the assets of the Corporation; or the acquisition of assets or securities of another entity by the Corporation or any of its subsidiaries (a “Business Combination”), in each case, unless, following such Business Combination, (1)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(or, for a noncorporate entity, equivalent securities) and the combined voting power of the then outstanding voting securities entitled to vote generally in the election of directors (or, for a noncorporate entity, equivalent securities), as the case may be, of the entity resulting from such Business Combination (including an entity that,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(2) no Person (excluding any entity resulting from such Business Combination or any employee benefit plan (or related trust) of the Corporation or such entity resulting from such Business Combination) beneficially owns, directly or indirectly, 20% or more of, respectively, the then outstanding Shares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 Business Combination were members of the Incumbent Board at the time of the execution of the initial agreement, or of the action of the Board, providing for such Business Combination; or</w:t>
      </w:r>
    </w:p>
    <w:p>
      <w:pPr>
        <w:spacing w:after="0" w:line="82" w:lineRule="exact"/>
        <w:rPr>
          <w:rFonts w:ascii="Arial" w:cs="Arial" w:eastAsia="Arial" w:hAnsi="Arial"/>
          <w:sz w:val="16"/>
          <w:szCs w:val="16"/>
          <w:color w:val="auto"/>
        </w:rPr>
      </w:pPr>
    </w:p>
    <w:p>
      <w:pPr>
        <w:ind w:left="572" w:hanging="313"/>
        <w:spacing w:after="0"/>
        <w:tabs>
          <w:tab w:leader="none" w:pos="572" w:val="left"/>
        </w:tabs>
        <w:numPr>
          <w:ilvl w:val="1"/>
          <w:numId w:val="30"/>
        </w:numPr>
        <w:rPr>
          <w:rFonts w:ascii="Arial" w:cs="Arial" w:eastAsia="Arial" w:hAnsi="Arial"/>
          <w:sz w:val="16"/>
          <w:szCs w:val="16"/>
          <w:color w:val="auto"/>
        </w:rPr>
      </w:pPr>
      <w:r>
        <w:rPr>
          <w:rFonts w:ascii="Arial" w:cs="Arial" w:eastAsia="Arial" w:hAnsi="Arial"/>
          <w:sz w:val="18"/>
          <w:szCs w:val="18"/>
          <w:color w:val="auto"/>
        </w:rPr>
        <w:t>The approval by the shareholders of the Corporation of a complete liquidation or dissolution of the Corporation.</w:t>
      </w:r>
    </w:p>
    <w:p>
      <w:pPr>
        <w:spacing w:after="0" w:line="117" w:lineRule="exact"/>
        <w:rPr>
          <w:rFonts w:ascii="Arial" w:cs="Arial" w:eastAsia="Arial" w:hAnsi="Arial"/>
          <w:sz w:val="16"/>
          <w:szCs w:val="16"/>
          <w:color w:val="auto"/>
        </w:rPr>
      </w:pPr>
    </w:p>
    <w:p>
      <w:pPr>
        <w:ind w:left="252" w:right="560" w:hanging="252"/>
        <w:spacing w:after="0" w:line="268" w:lineRule="auto"/>
        <w:tabs>
          <w:tab w:leader="none" w:pos="245" w:val="left"/>
        </w:tabs>
        <w:numPr>
          <w:ilvl w:val="0"/>
          <w:numId w:val="31"/>
        </w:numPr>
        <w:rPr>
          <w:rFonts w:ascii="Arial" w:cs="Arial" w:eastAsia="Arial" w:hAnsi="Arial"/>
          <w:sz w:val="16"/>
          <w:szCs w:val="16"/>
          <w:color w:val="auto"/>
        </w:rPr>
      </w:pPr>
      <w:r>
        <w:rPr>
          <w:rFonts w:ascii="Arial" w:cs="Arial" w:eastAsia="Arial" w:hAnsi="Arial"/>
          <w:sz w:val="18"/>
          <w:szCs w:val="18"/>
          <w:color w:val="auto"/>
        </w:rPr>
        <w:t>Notwithstanding any other provision of this Plan, any Award Agreement or any Individual Agreement, for any Award that constitutes nonqualified deferred compensation within the meaning of Section 409A of the Code, a Change-in-Control shall not constitute a settlement or distribution event with respect to such Award,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32"/>
          </w:cols>
          <w:pgMar w:left="328" w:top="1440" w:right="339" w:bottom="1440" w:gutter="0" w:footer="0" w:header="0"/>
        </w:sectPr>
      </w:pPr>
    </w:p>
    <w:bookmarkStart w:id="68" w:name="page69"/>
    <w:bookmarkEnd w:id="68"/>
    <w:p>
      <w:pPr>
        <w:spacing w:after="0" w:line="85" w:lineRule="exact"/>
        <w:rPr>
          <w:sz w:val="20"/>
          <w:szCs w:val="20"/>
          <w:color w:val="auto"/>
        </w:rPr>
      </w:pPr>
    </w:p>
    <w:p>
      <w:pPr>
        <w:ind w:left="260" w:right="20"/>
        <w:spacing w:after="0" w:line="262" w:lineRule="auto"/>
        <w:rPr>
          <w:sz w:val="20"/>
          <w:szCs w:val="20"/>
          <w:color w:val="auto"/>
        </w:rPr>
      </w:pPr>
      <w:r>
        <w:rPr>
          <w:rFonts w:ascii="Arial" w:cs="Arial" w:eastAsia="Arial" w:hAnsi="Arial"/>
          <w:sz w:val="18"/>
          <w:szCs w:val="18"/>
          <w:color w:val="auto"/>
        </w:rPr>
        <w:t>event that otherwise changes the timing of settlement or distribution of such Award, unless the Change-in-Control also constitutes an event described in Section 409A(a) (2) (v) of the Code and the regulations promulgated thereunder (a “Section 409A CIC”); provided, however, that whether or not a Change-in-Control is a Section 409A CIC, such Change-in-Control shall result in the accelerated vesting of such Award to the extent provided by the Award Agreement, this Plan, any Individual Agreement or otherwise by the Committee.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SECTION 16(B); SECTION 409A</w:t>
      </w:r>
    </w:p>
    <w:p>
      <w:pPr>
        <w:spacing w:after="0" w:line="117" w:lineRule="exact"/>
        <w:rPr>
          <w:sz w:val="20"/>
          <w:szCs w:val="20"/>
          <w:color w:val="auto"/>
        </w:rPr>
      </w:pPr>
    </w:p>
    <w:p>
      <w:pPr>
        <w:ind w:left="260" w:right="100" w:hanging="252"/>
        <w:spacing w:after="0" w:line="259" w:lineRule="auto"/>
        <w:tabs>
          <w:tab w:leader="none" w:pos="257" w:val="left"/>
        </w:tabs>
        <w:numPr>
          <w:ilvl w:val="0"/>
          <w:numId w:val="32"/>
        </w:numPr>
        <w:rPr>
          <w:rFonts w:ascii="Arial" w:cs="Arial" w:eastAsia="Arial" w:hAnsi="Arial"/>
          <w:sz w:val="16"/>
          <w:szCs w:val="16"/>
          <w:color w:val="auto"/>
        </w:rPr>
      </w:pPr>
      <w:r>
        <w:rPr>
          <w:rFonts w:ascii="Arial" w:cs="Arial" w:eastAsia="Arial" w:hAnsi="Arial"/>
          <w:sz w:val="18"/>
          <w:szCs w:val="18"/>
          <w:color w:val="auto"/>
        </w:rPr>
        <w:t>The provisions of this Plan are intended to ensure that no transaction under this Plan is subject to (and all such transactions will be exempt from) the short-swing profit recovery rules of Section 16(b) of the Exchange Act (“Section 16(b)”).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71" w:lineRule="exact"/>
        <w:rPr>
          <w:rFonts w:ascii="Arial" w:cs="Arial" w:eastAsia="Arial" w:hAnsi="Arial"/>
          <w:sz w:val="16"/>
          <w:szCs w:val="16"/>
          <w:color w:val="auto"/>
        </w:rPr>
      </w:pPr>
    </w:p>
    <w:p>
      <w:pPr>
        <w:ind w:left="260" w:hanging="252"/>
        <w:spacing w:after="0" w:line="253" w:lineRule="auto"/>
        <w:tabs>
          <w:tab w:leader="none" w:pos="257" w:val="left"/>
        </w:tabs>
        <w:numPr>
          <w:ilvl w:val="0"/>
          <w:numId w:val="32"/>
        </w:numPr>
        <w:rPr>
          <w:rFonts w:ascii="Arial" w:cs="Arial" w:eastAsia="Arial" w:hAnsi="Arial"/>
          <w:sz w:val="16"/>
          <w:szCs w:val="16"/>
          <w:color w:val="auto"/>
        </w:rPr>
      </w:pPr>
      <w:r>
        <w:rPr>
          <w:rFonts w:ascii="Arial" w:cs="Arial" w:eastAsia="Arial" w:hAnsi="Arial"/>
          <w:sz w:val="18"/>
          <w:szCs w:val="18"/>
          <w:color w:val="auto"/>
        </w:rPr>
        <w:t>This Plan and the Awards granted hereunder are intended to comply with the requirements of Section 409A of the Code or an exemption or exclusion therefrom and, with respect to amounts that are subject to Section 409A of the Code, it is intended that this Plan be administered and interpreted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Corporation), amounts that constitute “nonqualified deferred compensation” subject to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TERM, AMENDMENT AND TERMINATION</w:t>
      </w:r>
    </w:p>
    <w:p>
      <w:pPr>
        <w:spacing w:after="0" w:line="117" w:lineRule="exact"/>
        <w:rPr>
          <w:sz w:val="20"/>
          <w:szCs w:val="20"/>
          <w:color w:val="auto"/>
        </w:rPr>
      </w:pPr>
    </w:p>
    <w:p>
      <w:pPr>
        <w:ind w:left="260" w:right="560" w:hanging="252"/>
        <w:spacing w:after="0" w:line="287" w:lineRule="auto"/>
        <w:tabs>
          <w:tab w:leader="none" w:pos="257" w:val="left"/>
        </w:tabs>
        <w:numPr>
          <w:ilvl w:val="0"/>
          <w:numId w:val="33"/>
        </w:numPr>
        <w:rPr>
          <w:rFonts w:ascii="Arial" w:cs="Arial" w:eastAsia="Arial" w:hAnsi="Arial"/>
          <w:sz w:val="16"/>
          <w:szCs w:val="16"/>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Plan was originally approved by the Board on February 5, 2018, subject to and contingent upon approval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shareowners.</w:t>
      </w:r>
    </w:p>
    <w:p>
      <w:pPr>
        <w:spacing w:after="0" w:line="44" w:lineRule="exact"/>
        <w:rPr>
          <w:rFonts w:ascii="Arial" w:cs="Arial" w:eastAsia="Arial" w:hAnsi="Arial"/>
          <w:sz w:val="16"/>
          <w:szCs w:val="16"/>
          <w:color w:val="auto"/>
        </w:rPr>
      </w:pPr>
    </w:p>
    <w:p>
      <w:pPr>
        <w:ind w:left="600" w:hanging="333"/>
        <w:spacing w:after="0"/>
        <w:tabs>
          <w:tab w:leader="none" w:pos="600" w:val="left"/>
        </w:tabs>
        <w:numPr>
          <w:ilvl w:val="1"/>
          <w:numId w:val="33"/>
        </w:numPr>
        <w:rPr>
          <w:rFonts w:ascii="Arial" w:cs="Arial" w:eastAsia="Arial" w:hAnsi="Arial"/>
          <w:sz w:val="16"/>
          <w:szCs w:val="16"/>
          <w:color w:val="auto"/>
        </w:rPr>
      </w:pPr>
      <w:r>
        <w:rPr>
          <w:rFonts w:ascii="Arial" w:cs="Arial" w:eastAsia="Arial" w:hAnsi="Arial"/>
          <w:sz w:val="18"/>
          <w:szCs w:val="18"/>
          <w:color w:val="auto"/>
        </w:rPr>
        <w:t>The Plan was amended and restated effective April 26, 2021, following approval by the Corporation’s shareowners on such date.</w:t>
      </w:r>
    </w:p>
    <w:p>
      <w:pPr>
        <w:spacing w:after="0" w:line="117" w:lineRule="exact"/>
        <w:rPr>
          <w:rFonts w:ascii="Arial" w:cs="Arial" w:eastAsia="Arial" w:hAnsi="Arial"/>
          <w:sz w:val="16"/>
          <w:szCs w:val="16"/>
          <w:color w:val="auto"/>
        </w:rPr>
      </w:pPr>
    </w:p>
    <w:p>
      <w:pPr>
        <w:ind w:left="600" w:right="80" w:hanging="333"/>
        <w:spacing w:after="0" w:line="262" w:lineRule="auto"/>
        <w:tabs>
          <w:tab w:leader="none" w:pos="595" w:val="left"/>
        </w:tabs>
        <w:numPr>
          <w:ilvl w:val="1"/>
          <w:numId w:val="33"/>
        </w:numPr>
        <w:rPr>
          <w:rFonts w:ascii="Arial" w:cs="Arial" w:eastAsia="Arial" w:hAnsi="Arial"/>
          <w:sz w:val="16"/>
          <w:szCs w:val="16"/>
          <w:color w:val="auto"/>
        </w:rPr>
      </w:pPr>
      <w:r>
        <w:rPr>
          <w:rFonts w:ascii="Arial" w:cs="Arial" w:eastAsia="Arial" w:hAnsi="Arial"/>
          <w:sz w:val="18"/>
          <w:szCs w:val="18"/>
          <w:color w:val="auto"/>
        </w:rPr>
        <w:t>The Plan was further amended and restated effective as of October 1, 2023, for the purposes of renaming the Plan, the RTX Corporation 2018 Long-Term Incentive Plan, changing all company references from ‘Raytheon Technologies Corporation’ to ‘RTX Corporation,’ updating the name of the ‘Compensation Committee’ to the ‘Human Capital &amp; Compensation Committee,’ clarifying that Awards are subject to all applicable clawback policies and certain other administrative changes.</w:t>
      </w:r>
    </w:p>
    <w:p>
      <w:pPr>
        <w:spacing w:after="0" w:line="68" w:lineRule="exact"/>
        <w:rPr>
          <w:rFonts w:ascii="Arial" w:cs="Arial" w:eastAsia="Arial" w:hAnsi="Arial"/>
          <w:sz w:val="16"/>
          <w:szCs w:val="16"/>
          <w:color w:val="auto"/>
        </w:rPr>
      </w:pPr>
    </w:p>
    <w:p>
      <w:pPr>
        <w:ind w:left="600" w:right="380" w:hanging="333"/>
        <w:spacing w:after="0" w:line="287" w:lineRule="auto"/>
        <w:tabs>
          <w:tab w:leader="none" w:pos="591" w:val="left"/>
        </w:tabs>
        <w:numPr>
          <w:ilvl w:val="1"/>
          <w:numId w:val="33"/>
        </w:numPr>
        <w:rPr>
          <w:rFonts w:ascii="Arial" w:cs="Arial" w:eastAsia="Arial" w:hAnsi="Arial"/>
          <w:sz w:val="16"/>
          <w:szCs w:val="16"/>
          <w:color w:val="auto"/>
        </w:rPr>
      </w:pPr>
      <w:r>
        <w:rPr>
          <w:rFonts w:ascii="Arial" w:cs="Arial" w:eastAsia="Arial" w:hAnsi="Arial"/>
          <w:sz w:val="18"/>
          <w:szCs w:val="18"/>
          <w:color w:val="auto"/>
        </w:rPr>
        <w:t>This amended and restated Plan will be effective May 2, 2024 (the “Effective Date”), renamed as the RTX Corporation Long-Term Incentive Plan, provided the Corporation’s shareowners approve this Plan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85" w:lineRule="exact"/>
        <w:rPr>
          <w:sz w:val="20"/>
          <w:szCs w:val="20"/>
          <w:color w:val="auto"/>
        </w:rPr>
      </w:pPr>
    </w:p>
    <w:p>
      <w:pPr>
        <w:ind w:left="260" w:right="500" w:hanging="252"/>
        <w:spacing w:after="0" w:line="287" w:lineRule="auto"/>
        <w:tabs>
          <w:tab w:leader="none" w:pos="257" w:val="left"/>
        </w:tabs>
        <w:numPr>
          <w:ilvl w:val="0"/>
          <w:numId w:val="34"/>
        </w:numPr>
        <w:rPr>
          <w:rFonts w:ascii="Arial" w:cs="Arial" w:eastAsia="Arial" w:hAnsi="Arial"/>
          <w:sz w:val="16"/>
          <w:szCs w:val="16"/>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Plan will terminate on the tenth anniversary of the Effective Date. Awards outstanding as of such date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or impaired by the termination of this Plan.</w:t>
      </w:r>
    </w:p>
    <w:p>
      <w:pPr>
        <w:spacing w:after="0" w:line="44" w:lineRule="exact"/>
        <w:rPr>
          <w:rFonts w:ascii="Arial" w:cs="Arial" w:eastAsia="Arial" w:hAnsi="Arial"/>
          <w:sz w:val="16"/>
          <w:szCs w:val="16"/>
          <w:color w:val="auto"/>
        </w:rPr>
      </w:pPr>
    </w:p>
    <w:p>
      <w:pPr>
        <w:ind w:left="260" w:right="100" w:hanging="252"/>
        <w:spacing w:after="0" w:line="259" w:lineRule="auto"/>
        <w:tabs>
          <w:tab w:leader="none" w:pos="248" w:val="left"/>
        </w:tabs>
        <w:numPr>
          <w:ilvl w:val="0"/>
          <w:numId w:val="34"/>
        </w:numPr>
        <w:rPr>
          <w:rFonts w:ascii="Arial" w:cs="Arial" w:eastAsia="Arial" w:hAnsi="Arial"/>
          <w:sz w:val="16"/>
          <w:szCs w:val="16"/>
          <w:color w:val="auto"/>
        </w:rPr>
      </w:pPr>
      <w:r>
        <w:rPr>
          <w:rFonts w:ascii="Arial" w:cs="Arial" w:eastAsia="Arial" w:hAnsi="Arial"/>
          <w:sz w:val="18"/>
          <w:szCs w:val="18"/>
          <w:i w:val="1"/>
          <w:iCs w:val="1"/>
          <w:color w:val="auto"/>
        </w:rPr>
        <w:t>Amendment of Plan</w:t>
      </w:r>
      <w:r>
        <w:rPr>
          <w:rFonts w:ascii="Arial" w:cs="Arial" w:eastAsia="Arial" w:hAnsi="Arial"/>
          <w:sz w:val="18"/>
          <w:szCs w:val="18"/>
          <w:color w:val="auto"/>
        </w:rPr>
        <w:t>. The Board or the Committee may amend, alter or discontinue this Plan, but no amendment, alteration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discontinuation shall be made that would materially impair the rights of the Participant with respect to a previously granted Award without such Participant’s consent, except such an amendment made to comply with applicable law, including Section 409A of the Code, Applicable Exchange listing standards, tax or accounting rules. In addition, no amendment shall be made without the approval of the Corporation’s shareowners to the extent such approval is required by applicable law or the listing standards of the Applicable Exchange.</w:t>
      </w:r>
    </w:p>
    <w:p>
      <w:pPr>
        <w:spacing w:after="0" w:line="71" w:lineRule="exact"/>
        <w:rPr>
          <w:rFonts w:ascii="Arial" w:cs="Arial" w:eastAsia="Arial" w:hAnsi="Arial"/>
          <w:sz w:val="16"/>
          <w:szCs w:val="16"/>
          <w:color w:val="auto"/>
        </w:rPr>
      </w:pPr>
    </w:p>
    <w:p>
      <w:pPr>
        <w:ind w:left="260" w:right="240" w:hanging="252"/>
        <w:spacing w:after="0" w:line="262" w:lineRule="auto"/>
        <w:tabs>
          <w:tab w:leader="none" w:pos="257" w:val="left"/>
        </w:tabs>
        <w:numPr>
          <w:ilvl w:val="0"/>
          <w:numId w:val="34"/>
        </w:numPr>
        <w:rPr>
          <w:rFonts w:ascii="Arial" w:cs="Arial" w:eastAsia="Arial" w:hAnsi="Arial"/>
          <w:sz w:val="16"/>
          <w:szCs w:val="16"/>
          <w:color w:val="auto"/>
        </w:rPr>
      </w:pPr>
      <w:r>
        <w:rPr>
          <w:rFonts w:ascii="Arial" w:cs="Arial" w:eastAsia="Arial" w:hAnsi="Arial"/>
          <w:sz w:val="18"/>
          <w:szCs w:val="18"/>
          <w:i w:val="1"/>
          <w:iCs w:val="1"/>
          <w:color w:val="auto"/>
        </w:rPr>
        <w:t>Amendment of Awards</w:t>
      </w:r>
      <w:r>
        <w:rPr>
          <w:rFonts w:ascii="Arial" w:cs="Arial" w:eastAsia="Arial" w:hAnsi="Arial"/>
          <w:sz w:val="18"/>
          <w:szCs w:val="18"/>
          <w:color w:val="auto"/>
        </w:rPr>
        <w:t>. Subject to Section 5(c), the Committee may unilaterally amend the terms of any Award theretofore granted, but</w:t>
      </w:r>
      <w:r>
        <w:rPr>
          <w:rFonts w:ascii="Arial" w:cs="Arial" w:eastAsia="Arial" w:hAnsi="Arial"/>
          <w:sz w:val="18"/>
          <w:szCs w:val="18"/>
          <w:i w:val="1"/>
          <w:iCs w:val="1"/>
          <w:color w:val="auto"/>
        </w:rPr>
        <w:t xml:space="preserve"> </w:t>
      </w:r>
      <w:r>
        <w:rPr>
          <w:rFonts w:ascii="Arial" w:cs="Arial" w:eastAsia="Arial" w:hAnsi="Arial"/>
          <w:sz w:val="18"/>
          <w:szCs w:val="18"/>
          <w:color w:val="auto"/>
        </w:rPr>
        <w:t>no such amendment shall, without the Participant’s consent, materially impair the rights of any Participant with respect to an Award, except such an amendment made to cause this Plan or Award to comply with applicable law, including Section 409A of the Code, Applicable Exchange listing standards, tax or accounting rules.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UNFUNDED STATUS OF PLAN</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Neither the Corporation nor the Committee shall have any obligation to segregate assets or establish a trust or other arrangements to meet the obligations created under the Plan. Any liability of the Corporation to any Participant with respect to an Award shall be based solely upon contractual obligation created by the Plan and the Award Agreement. No such obligation shall be deemed to be secured by any pledge or encumbrance on the property of the Corporation.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GENERAL PROVISIONS</w:t>
      </w:r>
    </w:p>
    <w:p>
      <w:pPr>
        <w:spacing w:after="0" w:line="117" w:lineRule="exact"/>
        <w:rPr>
          <w:sz w:val="20"/>
          <w:szCs w:val="20"/>
          <w:color w:val="auto"/>
        </w:rPr>
      </w:pPr>
    </w:p>
    <w:p>
      <w:pPr>
        <w:ind w:left="260" w:right="200" w:hanging="252"/>
        <w:spacing w:after="0" w:line="259" w:lineRule="auto"/>
        <w:tabs>
          <w:tab w:leader="none" w:pos="25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Conditions for Issuance</w:t>
      </w:r>
      <w:r>
        <w:rPr>
          <w:rFonts w:ascii="Arial" w:cs="Arial" w:eastAsia="Arial" w:hAnsi="Arial"/>
          <w:sz w:val="18"/>
          <w:szCs w:val="18"/>
          <w:color w:val="auto"/>
        </w:rPr>
        <w:t>. The Committee may require each person purchasing or receiving Shares pursuant to an Award to represent to</w:t>
      </w:r>
      <w:r>
        <w:rPr>
          <w:rFonts w:ascii="Arial" w:cs="Arial" w:eastAsia="Arial" w:hAnsi="Arial"/>
          <w:sz w:val="18"/>
          <w:szCs w:val="18"/>
          <w:i w:val="1"/>
          <w:iCs w:val="1"/>
          <w:color w:val="auto"/>
        </w:rPr>
        <w:t xml:space="preserve"> </w:t>
      </w:r>
      <w:r>
        <w:rPr>
          <w:rFonts w:ascii="Arial" w:cs="Arial" w:eastAsia="Arial" w:hAnsi="Arial"/>
          <w:sz w:val="18"/>
          <w:szCs w:val="18"/>
          <w:color w:val="auto"/>
        </w:rPr>
        <w:t>and agree with the Corporation in writing that such Participant is acquiring the Shares without a view to the distribution thereof. The certificates for such Shares may include any legend that the Committee deems appropriate to reflect any restrictions on transfer. Notwithstanding any other provision of this Plan or agreements made pursuant thereto, the Corporation shall not be required to issue or deliver any Shares (whether in certificated or book-entry form) under this Plan prior to fulfillment of all of the following conditions:</w:t>
      </w:r>
    </w:p>
    <w:p>
      <w:pPr>
        <w:spacing w:after="0" w:line="71" w:lineRule="exact"/>
        <w:rPr>
          <w:rFonts w:ascii="Arial" w:cs="Arial" w:eastAsia="Arial" w:hAnsi="Arial"/>
          <w:sz w:val="18"/>
          <w:szCs w:val="18"/>
          <w:color w:val="auto"/>
        </w:rPr>
      </w:pPr>
    </w:p>
    <w:p>
      <w:pPr>
        <w:ind w:left="600" w:hanging="333"/>
        <w:spacing w:after="0"/>
        <w:tabs>
          <w:tab w:leader="none" w:pos="600" w:val="left"/>
        </w:tabs>
        <w:numPr>
          <w:ilvl w:val="1"/>
          <w:numId w:val="35"/>
        </w:numPr>
        <w:rPr>
          <w:rFonts w:ascii="Arial" w:cs="Arial" w:eastAsia="Arial" w:hAnsi="Arial"/>
          <w:sz w:val="16"/>
          <w:szCs w:val="16"/>
          <w:color w:val="auto"/>
        </w:rPr>
      </w:pPr>
      <w:r>
        <w:rPr>
          <w:rFonts w:ascii="Arial" w:cs="Arial" w:eastAsia="Arial" w:hAnsi="Arial"/>
          <w:sz w:val="18"/>
          <w:szCs w:val="18"/>
          <w:color w:val="auto"/>
        </w:rPr>
        <w:t>listing or approval for listing upon notice of issuance, of such Shares on the Applicable Exchange;</w:t>
      </w:r>
    </w:p>
    <w:p>
      <w:pPr>
        <w:spacing w:after="0" w:line="117" w:lineRule="exact"/>
        <w:rPr>
          <w:rFonts w:ascii="Arial" w:cs="Arial" w:eastAsia="Arial" w:hAnsi="Arial"/>
          <w:sz w:val="16"/>
          <w:szCs w:val="16"/>
          <w:color w:val="auto"/>
        </w:rPr>
      </w:pPr>
    </w:p>
    <w:p>
      <w:pPr>
        <w:ind w:left="600" w:hanging="333"/>
        <w:spacing w:after="0" w:line="268" w:lineRule="auto"/>
        <w:tabs>
          <w:tab w:leader="none" w:pos="595" w:val="left"/>
        </w:tabs>
        <w:numPr>
          <w:ilvl w:val="1"/>
          <w:numId w:val="35"/>
        </w:numPr>
        <w:rPr>
          <w:rFonts w:ascii="Arial" w:cs="Arial" w:eastAsia="Arial" w:hAnsi="Arial"/>
          <w:sz w:val="16"/>
          <w:szCs w:val="16"/>
          <w:color w:val="auto"/>
        </w:rPr>
      </w:pPr>
      <w:r>
        <w:rPr>
          <w:rFonts w:ascii="Arial" w:cs="Arial" w:eastAsia="Arial" w:hAnsi="Arial"/>
          <w:sz w:val="18"/>
          <w:szCs w:val="18"/>
          <w:color w:val="auto"/>
        </w:rPr>
        <w:t>any registration or other qualification of such Shares of the Corporation under any state or federal law or regulation, or the maintaining in effect of any such registration or other qualification that the Committee shall, in its absolute discretion upon the advice of counsel, deem necessary or advisable; and</w:t>
      </w:r>
    </w:p>
    <w:p>
      <w:pPr>
        <w:spacing w:after="0" w:line="62" w:lineRule="exact"/>
        <w:rPr>
          <w:rFonts w:ascii="Arial" w:cs="Arial" w:eastAsia="Arial" w:hAnsi="Arial"/>
          <w:sz w:val="16"/>
          <w:szCs w:val="16"/>
          <w:color w:val="auto"/>
        </w:rPr>
      </w:pPr>
    </w:p>
    <w:p>
      <w:pPr>
        <w:ind w:left="600" w:right="600" w:hanging="333"/>
        <w:spacing w:after="0" w:line="287" w:lineRule="auto"/>
        <w:tabs>
          <w:tab w:leader="none" w:pos="591" w:val="left"/>
        </w:tabs>
        <w:numPr>
          <w:ilvl w:val="1"/>
          <w:numId w:val="35"/>
        </w:numPr>
        <w:rPr>
          <w:rFonts w:ascii="Arial" w:cs="Arial" w:eastAsia="Arial" w:hAnsi="Arial"/>
          <w:sz w:val="16"/>
          <w:szCs w:val="16"/>
          <w:color w:val="auto"/>
        </w:rPr>
      </w:pPr>
      <w:r>
        <w:rPr>
          <w:rFonts w:ascii="Arial" w:cs="Arial" w:eastAsia="Arial" w:hAnsi="Arial"/>
          <w:sz w:val="18"/>
          <w:szCs w:val="18"/>
          <w:color w:val="auto"/>
        </w:rPr>
        <w:t>obtaining any other consent, approval, or permit from any state or federal governmental agency that the Committee shall, in its absolute discretion, determine to be necessary or advisable.</w:t>
      </w:r>
    </w:p>
    <w:p>
      <w:pPr>
        <w:spacing w:after="0" w:line="44" w:lineRule="exact"/>
        <w:rPr>
          <w:rFonts w:ascii="Arial" w:cs="Arial" w:eastAsia="Arial" w:hAnsi="Arial"/>
          <w:sz w:val="16"/>
          <w:szCs w:val="16"/>
          <w:color w:val="auto"/>
        </w:rPr>
      </w:pPr>
    </w:p>
    <w:p>
      <w:pPr>
        <w:ind w:left="260" w:right="240" w:hanging="252"/>
        <w:spacing w:after="0" w:line="287" w:lineRule="auto"/>
        <w:tabs>
          <w:tab w:leader="none" w:pos="25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Additional Compensation Arrangements</w:t>
      </w:r>
      <w:r>
        <w:rPr>
          <w:rFonts w:ascii="Arial" w:cs="Arial" w:eastAsia="Arial" w:hAnsi="Arial"/>
          <w:sz w:val="18"/>
          <w:szCs w:val="18"/>
          <w:color w:val="auto"/>
        </w:rPr>
        <w:t>. Nothing contained in this Plan shall prevent the Corporation or any Subsidiary or Affiliate from</w:t>
      </w:r>
      <w:r>
        <w:rPr>
          <w:rFonts w:ascii="Arial" w:cs="Arial" w:eastAsia="Arial" w:hAnsi="Arial"/>
          <w:sz w:val="18"/>
          <w:szCs w:val="18"/>
          <w:i w:val="1"/>
          <w:iCs w:val="1"/>
          <w:color w:val="auto"/>
        </w:rPr>
        <w:t xml:space="preserve"> </w:t>
      </w:r>
      <w:r>
        <w:rPr>
          <w:rFonts w:ascii="Arial" w:cs="Arial" w:eastAsia="Arial" w:hAnsi="Arial"/>
          <w:sz w:val="18"/>
          <w:szCs w:val="18"/>
          <w:color w:val="auto"/>
        </w:rPr>
        <w:t>adopting other or additional compensation arrangements for its employees.</w:t>
      </w:r>
    </w:p>
    <w:p>
      <w:pPr>
        <w:spacing w:after="0" w:line="44" w:lineRule="exact"/>
        <w:rPr>
          <w:rFonts w:ascii="Arial" w:cs="Arial" w:eastAsia="Arial" w:hAnsi="Arial"/>
          <w:sz w:val="18"/>
          <w:szCs w:val="18"/>
          <w:color w:val="auto"/>
        </w:rPr>
      </w:pPr>
    </w:p>
    <w:p>
      <w:pPr>
        <w:ind w:left="260" w:hanging="252"/>
        <w:spacing w:after="0" w:line="268"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No Contract of Employment</w:t>
      </w:r>
      <w:r>
        <w:rPr>
          <w:rFonts w:ascii="Arial" w:cs="Arial" w:eastAsia="Arial" w:hAnsi="Arial"/>
          <w:sz w:val="18"/>
          <w:szCs w:val="18"/>
          <w:color w:val="auto"/>
        </w:rPr>
        <w:t>. This Plan shall not constitute a contract of employment, and adoption of this Plan shall not confer upon any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any right to continued employment, nor shall it interfere in any way with the right of the Corporation or any Subsidiary or Affiliate to terminate the employment of any employee at any time.</w:t>
      </w:r>
    </w:p>
    <w:p>
      <w:pPr>
        <w:spacing w:after="0" w:line="62" w:lineRule="exact"/>
        <w:rPr>
          <w:rFonts w:ascii="Arial" w:cs="Arial" w:eastAsia="Arial" w:hAnsi="Arial"/>
          <w:sz w:val="18"/>
          <w:szCs w:val="18"/>
          <w:color w:val="auto"/>
        </w:rPr>
      </w:pPr>
    </w:p>
    <w:p>
      <w:pPr>
        <w:ind w:left="260" w:right="120" w:hanging="252"/>
        <w:spacing w:after="0" w:line="262" w:lineRule="auto"/>
        <w:tabs>
          <w:tab w:leader="none" w:pos="25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Required Taxes</w:t>
      </w:r>
      <w:r>
        <w:rPr>
          <w:rFonts w:ascii="Arial" w:cs="Arial" w:eastAsia="Arial" w:hAnsi="Arial"/>
          <w:sz w:val="18"/>
          <w:szCs w:val="18"/>
          <w:color w:val="auto"/>
        </w:rPr>
        <w:t>. No later than the date as of which an amount first becomes includible in the gross income of a Participant for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local or foreign income, or employment or other tax purposes with respect to any Award under this Plan, such Participant shall pay to the Corporation, or make arrangements satisfactory to the Corporation regarding the payment of, any federal, state, local or foreign taxes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40" w:right="359" w:bottom="1440" w:gutter="0" w:footer="0" w:header="0"/>
        </w:sectPr>
      </w:pPr>
    </w:p>
    <w:bookmarkStart w:id="70" w:name="page71"/>
    <w:bookmarkEnd w:id="70"/>
    <w:p>
      <w:pPr>
        <w:spacing w:after="0" w:line="85" w:lineRule="exact"/>
        <w:rPr>
          <w:sz w:val="20"/>
          <w:szCs w:val="20"/>
          <w:color w:val="auto"/>
        </w:rPr>
      </w:pPr>
    </w:p>
    <w:p>
      <w:pPr>
        <w:ind w:left="252"/>
        <w:spacing w:after="0" w:line="256" w:lineRule="auto"/>
        <w:rPr>
          <w:sz w:val="20"/>
          <w:szCs w:val="20"/>
          <w:color w:val="auto"/>
        </w:rPr>
      </w:pPr>
      <w:r>
        <w:rPr>
          <w:rFonts w:ascii="Arial" w:cs="Arial" w:eastAsia="Arial" w:hAnsi="Arial"/>
          <w:sz w:val="18"/>
          <w:szCs w:val="18"/>
          <w:color w:val="auto"/>
        </w:rPr>
        <w:t>required by law to be withheld with respect to such amount. Unless otherwise determined by the Corporation, withholding obligations may be settled with Common Stock, including Common Stock that is part of the Award that gives rise to the withholding requirement, having a Fair Market Value on the date of withholding equal to the amount required to be withheld for tax purposes, all in accordance with such procedures as the Committee establishes. The obligations of the Corporation under this Plan shall be conditional on such payment or arrangements, and the Corporation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75" w:lineRule="exact"/>
        <w:rPr>
          <w:sz w:val="20"/>
          <w:szCs w:val="20"/>
          <w:color w:val="auto"/>
        </w:rPr>
      </w:pPr>
    </w:p>
    <w:p>
      <w:pPr>
        <w:jc w:val="both"/>
        <w:ind w:left="252" w:right="20" w:hanging="252"/>
        <w:spacing w:after="0" w:line="268" w:lineRule="auto"/>
        <w:tabs>
          <w:tab w:leader="none" w:pos="25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Any dividends or dividend equivalents credited with respect to any Award will be subject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time- and/or performance-based vesting conditions applicable to such Award and shall, if vested, be delivered or paid at the same time as such Award.</w:t>
      </w:r>
    </w:p>
    <w:p>
      <w:pPr>
        <w:spacing w:after="0" w:line="62" w:lineRule="exact"/>
        <w:rPr>
          <w:rFonts w:ascii="Arial" w:cs="Arial" w:eastAsia="Arial" w:hAnsi="Arial"/>
          <w:sz w:val="18"/>
          <w:szCs w:val="18"/>
          <w:color w:val="auto"/>
        </w:rPr>
      </w:pPr>
    </w:p>
    <w:p>
      <w:pPr>
        <w:ind w:left="252" w:right="520" w:hanging="252"/>
        <w:spacing w:after="0" w:line="268" w:lineRule="auto"/>
        <w:tabs>
          <w:tab w:leader="none" w:pos="24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Designation of Death Beneficiary</w:t>
      </w:r>
      <w:r>
        <w:rPr>
          <w:rFonts w:ascii="Arial" w:cs="Arial" w:eastAsia="Arial" w:hAnsi="Arial"/>
          <w:sz w:val="18"/>
          <w:szCs w:val="18"/>
          <w:color w:val="auto"/>
        </w:rPr>
        <w:t>. To the extent the Committee permits beneficiary designations, the Committee may establish such</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as it deems appropriate for a Participant to designate a beneficiary to whom any amounts payable in the event of such Participant’s death are to be paid or by whom any rights of such Participant, after such Participant’s death, may be exercised.</w:t>
      </w:r>
    </w:p>
    <w:p>
      <w:pPr>
        <w:spacing w:after="0" w:line="62" w:lineRule="exact"/>
        <w:rPr>
          <w:rFonts w:ascii="Arial" w:cs="Arial" w:eastAsia="Arial" w:hAnsi="Arial"/>
          <w:sz w:val="18"/>
          <w:szCs w:val="18"/>
          <w:color w:val="auto"/>
        </w:rPr>
      </w:pPr>
    </w:p>
    <w:p>
      <w:pPr>
        <w:ind w:left="252" w:right="20" w:hanging="252"/>
        <w:spacing w:after="0" w:line="259" w:lineRule="auto"/>
        <w:tabs>
          <w:tab w:leader="none" w:pos="25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Governing Law and Interpretation</w:t>
      </w:r>
      <w:r>
        <w:rPr>
          <w:rFonts w:ascii="Arial" w:cs="Arial" w:eastAsia="Arial" w:hAnsi="Arial"/>
          <w:sz w:val="18"/>
          <w:szCs w:val="18"/>
          <w:color w:val="auto"/>
        </w:rPr>
        <w:t>. This Plan and all Awards made, and actions taken hereunder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Delaware, without reference to principles of conflict of laws. The captions of this Plan are not part of the provisions hereof and shall have no force or effect. Whenever the words “include,” “includes” or “including” are used in this Plan, they shall be deemed to be followed by the words “but not limited to” and the word “or” shall be understood to mean “and/or” where the context so requires.</w:t>
      </w:r>
    </w:p>
    <w:p>
      <w:pPr>
        <w:spacing w:after="0" w:line="71" w:lineRule="exact"/>
        <w:rPr>
          <w:rFonts w:ascii="Arial" w:cs="Arial" w:eastAsia="Arial" w:hAnsi="Arial"/>
          <w:sz w:val="18"/>
          <w:szCs w:val="18"/>
          <w:color w:val="auto"/>
        </w:rPr>
      </w:pPr>
    </w:p>
    <w:p>
      <w:pPr>
        <w:ind w:left="252" w:right="360" w:hanging="252"/>
        <w:spacing w:after="0" w:line="262" w:lineRule="auto"/>
        <w:tabs>
          <w:tab w:leader="none" w:pos="25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Awards under this Plan are not transferable except by will or by laws of descent and distribution. Furthermore, no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may enter into any agreement for the purpose of selling, transferring or otherwise engaging in any transaction that has the effect of exchanging his or her economic interest in any Award to another person or entity for a cash payment or other consideration unless first approved by a majority of the Corporation’s shareowners.</w:t>
      </w:r>
    </w:p>
    <w:p>
      <w:pPr>
        <w:spacing w:after="0" w:line="68" w:lineRule="exact"/>
        <w:rPr>
          <w:rFonts w:ascii="Arial" w:cs="Arial" w:eastAsia="Arial" w:hAnsi="Arial"/>
          <w:sz w:val="18"/>
          <w:szCs w:val="18"/>
          <w:color w:val="auto"/>
        </w:rPr>
      </w:pPr>
    </w:p>
    <w:p>
      <w:pPr>
        <w:ind w:left="252" w:hanging="252"/>
        <w:spacing w:after="0"/>
        <w:tabs>
          <w:tab w:leader="none" w:pos="25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Clawback Policies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92" w:right="120" w:hanging="333"/>
        <w:spacing w:after="0" w:line="287" w:lineRule="auto"/>
        <w:tabs>
          <w:tab w:leader="none" w:pos="592" w:val="left"/>
        </w:tabs>
        <w:numPr>
          <w:ilvl w:val="1"/>
          <w:numId w:val="36"/>
        </w:numPr>
        <w:rPr>
          <w:rFonts w:ascii="Arial" w:cs="Arial" w:eastAsia="Arial" w:hAnsi="Arial"/>
          <w:sz w:val="16"/>
          <w:szCs w:val="16"/>
          <w:color w:val="auto"/>
        </w:rPr>
      </w:pPr>
      <w:r>
        <w:rPr>
          <w:rFonts w:ascii="Arial" w:cs="Arial" w:eastAsia="Arial" w:hAnsi="Arial"/>
          <w:sz w:val="18"/>
          <w:szCs w:val="18"/>
          <w:color w:val="auto"/>
        </w:rPr>
        <w:t>All Awards granted under the Plan prior to December 6, 2020, remain subject to the terms and conditions of Section 14(i) of the Plan as in effect immediately prior to December 6, 2020.</w:t>
      </w:r>
    </w:p>
    <w:p>
      <w:pPr>
        <w:spacing w:after="0" w:line="44" w:lineRule="exact"/>
        <w:rPr>
          <w:rFonts w:ascii="Arial" w:cs="Arial" w:eastAsia="Arial" w:hAnsi="Arial"/>
          <w:sz w:val="16"/>
          <w:szCs w:val="16"/>
          <w:color w:val="auto"/>
        </w:rPr>
      </w:pPr>
    </w:p>
    <w:p>
      <w:pPr>
        <w:ind w:left="592" w:right="140" w:hanging="333"/>
        <w:spacing w:after="0" w:line="262" w:lineRule="auto"/>
        <w:tabs>
          <w:tab w:leader="none" w:pos="587" w:val="left"/>
        </w:tabs>
        <w:numPr>
          <w:ilvl w:val="1"/>
          <w:numId w:val="36"/>
        </w:numPr>
        <w:rPr>
          <w:rFonts w:ascii="Arial" w:cs="Arial" w:eastAsia="Arial" w:hAnsi="Arial"/>
          <w:sz w:val="16"/>
          <w:szCs w:val="16"/>
          <w:color w:val="auto"/>
        </w:rPr>
      </w:pPr>
      <w:r>
        <w:rPr>
          <w:rFonts w:ascii="Arial" w:cs="Arial" w:eastAsia="Arial" w:hAnsi="Arial"/>
          <w:sz w:val="18"/>
          <w:szCs w:val="18"/>
          <w:color w:val="auto"/>
        </w:rPr>
        <w:t>All Awards granted under the Plan (whether before, on or after December 6, 2020, including any proceeds from such Awards (whether paid in Shares or cash), shall be subject as applicable to any compensation clawback, recoupment or other similar policies required by law or regulations, or as adopted by the Board of Directors or the Human Capital &amp; Compensation Committee of the Board of Directors, as such policies may be in effect from time to time.</w:t>
      </w:r>
    </w:p>
    <w:p>
      <w:pPr>
        <w:spacing w:after="0" w:line="68" w:lineRule="exact"/>
        <w:rPr>
          <w:rFonts w:ascii="Arial" w:cs="Arial" w:eastAsia="Arial" w:hAnsi="Arial"/>
          <w:sz w:val="16"/>
          <w:szCs w:val="16"/>
          <w:color w:val="auto"/>
        </w:rPr>
      </w:pPr>
    </w:p>
    <w:p>
      <w:pPr>
        <w:ind w:left="592" w:right="160" w:hanging="333"/>
        <w:spacing w:after="0" w:line="287" w:lineRule="auto"/>
        <w:tabs>
          <w:tab w:leader="none" w:pos="583" w:val="left"/>
        </w:tabs>
        <w:numPr>
          <w:ilvl w:val="1"/>
          <w:numId w:val="36"/>
        </w:numPr>
        <w:rPr>
          <w:rFonts w:ascii="Arial" w:cs="Arial" w:eastAsia="Arial" w:hAnsi="Arial"/>
          <w:sz w:val="16"/>
          <w:szCs w:val="16"/>
          <w:color w:val="auto"/>
        </w:rPr>
      </w:pPr>
      <w:r>
        <w:rPr>
          <w:rFonts w:ascii="Arial" w:cs="Arial" w:eastAsia="Arial" w:hAnsi="Arial"/>
          <w:sz w:val="18"/>
          <w:szCs w:val="18"/>
          <w:i w:val="1"/>
          <w:iCs w:val="1"/>
          <w:color w:val="auto"/>
        </w:rPr>
        <w:t>Effect of Change-in-Control</w:t>
      </w:r>
      <w:r>
        <w:rPr>
          <w:rFonts w:ascii="Arial" w:cs="Arial" w:eastAsia="Arial" w:hAnsi="Arial"/>
          <w:sz w:val="18"/>
          <w:szCs w:val="18"/>
          <w:color w:val="auto"/>
        </w:rPr>
        <w:t>. Notwithstanding the foregoing and notwithstanding anything to the contrary in any Award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this Section 14(i) shall not be applicable to any Participant following a Change-in-Control, except as required by law.</w:t>
      </w:r>
    </w:p>
    <w:p>
      <w:pPr>
        <w:spacing w:after="0" w:line="44" w:lineRule="exact"/>
        <w:rPr>
          <w:rFonts w:ascii="Arial" w:cs="Arial" w:eastAsia="Arial" w:hAnsi="Arial"/>
          <w:sz w:val="16"/>
          <w:szCs w:val="16"/>
          <w:color w:val="auto"/>
        </w:rPr>
      </w:pPr>
    </w:p>
    <w:p>
      <w:pPr>
        <w:ind w:left="592" w:right="60" w:hanging="333"/>
        <w:spacing w:after="0" w:line="268" w:lineRule="auto"/>
        <w:tabs>
          <w:tab w:leader="none" w:pos="580" w:val="left"/>
        </w:tabs>
        <w:numPr>
          <w:ilvl w:val="1"/>
          <w:numId w:val="36"/>
        </w:numPr>
        <w:rPr>
          <w:rFonts w:ascii="Arial" w:cs="Arial" w:eastAsia="Arial" w:hAnsi="Arial"/>
          <w:sz w:val="16"/>
          <w:szCs w:val="16"/>
          <w:color w:val="auto"/>
        </w:rPr>
      </w:pPr>
      <w:r>
        <w:rPr>
          <w:rFonts w:ascii="Arial" w:cs="Arial" w:eastAsia="Arial" w:hAnsi="Arial"/>
          <w:sz w:val="18"/>
          <w:szCs w:val="18"/>
          <w:i w:val="1"/>
          <w:iCs w:val="1"/>
          <w:color w:val="auto"/>
        </w:rPr>
        <w:t>Nonexclusive Remedy</w:t>
      </w:r>
      <w:r>
        <w:rPr>
          <w:rFonts w:ascii="Arial" w:cs="Arial" w:eastAsia="Arial" w:hAnsi="Arial"/>
          <w:sz w:val="18"/>
          <w:szCs w:val="18"/>
          <w:color w:val="auto"/>
        </w:rPr>
        <w:t>. This Section 14(i) shall be a nonexclusive remedy and nothing contained in this Section 14(i) shall preclude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from pursuing any other applicable remedies available to it, whether in addition to, or in lieu of (except as required by law) application of this Section 14(i).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12"/>
          </w:cols>
          <w:pgMar w:left="328" w:top="1440" w:right="3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52" w:lineRule="exact"/>
        <w:rPr>
          <w:sz w:val="20"/>
          <w:szCs w:val="20"/>
          <w:color w:val="auto"/>
        </w:rPr>
      </w:pPr>
    </w:p>
    <w:p>
      <w:pPr>
        <w:ind w:right="740"/>
        <w:spacing w:after="0" w:line="250" w:lineRule="auto"/>
        <w:rPr>
          <w:sz w:val="20"/>
          <w:szCs w:val="20"/>
          <w:color w:val="auto"/>
        </w:rPr>
      </w:pPr>
      <w:r>
        <w:rPr>
          <w:rFonts w:ascii="Times New Roman" w:cs="Times New Roman" w:eastAsia="Times New Roman" w:hAnsi="Times New Roman"/>
          <w:sz w:val="18"/>
          <w:szCs w:val="18"/>
          <w:color w:val="auto"/>
        </w:rPr>
        <w:t>We are aware that our report dated July 25, 2024 on our review of interim financial information of RTX Corporation, which appears in this Quarterly Report on Form 10-Q, is incorporated by reference in the Registration Statements on Form S-3 (No. 333-267564) and S-8 (Nos. 333-273420, 333-273414, 333-234085, 333-228649, 333-225839, 333-197704, 333-175781, 333-150643, 333-125293, 333-110020, and 333-100724) of RTX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Calio,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CALIO</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Calio</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RTX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June 30, 2024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ectPr>
          <w:pgSz w:w="11900" w:h="16838" w:orient="portrait"/>
          <w:cols w:equalWidth="0" w:num="1">
            <w:col w:w="11240"/>
          </w:cols>
          <w:pgMar w:left="320" w:top="887" w:right="339" w:bottom="1440" w:gutter="0" w:footer="0" w:header="0"/>
        </w:sectPr>
      </w:pPr>
    </w:p>
    <w:p>
      <w:pPr>
        <w:spacing w:after="0" w:line="36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25,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25,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25, 2024</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T.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T. Calio</w:t>
      </w:r>
    </w:p>
    <w:p>
      <w:pPr>
        <w:spacing w:after="0" w:line="27"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G. Mitchill,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L. Johnson</w:t>
      </w:r>
    </w:p>
    <w:p>
      <w:pPr>
        <w:spacing w:after="0" w:line="27"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7"/>
          <w:szCs w:val="17"/>
          <w:color w:val="auto"/>
        </w:rPr>
        <w:t>Corporate Vice President and Controller</w:t>
      </w:r>
    </w:p>
    <w:sectPr>
      <w:pgSz w:w="11900" w:h="16838" w:orient="portrait"/>
      <w:cols w:equalWidth="0" w:num="2">
        <w:col w:w="4380" w:space="720"/>
        <w:col w:w="61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5"/>
    </w:lvl>
  </w:abstractNum>
  <w:abstractNum w:abstractNumId="16">
    <w:nsid w:val="2CA88611"/>
    <w:multiLevelType w:val="hybridMultilevel"/>
    <w:lvl w:ilvl="0">
      <w:lvlJc w:val="left"/>
      <w:lvlText w:val="%1."/>
      <w:numFmt w:val="lowerLetter"/>
      <w:start w:val="27"/>
    </w:lvl>
  </w:abstractNum>
  <w:abstractNum w:abstractNumId="17">
    <w:nsid w:val="836C40E"/>
    <w:multiLevelType w:val="hybridMultilevel"/>
    <w:lvl w:ilvl="0">
      <w:lvlJc w:val="left"/>
      <w:lvlText w:val="%1."/>
      <w:numFmt w:val="lowerLetter"/>
      <w:start w:val="1"/>
    </w:lvl>
    <w:lvl w:ilvl="1">
      <w:lvlJc w:val="left"/>
      <w:lvlText w:val="%2."/>
      <w:numFmt w:val="lowerRoman"/>
      <w:start w:val="1"/>
    </w:lvl>
  </w:abstractNum>
  <w:abstractNum w:abstractNumId="18">
    <w:nsid w:val="2901D82"/>
    <w:multiLevelType w:val="hybridMultilevel"/>
    <w:lvl w:ilvl="0">
      <w:lvlJc w:val="left"/>
      <w:lvlText w:val="%1"/>
      <w:numFmt w:val="lowerLetter"/>
      <w:start w:val="1"/>
    </w:lvl>
    <w:lvl w:ilvl="1">
      <w:lvlJc w:val="left"/>
      <w:lvlText w:val="%2."/>
      <w:numFmt w:val="lowerRoman"/>
      <w:start w:val="6"/>
    </w:lvl>
  </w:abstractNum>
  <w:abstractNum w:abstractNumId="19">
    <w:nsid w:val="3A95F874"/>
    <w:multiLevelType w:val="hybridMultilevel"/>
    <w:lvl w:ilvl="0">
      <w:lvlJc w:val="left"/>
      <w:lvlText w:val="%1."/>
      <w:numFmt w:val="lowerLetter"/>
      <w:start w:val="2"/>
    </w:lvl>
    <w:lvl w:ilvl="1">
      <w:lvlJc w:val="left"/>
      <w:lvlText w:val="%2."/>
      <w:numFmt w:val="lowerRoman"/>
      <w:start w:val="1"/>
    </w:lvl>
  </w:abstractNum>
  <w:abstractNum w:abstractNumId="20">
    <w:nsid w:val="8138641"/>
    <w:multiLevelType w:val="hybridMultilevel"/>
    <w:lvl w:ilvl="0">
      <w:lvlJc w:val="left"/>
      <w:lvlText w:val="%1."/>
      <w:numFmt w:val="lowerLetter"/>
      <w:start w:val="7"/>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5"/>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8"/>
    </w:lvl>
  </w:abstractNum>
  <w:abstractNum w:abstractNumId="25">
    <w:nsid w:val="22221A70"/>
    <w:multiLevelType w:val="hybridMultilevel"/>
    <w:lvl w:ilvl="0">
      <w:lvlJc w:val="left"/>
      <w:lvlText w:val="%1."/>
      <w:numFmt w:val="lowerLetter"/>
      <w:start w:val="1"/>
    </w:lvl>
    <w:lvl w:ilvl="1">
      <w:lvlJc w:val="left"/>
      <w:lvlText w:val="%2."/>
      <w:numFmt w:val="lowerRoman"/>
      <w:start w:val="1"/>
    </w:lvl>
  </w:abstractNum>
  <w:abstractNum w:abstractNumId="26">
    <w:nsid w:val="4516DDE9"/>
    <w:multiLevelType w:val="hybridMultilevel"/>
    <w:lvl w:ilvl="0">
      <w:lvlJc w:val="left"/>
      <w:lvlText w:val="%1."/>
      <w:numFmt w:val="lowerLetter"/>
      <w:start w:val="5"/>
    </w:lvl>
  </w:abstractNum>
  <w:abstractNum w:abstractNumId="27">
    <w:nsid w:val="3006C83E"/>
    <w:multiLevelType w:val="hybridMultilevel"/>
    <w:lvl w:ilvl="0">
      <w:lvlJc w:val="left"/>
      <w:lvlText w:val="%1."/>
      <w:numFmt w:val="lowerLetter"/>
      <w:start w:val="1"/>
    </w:lvl>
    <w:lvl w:ilvl="1">
      <w:lvlJc w:val="left"/>
      <w:lvlText w:val="%2."/>
      <w:numFmt w:val="lowerRoman"/>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lvl w:ilvl="1">
      <w:lvlJc w:val="left"/>
      <w:lvlText w:val="%2."/>
      <w:numFmt w:val="lowerRoman"/>
      <w:start w:val="1"/>
    </w:lvl>
  </w:abstractNum>
  <w:abstractNum w:abstractNumId="30">
    <w:nsid w:val="5577F8E1"/>
    <w:multiLevelType w:val="hybridMultilevel"/>
    <w:lvl w:ilvl="0">
      <w:lvlJc w:val="left"/>
      <w:lvlText w:val="%1."/>
      <w:numFmt w:val="lowerLetter"/>
      <w:start w:val="6"/>
    </w:lvl>
    <w:lvl w:ilvl="1">
      <w:lvlJc w:val="left"/>
      <w:lvlText w:val="%2"/>
      <w:numFmt w:val="lowerRoman"/>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lvl w:ilvl="1">
      <w:lvlJc w:val="left"/>
      <w:lvlText w:val="%2."/>
      <w:numFmt w:val="lowerRoman"/>
      <w:start w:val="1"/>
    </w:lvl>
  </w:abstractNum>
  <w:abstractNum w:abstractNumId="33">
    <w:nsid w:val="3804823E"/>
    <w:multiLevelType w:val="hybridMultilevel"/>
    <w:lvl w:ilvl="0">
      <w:lvlJc w:val="left"/>
      <w:lvlText w:val="%1."/>
      <w:numFmt w:val="lowerLetter"/>
      <w:start w:val="2"/>
    </w:lvl>
  </w:abstractNum>
  <w:abstractNum w:abstractNumId="34">
    <w:nsid w:val="77465F01"/>
    <w:multiLevelType w:val="hybridMultilevel"/>
    <w:lvl w:ilvl="0">
      <w:lvlJc w:val="left"/>
      <w:lvlText w:val="%1."/>
      <w:numFmt w:val="lowerLetter"/>
      <w:start w:val="1"/>
    </w:lvl>
    <w:lvl w:ilvl="1">
      <w:lvlJc w:val="left"/>
      <w:lvlText w:val="%2."/>
      <w:numFmt w:val="lowerRoman"/>
      <w:start w:val="1"/>
    </w:lvl>
  </w:abstractNum>
  <w:abstractNum w:abstractNumId="35">
    <w:nsid w:val="7724C67E"/>
    <w:multiLevelType w:val="hybridMultilevel"/>
    <w:lvl w:ilvl="0">
      <w:lvlJc w:val="left"/>
      <w:lvlText w:val="%1."/>
      <w:numFmt w:val="lowerLetter"/>
      <w:start w:val="5"/>
    </w:lvl>
    <w:lvl w:ilvl="1">
      <w:lvlJc w:val="left"/>
      <w:lvlText w:val="%2."/>
      <w:numFmt w:val="lowerRoman"/>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2024-07-25T15:59:03Z</dcterms:created>
  <dcterms:modified xsi:type="dcterms:W3CDTF">2024-07-25T15:59:03Z</dcterms:modified>
</cp:coreProperties>
</file>