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 </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pPr>
      <w:r>
        <w:rPr>
          <w:rFonts w:ascii="Times New Roman;serif" w:hAnsi="Times New Roman;serif"/>
          <w:b/>
          <w:color w:val="000000"/>
          <w:sz w:val="24"/>
        </w:rPr>
        <w:t xml:space="preserve">Date of Report (Date of earliest event reported): </w:t>
      </w:r>
      <w:r>
        <w:rPr>
          <w:rFonts w:ascii="Times New Roman;serif" w:hAnsi="Times New Roman;serif"/>
          <w:b w:val="false"/>
          <w:color w:val="000000"/>
          <w:sz w:val="20"/>
        </w:rPr>
        <w:t>July 23, 2026</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 </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 xml:space="preserve">RTX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6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 </w:t>
      </w:r>
    </w:p>
    <w:tbl>
      <w:tblPr>
        <w:tblW w:w="4617" w:type="dxa"/>
        <w:jc w:val="center"/>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001-00812</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06-0570975</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4650" w:type="dxa"/>
        <w:jc w:val="center"/>
        <w:tblInd w:w="0" w:type="dxa"/>
        <w:tblLayout w:type="fixed"/>
        <w:tblCellMar>
          <w:top w:w="28" w:type="dxa"/>
          <w:left w:w="28" w:type="dxa"/>
          <w:bottom w:w="28" w:type="dxa"/>
          <w:right w:w="28" w:type="dxa"/>
        </w:tblCellMar>
      </w:tblPr>
      <w:tblGrid>
        <w:gridCol w:w="788"/>
        <w:gridCol w:w="692"/>
        <w:gridCol w:w="694"/>
        <w:gridCol w:w="324"/>
        <w:gridCol w:w="324"/>
        <w:gridCol w:w="326"/>
        <w:gridCol w:w="275"/>
        <w:gridCol w:w="275"/>
        <w:gridCol w:w="276"/>
        <w:gridCol w:w="198"/>
        <w:gridCol w:w="198"/>
        <w:gridCol w:w="280"/>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1000 Wilson Boulevard,</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Arlington,</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22209</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tbl>
      <w:tblPr>
        <w:tblW w:w="1499" w:type="dxa"/>
        <w:jc w:val="center"/>
        <w:tblInd w:w="0" w:type="dxa"/>
        <w:tblLayout w:type="fixed"/>
        <w:tblCellMar>
          <w:top w:w="28" w:type="dxa"/>
          <w:left w:w="28" w:type="dxa"/>
          <w:bottom w:w="28" w:type="dxa"/>
          <w:right w:w="28" w:type="dxa"/>
        </w:tblCellMar>
      </w:tblPr>
      <w:tblGrid>
        <w:gridCol w:w="200"/>
        <w:gridCol w:w="177"/>
        <w:gridCol w:w="178"/>
        <w:gridCol w:w="276"/>
        <w:gridCol w:w="276"/>
        <w:gridCol w:w="39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(781)</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522-3000</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14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486" w:type="dxa"/>
        <w:jc w:val="center"/>
        <w:tblInd w:w="0" w:type="dxa"/>
        <w:tblLayout w:type="fixed"/>
        <w:tblCellMar>
          <w:top w:w="28" w:type="dxa"/>
          <w:left w:w="28" w:type="dxa"/>
          <w:bottom w:w="28" w:type="dxa"/>
          <w:right w:w="28" w:type="dxa"/>
        </w:tblCellMar>
      </w:tblPr>
      <w:tblGrid>
        <w:gridCol w:w="954"/>
        <w:gridCol w:w="838"/>
        <w:gridCol w:w="848"/>
        <w:gridCol w:w="564"/>
        <w:gridCol w:w="564"/>
        <w:gridCol w:w="566"/>
        <w:gridCol w:w="109"/>
        <w:gridCol w:w="109"/>
        <w:gridCol w:w="109"/>
        <w:gridCol w:w="1118"/>
        <w:gridCol w:w="1118"/>
        <w:gridCol w:w="1589"/>
      </w:tblGrid>
      <w:tr>
        <w:trPr/>
        <w:tc>
          <w:tcPr>
            <w:tcW w:w="95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($1 par value)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(CUSIP 75513E 101)</w:t>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2.150% Notes due 2030</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RTX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(CUSIP 75513E AB7)</w:t>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20" w:after="283"/>
        <w:ind w:left="0" w:right="0" w:firstLine="450"/>
        <w:jc w:val="left"/>
        <w:rPr/>
      </w:pPr>
      <w:r>
        <w:rPr>
          <w:rFonts w:ascii="Times New Roman;serif" w:hAnsi="Times New Roman;serif"/>
          <w:b w:val="false"/>
          <w:color w:val="000000"/>
          <w:sz w:val="20"/>
        </w:rPr>
        <w:t>Emerging growth company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Section 2—Financial Information</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00" w:after="283"/>
        <w:ind w:left="0" w:right="0" w:firstLine="495"/>
        <w:jc w:val="left"/>
        <w:rPr/>
      </w:pPr>
      <w:r>
        <w:rPr>
          <w:rFonts w:ascii="Times New Roman;serif" w:hAnsi="Times New Roman;serif"/>
          <w:b w:val="false"/>
          <w:color w:val="000000"/>
          <w:sz w:val="20"/>
        </w:rPr>
        <w:t>On July 23, 2026, RTX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issued a press release announcing its second quarter 2026 results.</w:t>
      </w:r>
    </w:p>
    <w:p>
      <w:pPr>
        <w:pStyle w:val="TextBody"/>
        <w:bidi w:val="0"/>
        <w:spacing w:lineRule="auto" w:line="288" w:before="180" w:after="283"/>
        <w:ind w:left="0" w:right="0" w:firstLine="495"/>
        <w:jc w:val="left"/>
        <w:rPr/>
      </w:pPr>
      <w:r>
        <w:rPr>
          <w:rFonts w:ascii="Times New Roman;serif" w:hAnsi="Times New Roman;serif"/>
          <w:b w:val="false"/>
          <w:color w:val="000000"/>
          <w:sz w:val="20"/>
        </w:rPr>
        <w:t>The press release issued July 23, 2026 is furnished herewith as Exhibit No. 99 to this Report, and shall not be deemed filed for the purposes of Section 18 of the Securities Exchange Act of 1934, as amended (the “</w:t>
      </w:r>
      <w:r>
        <w:rPr>
          <w:rFonts w:ascii="Times New Roman;serif" w:hAnsi="Times New Roman;serif"/>
          <w:b w:val="false"/>
          <w:color w:val="000000"/>
          <w:sz w:val="20"/>
          <w:u w:val="single"/>
        </w:rPr>
        <w:t>Exchange Act</w:t>
      </w:r>
      <w:r>
        <w:rPr>
          <w:color w:val="000000"/>
        </w:rPr>
        <w:t>”</w:t>
      </w:r>
      <w:r>
        <w:rPr>
          <w:rFonts w:ascii="Times New Roman;serif" w:hAnsi="Times New Roman;serif"/>
          <w:b w:val="false"/>
          <w:color w:val="000000"/>
          <w:sz w:val="20"/>
        </w:rPr>
        <w:t>), or otherwise subject to the liabilities of that Section and shall not be deemed to be incorporated by reference into any filing by the Company under the Securities Act of 1933, as amended, or the Exchange Act, except as shall be expressly set forth by specific reference in such a filing.</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Section 9—Financial Statements and Exhibits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9796" w:type="dxa"/>
        <w:jc w:val="left"/>
        <w:tblInd w:w="0" w:type="dxa"/>
        <w:tblLayout w:type="fixed"/>
        <w:tblCellMar>
          <w:top w:w="28" w:type="dxa"/>
          <w:left w:w="28" w:type="dxa"/>
          <w:bottom w:w="28" w:type="dxa"/>
          <w:right w:w="28" w:type="dxa"/>
        </w:tblCellMar>
      </w:tblPr>
      <w:tblGrid>
        <w:gridCol w:w="255"/>
        <w:gridCol w:w="225"/>
        <w:gridCol w:w="226"/>
        <w:gridCol w:w="2654"/>
        <w:gridCol w:w="2654"/>
        <w:gridCol w:w="378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8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left"/>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9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Description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7x238xkerexhibit99.htm">
              <w:r>
                <w:rPr>
                  <w:rStyle w:val="InternetLink"/>
                  <w:rFonts w:ascii="Times New Roman;serif" w:hAnsi="Times New Roman;serif"/>
                  <w:b w:val="false"/>
                  <w:color w:val="0000FF"/>
                  <w:sz w:val="20"/>
                  <w:u w:val="single"/>
                </w:rPr>
                <w:t>99</w:t>
              </w:r>
            </w:hyperlink>
          </w:p>
        </w:tc>
        <w:tc>
          <w:tcPr>
            <w:tcW w:w="90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7x238xkerexhibit99.htm">
              <w:r>
                <w:rPr>
                  <w:rStyle w:val="InternetLink"/>
                  <w:rFonts w:ascii="Times New Roman;serif" w:hAnsi="Times New Roman;serif"/>
                  <w:b w:val="false"/>
                  <w:color w:val="000080"/>
                  <w:sz w:val="20"/>
                  <w:u w:val="single"/>
                </w:rPr>
                <w:t xml:space="preserve">Press release, dated </w:t>
              </w:r>
            </w:hyperlink>
            <w:hyperlink w:anchor="a2026-07x238xkerexhibit99.htm">
              <w:r>
                <w:rPr>
                  <w:rStyle w:val="InternetLink"/>
                  <w:rFonts w:ascii="Times New Roman;serif" w:hAnsi="Times New Roman;serif"/>
                  <w:b w:val="false"/>
                  <w:color w:val="000080"/>
                  <w:sz w:val="20"/>
                  <w:u w:val="single"/>
                </w:rPr>
                <w:t xml:space="preserve">July </w:t>
              </w:r>
            </w:hyperlink>
            <w:hyperlink w:anchor="a2026-07x238xkerexhibit99.htm">
              <w:r>
                <w:rPr>
                  <w:rStyle w:val="InternetLink"/>
                  <w:rFonts w:ascii="Times New Roman;serif" w:hAnsi="Times New Roman;serif"/>
                  <w:b w:val="false"/>
                  <w:color w:val="000080"/>
                  <w:sz w:val="20"/>
                  <w:u w:val="single"/>
                </w:rPr>
                <w:t>2</w:t>
              </w:r>
            </w:hyperlink>
            <w:hyperlink w:anchor="a2026-07x238xkerexhibit99.htm">
              <w:r>
                <w:rPr>
                  <w:rStyle w:val="InternetLink"/>
                  <w:rFonts w:ascii="Times New Roman;serif" w:hAnsi="Times New Roman;serif"/>
                  <w:b w:val="false"/>
                  <w:color w:val="000080"/>
                  <w:sz w:val="20"/>
                  <w:u w:val="single"/>
                </w:rPr>
                <w:t>3</w:t>
              </w:r>
            </w:hyperlink>
            <w:hyperlink w:anchor="a2026-07x238xkerexhibit99.htm">
              <w:r>
                <w:rPr>
                  <w:rStyle w:val="InternetLink"/>
                  <w:rFonts w:ascii="Times New Roman;serif" w:hAnsi="Times New Roman;serif"/>
                  <w:b w:val="false"/>
                  <w:color w:val="000080"/>
                  <w:sz w:val="20"/>
                  <w:u w:val="single"/>
                </w:rPr>
                <w:t>, 2026, issued by RTX Corporation.</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689" w:type="dxa"/>
        <w:jc w:val="left"/>
        <w:tblInd w:w="0" w:type="dxa"/>
        <w:tblLayout w:type="fixed"/>
        <w:tblCellMar>
          <w:top w:w="28" w:type="dxa"/>
          <w:left w:w="28" w:type="dxa"/>
          <w:bottom w:w="28" w:type="dxa"/>
          <w:right w:w="28" w:type="dxa"/>
        </w:tblCellMar>
      </w:tblPr>
      <w:tblGrid>
        <w:gridCol w:w="634"/>
        <w:gridCol w:w="559"/>
        <w:gridCol w:w="562"/>
        <w:gridCol w:w="320"/>
        <w:gridCol w:w="320"/>
        <w:gridCol w:w="320"/>
        <w:gridCol w:w="1161"/>
        <w:gridCol w:w="1161"/>
        <w:gridCol w:w="1652"/>
      </w:tblGrid>
      <w:tr>
        <w:trPr/>
        <w:tc>
          <w:tcPr>
            <w:tcW w:w="63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RTX CORPORATION</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(Registrant)</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23, 2026 </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NEIL G. MITCHILL JR.</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Neil G. Mitchill Jr.</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Executive Vice President and Chief Financial Officer</w:t>
            </w:r>
          </w:p>
        </w:tc>
      </w:tr>
    </w:tbl>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5"/>
        </w:rPr>
      </w:pPr>
      <w:r>
        <w:rPr>
          <w:rFonts w:ascii="Arial;sans-serif" w:hAnsi="Arial;sans-serif"/>
          <w:b/>
          <w:color w:val="000000"/>
          <w:sz w:val="15"/>
        </w:rPr>
        <w:t>Exhibit 99</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6.5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4298" w:type="dxa"/>
        <w:jc w:val="left"/>
        <w:tblInd w:w="0" w:type="dxa"/>
        <w:tblLayout w:type="fixed"/>
        <w:tblCellMar>
          <w:top w:w="28" w:type="dxa"/>
          <w:left w:w="28" w:type="dxa"/>
          <w:bottom w:w="28" w:type="dxa"/>
          <w:right w:w="28" w:type="dxa"/>
        </w:tblCellMar>
      </w:tblPr>
      <w:tblGrid>
        <w:gridCol w:w="950"/>
        <w:gridCol w:w="835"/>
        <w:gridCol w:w="836"/>
        <w:gridCol w:w="109"/>
        <w:gridCol w:w="109"/>
        <w:gridCol w:w="109"/>
        <w:gridCol w:w="394"/>
        <w:gridCol w:w="394"/>
        <w:gridCol w:w="562"/>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262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00200" cy="6096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00200" cy="6096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666465"/>
                <w:sz w:val="15"/>
              </w:rPr>
            </w:pPr>
            <w:r>
              <w:rPr>
                <w:rFonts w:ascii="Arial;sans-serif" w:hAnsi="Arial;sans-serif"/>
                <w:b/>
                <w:color w:val="666465"/>
                <w:sz w:val="15"/>
              </w:rPr>
              <w:t>Media Contact</w:t>
            </w:r>
          </w:p>
        </w:tc>
      </w:tr>
      <w:tr>
        <w:trPr/>
        <w:tc>
          <w:tcPr>
            <w:tcW w:w="26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6D6D6D"/>
                <w:sz w:val="15"/>
              </w:rPr>
            </w:pPr>
            <w:r>
              <w:rPr>
                <w:rFonts w:ascii="Arial;sans-serif" w:hAnsi="Arial;sans-serif"/>
                <w:b w:val="false"/>
                <w:color w:val="6D6D6D"/>
                <w:sz w:val="15"/>
              </w:rPr>
              <w:t>202.384.2474</w:t>
            </w:r>
          </w:p>
        </w:tc>
      </w:tr>
      <w:tr>
        <w:trPr/>
        <w:tc>
          <w:tcPr>
            <w:tcW w:w="26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666465"/>
                <w:sz w:val="15"/>
              </w:rPr>
            </w:pPr>
            <w:r>
              <w:rPr>
                <w:rFonts w:ascii="Arial;sans-serif" w:hAnsi="Arial;sans-serif"/>
                <w:b/>
                <w:color w:val="666465"/>
                <w:sz w:val="15"/>
              </w:rPr>
              <w:t>Investor Contact</w:t>
            </w:r>
          </w:p>
        </w:tc>
      </w:tr>
      <w:tr>
        <w:trPr/>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666465"/>
                <w:sz w:val="15"/>
              </w:rPr>
            </w:pPr>
            <w:r>
              <w:rPr>
                <w:rFonts w:ascii="Arial;sans-serif" w:hAnsi="Arial;sans-serif"/>
                <w:b w:val="false"/>
                <w:color w:val="666465"/>
                <w:sz w:val="15"/>
              </w:rPr>
              <w:t>781.522.5123</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76" w:before="0" w:after="0"/>
        <w:jc w:val="center"/>
        <w:rPr>
          <w:rFonts w:ascii="Arial;sans-serif" w:hAnsi="Arial;sans-serif"/>
          <w:b/>
          <w:color w:val="000000"/>
          <w:sz w:val="32"/>
        </w:rPr>
      </w:pPr>
      <w:r>
        <w:rPr>
          <w:rFonts w:ascii="Arial;sans-serif" w:hAnsi="Arial;sans-serif"/>
          <w:b/>
          <w:color w:val="000000"/>
          <w:sz w:val="32"/>
        </w:rPr>
        <w:t>RTX Reports Q2 2026 Results</w:t>
      </w:r>
    </w:p>
    <w:p>
      <w:pPr>
        <w:pStyle w:val="TextBody"/>
        <w:bidi w:val="0"/>
        <w:spacing w:before="0" w:after="0"/>
        <w:jc w:val="center"/>
        <w:rPr/>
      </w:pPr>
      <w:r>
        <w:rPr/>
      </w:r>
    </w:p>
    <w:p>
      <w:pPr>
        <w:pStyle w:val="TextBody"/>
        <w:bidi w:val="0"/>
        <w:spacing w:lineRule="auto" w:line="276" w:before="0" w:after="0"/>
        <w:jc w:val="center"/>
        <w:rPr>
          <w:rFonts w:ascii="Arial;sans-serif" w:hAnsi="Arial;sans-serif"/>
          <w:b/>
          <w:i/>
          <w:color w:val="000000"/>
          <w:sz w:val="24"/>
        </w:rPr>
      </w:pPr>
      <w:r>
        <w:rPr>
          <w:rFonts w:ascii="Arial;sans-serif" w:hAnsi="Arial;sans-serif"/>
          <w:b/>
          <w:i/>
          <w:color w:val="000000"/>
          <w:sz w:val="24"/>
        </w:rPr>
        <w:t>RTX delivers double-digit sales and earnings growth in Q2;</w:t>
      </w:r>
    </w:p>
    <w:p>
      <w:pPr>
        <w:pStyle w:val="TextBody"/>
        <w:bidi w:val="0"/>
        <w:spacing w:lineRule="auto" w:line="276" w:before="0" w:after="0"/>
        <w:jc w:val="center"/>
        <w:rPr>
          <w:rFonts w:ascii="Arial;sans-serif" w:hAnsi="Arial;sans-serif"/>
          <w:b/>
          <w:i/>
          <w:color w:val="000000"/>
          <w:sz w:val="24"/>
        </w:rPr>
      </w:pPr>
      <w:r>
        <w:rPr>
          <w:rFonts w:ascii="Arial;sans-serif" w:hAnsi="Arial;sans-serif"/>
          <w:b/>
          <w:i/>
          <w:color w:val="000000"/>
          <w:sz w:val="24"/>
        </w:rPr>
        <w:t>Raises 2026 outlook for adjusted sales,* adjusted EPS,* and free cash flow*</w:t>
      </w:r>
    </w:p>
    <w:p>
      <w:pPr>
        <w:pStyle w:val="TextBody"/>
        <w:bidi w:val="0"/>
        <w:spacing w:before="0" w:after="0"/>
        <w:jc w:val="center"/>
        <w:rPr/>
      </w:pPr>
      <w:r>
        <w:rPr/>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ARLINGTON, Va., July 23, 2026 – RTX (NYSE: RTX) reports second quarter 2026 results.</w:t>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20"/>
          <w:u w:val="single"/>
        </w:rPr>
      </w:pPr>
      <w:r>
        <w:rPr>
          <w:rFonts w:ascii="Arial;sans-serif" w:hAnsi="Arial;sans-serif"/>
          <w:b w:val="false"/>
          <w:color w:val="000000"/>
          <w:sz w:val="20"/>
          <w:u w:val="single"/>
        </w:rPr>
        <w:t>Second quarter 2026</w:t>
      </w:r>
    </w:p>
    <w:p>
      <w:pPr>
        <w:pStyle w:val="TextBody"/>
        <w:bidi w:val="0"/>
        <w:spacing w:lineRule="auto" w:line="360" w:before="0" w:after="0"/>
        <w:ind w:left="0" w:right="0" w:hanging="360"/>
        <w:jc w:val="left"/>
        <w:rPr/>
      </w:pPr>
      <w:r>
        <w:rPr>
          <w:color w:val="000000"/>
        </w:rPr>
        <w:t>•</w:t>
      </w:r>
      <w:r>
        <w:rPr>
          <w:rFonts w:ascii="Arial;sans-serif" w:hAnsi="Arial;sans-serif"/>
          <w:b w:val="false"/>
          <w:color w:val="000000"/>
          <w:sz w:val="20"/>
        </w:rPr>
        <w:t>Sales of $24.7 billion, up 14 percent versus prior year, and up 16 percent organically*</w:t>
      </w:r>
    </w:p>
    <w:p>
      <w:pPr>
        <w:pStyle w:val="TextBody"/>
        <w:bidi w:val="0"/>
        <w:spacing w:lineRule="auto" w:line="360" w:before="0" w:after="0"/>
        <w:ind w:left="0" w:right="0" w:hanging="360"/>
        <w:jc w:val="left"/>
        <w:rPr/>
      </w:pPr>
      <w:r>
        <w:rPr>
          <w:color w:val="000000"/>
          <w:shd w:fill="FFFFFF" w:val="clear"/>
        </w:rPr>
        <w:t>•</w:t>
      </w:r>
      <w:r>
        <w:rPr>
          <w:rFonts w:ascii="Arial;sans-serif" w:hAnsi="Arial;sans-serif"/>
          <w:b w:val="false"/>
          <w:color w:val="000000"/>
          <w:sz w:val="20"/>
          <w:shd w:fill="FFFFFF" w:val="clear"/>
        </w:rPr>
        <w:t>GAAP EPS of $1.57, including</w:t>
      </w:r>
      <w:r>
        <w:rPr>
          <w:color w:val="000000"/>
        </w:rPr>
        <w:t xml:space="preserve"> </w:t>
      </w:r>
      <w:r>
        <w:rPr>
          <w:rFonts w:ascii="Arial;sans-serif" w:hAnsi="Arial;sans-serif"/>
          <w:b w:val="false"/>
          <w:color w:val="000000"/>
          <w:sz w:val="20"/>
        </w:rPr>
        <w:t>$0.27 of</w:t>
      </w:r>
      <w:r>
        <w:rPr>
          <w:color w:val="000000"/>
          <w:shd w:fill="FFFFFF" w:val="clear"/>
        </w:rPr>
        <w:t xml:space="preserve"> </w:t>
      </w:r>
      <w:r>
        <w:rPr>
          <w:rFonts w:ascii="Arial;sans-serif" w:hAnsi="Arial;sans-serif"/>
          <w:b w:val="false"/>
          <w:color w:val="000000"/>
          <w:sz w:val="20"/>
          <w:shd w:fill="FFFFFF" w:val="clear"/>
        </w:rPr>
        <w:t>acquisition accounting adjustments and $0.0</w:t>
      </w:r>
      <w:r>
        <w:rPr>
          <w:rFonts w:ascii="Arial;sans-serif" w:hAnsi="Arial;sans-serif"/>
          <w:b w:val="false"/>
          <w:color w:val="000000"/>
          <w:sz w:val="20"/>
        </w:rPr>
        <w:t>5 of restructuring and other net significant and/or non-recurring items</w:t>
      </w:r>
    </w:p>
    <w:p>
      <w:pPr>
        <w:pStyle w:val="TextBody"/>
        <w:bidi w:val="0"/>
        <w:spacing w:lineRule="auto" w:line="360" w:before="0" w:after="0"/>
        <w:ind w:left="0" w:right="0" w:hanging="360"/>
        <w:jc w:val="left"/>
        <w:rPr/>
      </w:pPr>
      <w:r>
        <w:rPr>
          <w:color w:val="000000"/>
          <w:shd w:fill="FFFFFF" w:val="clear"/>
        </w:rPr>
        <w:t>•</w:t>
      </w:r>
      <w:r>
        <w:rPr>
          <w:rFonts w:ascii="Arial;sans-serif" w:hAnsi="Arial;sans-serif"/>
          <w:b w:val="false"/>
          <w:color w:val="000000"/>
          <w:sz w:val="20"/>
          <w:shd w:fill="FFFFFF" w:val="clear"/>
        </w:rPr>
        <w:t xml:space="preserve">Adjusted EPS* of </w:t>
      </w:r>
      <w:r>
        <w:rPr>
          <w:rFonts w:ascii="Arial;sans-serif" w:hAnsi="Arial;sans-serif"/>
          <w:b w:val="false"/>
          <w:color w:val="000000"/>
          <w:sz w:val="20"/>
        </w:rPr>
        <w:t>$1.89</w:t>
      </w:r>
      <w:r>
        <w:rPr>
          <w:rFonts w:ascii="Arial;sans-serif" w:hAnsi="Arial;sans-serif"/>
          <w:b w:val="false"/>
          <w:color w:val="000000"/>
          <w:sz w:val="20"/>
          <w:shd w:fill="FFFFFF" w:val="clear"/>
        </w:rPr>
        <w:t>, up</w:t>
      </w:r>
      <w:r>
        <w:rPr>
          <w:color w:val="000000"/>
        </w:rPr>
        <w:t xml:space="preserve"> </w:t>
      </w:r>
      <w:r>
        <w:rPr>
          <w:rFonts w:ascii="Arial;sans-serif" w:hAnsi="Arial;sans-serif"/>
          <w:b w:val="false"/>
          <w:color w:val="000000"/>
          <w:sz w:val="20"/>
        </w:rPr>
        <w:t>21 percent</w:t>
      </w:r>
      <w:r>
        <w:rPr>
          <w:color w:val="000000"/>
          <w:shd w:fill="FFFFFF" w:val="clear"/>
        </w:rPr>
        <w:t xml:space="preserve"> </w:t>
      </w:r>
      <w:r>
        <w:rPr>
          <w:rFonts w:ascii="Arial;sans-serif" w:hAnsi="Arial;sans-serif"/>
          <w:b w:val="false"/>
          <w:color w:val="000000"/>
          <w:sz w:val="20"/>
          <w:shd w:fill="FFFFFF" w:val="clear"/>
        </w:rPr>
        <w:t>versus prior year</w:t>
      </w:r>
    </w:p>
    <w:p>
      <w:pPr>
        <w:pStyle w:val="TextBody"/>
        <w:bidi w:val="0"/>
        <w:spacing w:lineRule="auto" w:line="360" w:before="0" w:after="0"/>
        <w:ind w:left="0" w:right="0" w:hanging="360"/>
        <w:jc w:val="left"/>
        <w:rPr/>
      </w:pPr>
      <w:r>
        <w:rPr>
          <w:color w:val="000000"/>
          <w:shd w:fill="FFFFFF" w:val="clear"/>
        </w:rPr>
        <w:t>•</w:t>
      </w:r>
      <w:r>
        <w:rPr>
          <w:rFonts w:ascii="Arial;sans-serif" w:hAnsi="Arial;sans-serif"/>
          <w:b w:val="false"/>
          <w:color w:val="000000"/>
          <w:sz w:val="20"/>
          <w:shd w:fill="FFFFFF" w:val="clear"/>
        </w:rPr>
        <w:t xml:space="preserve">Operating cash flow of </w:t>
      </w:r>
      <w:r>
        <w:rPr>
          <w:rFonts w:ascii="Arial;sans-serif" w:hAnsi="Arial;sans-serif"/>
          <w:b w:val="false"/>
          <w:color w:val="000000"/>
          <w:sz w:val="20"/>
        </w:rPr>
        <w:t>$3.5 billion</w:t>
      </w:r>
      <w:r>
        <w:rPr>
          <w:rFonts w:ascii="Arial;sans-serif" w:hAnsi="Arial;sans-serif"/>
          <w:b w:val="false"/>
          <w:color w:val="000000"/>
          <w:sz w:val="20"/>
          <w:shd w:fill="FFFFFF" w:val="clear"/>
        </w:rPr>
        <w:t>; free cash flow* of $2.9 billion</w:t>
      </w:r>
    </w:p>
    <w:p>
      <w:pPr>
        <w:pStyle w:val="TextBody"/>
        <w:bidi w:val="0"/>
        <w:spacing w:lineRule="auto" w:line="360" w:before="0" w:after="0"/>
        <w:ind w:left="0" w:right="0" w:hanging="360"/>
        <w:jc w:val="left"/>
        <w:rPr/>
      </w:pPr>
      <w:r>
        <w:rPr>
          <w:color w:val="000000"/>
          <w:shd w:fill="FFFFFF" w:val="clear"/>
        </w:rPr>
        <w:t>•</w:t>
      </w:r>
      <w:r>
        <w:rPr>
          <w:rFonts w:ascii="Arial;sans-serif" w:hAnsi="Arial;sans-serif"/>
          <w:b w:val="false"/>
          <w:color w:val="000000"/>
          <w:sz w:val="20"/>
          <w:shd w:fill="FFFFFF" w:val="clear"/>
        </w:rPr>
        <w:t>Company backlog of $289 billion, including</w:t>
      </w:r>
      <w:r>
        <w:rPr>
          <w:color w:val="000000"/>
        </w:rPr>
        <w:t xml:space="preserve"> </w:t>
      </w:r>
      <w:r>
        <w:rPr>
          <w:rFonts w:ascii="Arial;sans-serif" w:hAnsi="Arial;sans-serif"/>
          <w:b w:val="false"/>
          <w:color w:val="000000"/>
          <w:sz w:val="20"/>
        </w:rPr>
        <w:t>$170 billion of commercial and $119 billion of defense</w:t>
      </w:r>
    </w:p>
    <w:p>
      <w:pPr>
        <w:pStyle w:val="TextBody"/>
        <w:bidi w:val="0"/>
        <w:spacing w:lineRule="auto" w:line="360" w:before="0" w:after="0"/>
        <w:ind w:left="0" w:right="0" w:hanging="360"/>
        <w:jc w:val="left"/>
        <w:rPr/>
      </w:pPr>
      <w:r>
        <w:rPr>
          <w:color w:val="000000"/>
        </w:rPr>
        <w:t>•</w:t>
      </w:r>
      <w:r>
        <w:rPr>
          <w:rFonts w:ascii="Arial;sans-serif" w:hAnsi="Arial;sans-serif"/>
          <w:b w:val="false"/>
          <w:color w:val="000000"/>
          <w:sz w:val="20"/>
        </w:rPr>
        <w:t>Reached an agreement to sell Raytheon’s Blue Canyon Technologies business for $620 million</w:t>
      </w:r>
    </w:p>
    <w:p>
      <w:pPr>
        <w:pStyle w:val="TextBody"/>
        <w:bidi w:val="0"/>
        <w:spacing w:before="0" w:after="0"/>
        <w:ind w:left="0" w:right="0" w:firstLine="720"/>
        <w:jc w:val="left"/>
        <w:rPr/>
      </w:pPr>
      <w:r>
        <w:rPr/>
      </w:r>
    </w:p>
    <w:p>
      <w:pPr>
        <w:pStyle w:val="TextBody"/>
        <w:bidi w:val="0"/>
        <w:spacing w:lineRule="auto" w:line="360" w:before="0" w:after="0"/>
        <w:jc w:val="left"/>
        <w:rPr>
          <w:rFonts w:ascii="Arial;sans-serif" w:hAnsi="Arial;sans-serif"/>
          <w:b w:val="false"/>
          <w:color w:val="000000"/>
          <w:sz w:val="20"/>
          <w:u w:val="single"/>
        </w:rPr>
      </w:pPr>
      <w:r>
        <w:rPr>
          <w:rFonts w:ascii="Arial;sans-serif" w:hAnsi="Arial;sans-serif"/>
          <w:b w:val="false"/>
          <w:color w:val="000000"/>
          <w:sz w:val="20"/>
          <w:u w:val="single"/>
        </w:rPr>
        <w:t>Updates outlook for full year 2026</w:t>
      </w:r>
    </w:p>
    <w:p>
      <w:pPr>
        <w:pStyle w:val="TextBody"/>
        <w:bidi w:val="0"/>
        <w:spacing w:lineRule="auto" w:line="360" w:before="0" w:after="0"/>
        <w:ind w:left="0" w:right="0" w:hanging="360"/>
        <w:jc w:val="left"/>
        <w:rPr/>
      </w:pPr>
      <w:r>
        <w:rPr>
          <w:color w:val="000000"/>
          <w:shd w:fill="FFFFFF" w:val="clear"/>
        </w:rPr>
        <w:t>•</w:t>
      </w:r>
      <w:r>
        <w:rPr>
          <w:rFonts w:ascii="Arial;sans-serif" w:hAnsi="Arial;sans-serif"/>
          <w:b w:val="false"/>
          <w:color w:val="000000"/>
          <w:sz w:val="20"/>
          <w:shd w:fill="FFFFFF" w:val="clear"/>
        </w:rPr>
        <w:t>Adjusted sales* of $95.0 - $96.0 billion, up from $92.5 - $93.5 billion</w:t>
      </w:r>
    </w:p>
    <w:p>
      <w:pPr>
        <w:pStyle w:val="TextBody"/>
        <w:bidi w:val="0"/>
        <w:spacing w:lineRule="auto" w:line="360" w:before="0" w:after="0"/>
        <w:ind w:left="0" w:right="0" w:hanging="360"/>
        <w:jc w:val="left"/>
        <w:rPr/>
      </w:pPr>
      <w:r>
        <w:rPr>
          <w:color w:val="000000"/>
          <w:shd w:fill="FFFFFF" w:val="clear"/>
        </w:rPr>
        <w:t>•</w:t>
      </w:r>
      <w:r>
        <w:rPr>
          <w:rFonts w:ascii="Arial;sans-serif" w:hAnsi="Arial;sans-serif"/>
          <w:b w:val="false"/>
          <w:color w:val="000000"/>
          <w:sz w:val="20"/>
          <w:shd w:fill="FFFFFF" w:val="clear"/>
        </w:rPr>
        <w:t>Organic sales growth* of 8 to 9 percent, up from 5 to 6 percent</w:t>
      </w:r>
    </w:p>
    <w:p>
      <w:pPr>
        <w:pStyle w:val="TextBody"/>
        <w:bidi w:val="0"/>
        <w:spacing w:lineRule="auto" w:line="360" w:before="0" w:after="0"/>
        <w:ind w:left="0" w:right="0" w:hanging="360"/>
        <w:jc w:val="left"/>
        <w:rPr/>
      </w:pPr>
      <w:r>
        <w:rPr>
          <w:color w:val="000000"/>
          <w:shd w:fill="FFFFFF" w:val="clear"/>
        </w:rPr>
        <w:t>•</w:t>
      </w:r>
      <w:r>
        <w:rPr>
          <w:rFonts w:ascii="Arial;sans-serif" w:hAnsi="Arial;sans-serif"/>
          <w:b w:val="false"/>
          <w:color w:val="000000"/>
          <w:sz w:val="20"/>
          <w:shd w:fill="FFFFFF" w:val="clear"/>
        </w:rPr>
        <w:t>Adjusted EPS* of $7.10 - $7.25, up from $6.70 - $6.90</w:t>
      </w:r>
    </w:p>
    <w:p>
      <w:pPr>
        <w:pStyle w:val="TextBody"/>
        <w:bidi w:val="0"/>
        <w:spacing w:lineRule="auto" w:line="360" w:before="0" w:after="0"/>
        <w:ind w:left="0" w:right="0" w:hanging="360"/>
        <w:jc w:val="left"/>
        <w:rPr/>
      </w:pPr>
      <w:r>
        <w:rPr>
          <w:color w:val="000000"/>
        </w:rPr>
        <w:t>•</w:t>
      </w:r>
      <w:r>
        <w:rPr>
          <w:rFonts w:ascii="Arial;sans-serif" w:hAnsi="Arial;sans-serif"/>
          <w:b w:val="false"/>
          <w:color w:val="000000"/>
          <w:sz w:val="20"/>
        </w:rPr>
        <w:t>Free cash flow* of $8.50 - $8.75 billion, up from $8.25 - $8.75 billion</w:t>
      </w:r>
    </w:p>
    <w:p>
      <w:pPr>
        <w:pStyle w:val="TextBody"/>
        <w:bidi w:val="0"/>
        <w:spacing w:before="0" w:after="0"/>
        <w:jc w:val="left"/>
        <w:rPr/>
      </w:pPr>
      <w:r>
        <w:rPr/>
      </w:r>
    </w:p>
    <w:p>
      <w:pPr>
        <w:pStyle w:val="TextBody"/>
        <w:bidi w:val="0"/>
        <w:spacing w:lineRule="auto" w:line="360" w:before="0" w:after="0"/>
        <w:jc w:val="left"/>
        <w:rPr/>
      </w:pPr>
      <w:r>
        <w:rPr>
          <w:color w:val="000000"/>
        </w:rPr>
        <w:t>“</w:t>
      </w:r>
      <w:r>
        <w:rPr>
          <w:rFonts w:ascii="Arial;sans-serif" w:hAnsi="Arial;sans-serif"/>
          <w:b w:val="false"/>
          <w:color w:val="000000"/>
          <w:sz w:val="20"/>
          <w:shd w:fill="FFFFFF" w:val="clear"/>
        </w:rPr>
        <w:t xml:space="preserve">RTX delivered very strong second quarter results with 16 percent organic sales growth,* including double-digit commercial aftermarket and defense growth, </w:t>
      </w:r>
      <w:r>
        <w:rPr>
          <w:rFonts w:ascii="Arial;sans-serif" w:hAnsi="Arial;sans-serif"/>
          <w:b w:val="false"/>
          <w:color w:val="000000"/>
          <w:sz w:val="20"/>
        </w:rPr>
        <w:t>margin expansion across all three segments, and $2.9 bi</w:t>
      </w:r>
      <w:r>
        <w:rPr>
          <w:rFonts w:ascii="Arial;sans-serif" w:hAnsi="Arial;sans-serif"/>
          <w:b w:val="false"/>
          <w:color w:val="000000"/>
          <w:sz w:val="20"/>
          <w:shd w:fill="FFFFFF" w:val="clear"/>
        </w:rPr>
        <w:t>llion of free cash flow.* Demand remains robust, and our backlog is up 22 percent year over year,” said RTX Chairman and CEO Chris Calio.</w:t>
      </w:r>
    </w:p>
    <w:p>
      <w:pPr>
        <w:pStyle w:val="TextBody"/>
        <w:bidi w:val="0"/>
        <w:spacing w:before="0" w:after="0"/>
        <w:jc w:val="left"/>
        <w:rPr/>
      </w:pPr>
      <w:r>
        <w:rPr/>
      </w:r>
    </w:p>
    <w:p>
      <w:pPr>
        <w:pStyle w:val="TextBody"/>
        <w:bidi w:val="0"/>
        <w:spacing w:lineRule="auto" w:line="360" w:before="0" w:after="0"/>
        <w:jc w:val="left"/>
        <w:rPr>
          <w:color w:val="000000"/>
        </w:rPr>
      </w:pPr>
      <w:r>
        <w:rPr>
          <w:color w:val="000000"/>
        </w:rPr>
        <w:t>“</w:t>
      </w:r>
      <w:r>
        <w:rPr>
          <w:rFonts w:ascii="Arial;sans-serif" w:hAnsi="Arial;sans-serif"/>
          <w:b w:val="false"/>
          <w:color w:val="000000"/>
          <w:sz w:val="20"/>
        </w:rPr>
        <w:t xml:space="preserve">Given our first half performance and current backlog, we are raising our full year outlook for adjusted sales,* adjusted EPS,* and free cash flow.* RTX is exceptionally well positioned to drive continued growth as we execute on our backlog, increase productivity, expand capacity, and introduce new technologies to our customers.”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20315"/>
                <wp:effectExtent l="0" t="0" r="0" b="0"/>
                <wp:wrapNone/>
                <wp:docPr id="5" name="Frame4"/>
                <a:graphic xmlns:a="http://schemas.openxmlformats.org/drawingml/2006/main">
                  <a:graphicData uri="http://schemas.microsoft.com/office/word/2010/wordprocessingShape">
                    <wps:wsp>
                      <wps:cNvSpPr txBox="1"/>
                      <wps:spPr>
                        <a:xfrm>
                          <a:off x="0" y="0"/>
                          <a:ext cx="6480175" cy="252031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60" w:before="0" w:after="0"/>
                              <w:jc w:val="center"/>
                              <w:rPr>
                                <w:rFonts w:ascii="Arial;sans-serif" w:hAnsi="Arial;sans-serif"/>
                                <w:b w:val="false"/>
                                <w:color w:val="000000"/>
                                <w:sz w:val="16"/>
                              </w:rPr>
                            </w:pPr>
                            <w:r>
                              <w:rPr>
                                <w:rFonts w:ascii="Arial;sans-serif" w:hAnsi="Arial;sans-serif"/>
                                <w:b w:val="false"/>
                                <w:color w:val="000000"/>
                                <w:sz w:val="16"/>
                              </w:rPr>
                              <w:t>1</w:t>
                            </w:r>
                          </w:p>
                          <w:p>
                            <w:pPr>
                              <w:pStyle w:val="TextBody"/>
                              <w:bidi w:val="0"/>
                              <w:spacing w:lineRule="auto" w:line="256" w:before="0" w:after="0"/>
                              <w:jc w:val="left"/>
                              <w:rPr/>
                            </w:pPr>
                            <w:r>
                              <w:rPr>
                                <w:rFonts w:ascii="Arial;sans-serif" w:hAnsi="Arial;sans-serif"/>
                                <w:b w:val="false"/>
                                <w:color w:val="000000"/>
                                <w:sz w:val="11"/>
                              </w:rPr>
                              <w:t>*Adjusted net sales (also referred to as adjusted sales), organic sales, adjusted operating profit (loss) and margin percentage (ROS), segment operating profit (loss) and margin percentage (ROS), adjusted segment sales, adjusted segment operating profit (loss) and margin percentage (ROS), adjusted net income, adjusted earnings per share (“EPS”), adjusted effective tax rate, and free cash flow are non-GAAP financial measures. When we provide our expectation for adjusted net sales (also referred to as adjusted sales), adjusted EPS and free cash flow on a forward-looking basis, a reconciliation of these non-GAAP financial measures to the corresponding G</w:t>
                            </w:r>
                            <w:r>
                              <w:rPr>
                                <w:rFonts w:ascii="Arial;sans-serif" w:hAnsi="Arial;sans-serif"/>
                                <w:b w:val="false"/>
                                <w:color w:val="000000"/>
                                <w:sz w:val="11"/>
                              </w:rPr>
                              <w:t>AAP measures (expected diluted EPS and expected cash flow from operations) is not available without unreasonable effort due to potentially high variability, complexity, and low visibility as to the items that would be excluded from the GAAP measure in the relevant future period, such as unusual gains and losses, the ultimate outcome of pending litigati</w:t>
                            </w:r>
                            <w:r>
                              <w:rPr>
                                <w:rFonts w:ascii="Arial;sans-serif" w:hAnsi="Arial;sans-serif"/>
                                <w:b w:val="false"/>
                                <w:color w:val="000000"/>
                                <w:sz w:val="11"/>
                              </w:rPr>
                              <w:t>on, fluctuations in foreign currency exchange rates, the impact and timing of potential acquisitions and divestitures, and other structural changes or their probable significance. The variability of the excluded items may have a significant, and potentially unpredictable, impact on our future GAAP results. See “Use and Definitions of Non-GAAP Financial Measures” below for information regarding non-GAAP financial measures.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1"/>
                              </w:rPr>
                            </w:pPr>
                            <w:r>
                              <w:rPr>
                                <w:rFonts w:ascii="Arial;sans-serif" w:hAnsi="Arial;sans-serif"/>
                                <w:b w:val="false"/>
                                <w:color w:val="000000"/>
                                <w:sz w:val="11"/>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60" w:before="0" w:after="0"/>
                        <w:jc w:val="center"/>
                        <w:rPr>
                          <w:rFonts w:ascii="Arial;sans-serif" w:hAnsi="Arial;sans-serif"/>
                          <w:b w:val="false"/>
                          <w:color w:val="000000"/>
                          <w:sz w:val="16"/>
                        </w:rPr>
                      </w:pPr>
                      <w:r>
                        <w:rPr>
                          <w:rFonts w:ascii="Arial;sans-serif" w:hAnsi="Arial;sans-serif"/>
                          <w:b w:val="false"/>
                          <w:color w:val="000000"/>
                          <w:sz w:val="16"/>
                        </w:rPr>
                        <w:t>1</w:t>
                      </w:r>
                    </w:p>
                    <w:p>
                      <w:pPr>
                        <w:pStyle w:val="TextBody"/>
                        <w:bidi w:val="0"/>
                        <w:spacing w:lineRule="auto" w:line="256" w:before="0" w:after="0"/>
                        <w:jc w:val="left"/>
                        <w:rPr/>
                      </w:pPr>
                      <w:r>
                        <w:rPr>
                          <w:rFonts w:ascii="Arial;sans-serif" w:hAnsi="Arial;sans-serif"/>
                          <w:b w:val="false"/>
                          <w:color w:val="000000"/>
                          <w:sz w:val="11"/>
                        </w:rPr>
                        <w:t>*Adjusted net sales (also referred to as adjusted sales), organic sales, adjusted operating profit (loss) and margin percentage (ROS), segment operating profit (loss) and margin percentage (ROS), adjusted segment sales, adjusted segment operating profit (loss) and margin percentage (ROS), adjusted net income, adjusted earnings per share (“EPS”), adjusted effective tax rate, and free cash flow are non-GAAP financial measures. When we provide our expectation for adjusted net sales (also referred to as adjusted sales), adjusted EPS and free cash flow on a forward-looking basis, a reconciliation of these non-GAAP financial measures to the corresponding G</w:t>
                      </w:r>
                      <w:r>
                        <w:rPr>
                          <w:rFonts w:ascii="Arial;sans-serif" w:hAnsi="Arial;sans-serif"/>
                          <w:b w:val="false"/>
                          <w:color w:val="000000"/>
                          <w:sz w:val="11"/>
                        </w:rPr>
                        <w:t>AAP measures (expected diluted EPS and expected cash flow from operations) is not available without unreasonable effort due to potentially high variability, complexity, and low visibility as to the items that would be excluded from the GAAP measure in the relevant future period, such as unusual gains and losses, the ultimate outcome of pending litigati</w:t>
                      </w:r>
                      <w:r>
                        <w:rPr>
                          <w:rFonts w:ascii="Arial;sans-serif" w:hAnsi="Arial;sans-serif"/>
                          <w:b w:val="false"/>
                          <w:color w:val="000000"/>
                          <w:sz w:val="11"/>
                        </w:rPr>
                        <w:t>on, fluctuations in foreign currency exchange rates, the impact and timing of potential acquisitions and divestitures, and other structural changes or their probable significance. The variability of the excluded items may have a significant, and potentially unpredictable, impact on our future GAAP results. See “Use and Definitions of Non-GAAP Financial Measures” below for information regarding non-GAAP financial measures.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1"/>
                        </w:rPr>
                      </w:pPr>
                      <w:r>
                        <w:rPr>
                          <w:rFonts w:ascii="Arial;sans-serif" w:hAnsi="Arial;sans-serif"/>
                          <w:b w:val="false"/>
                          <w:color w:val="000000"/>
                          <w:sz w:val="11"/>
                        </w:rPr>
                        <w:t>.</w:t>
                      </w:r>
                    </w:p>
                  </w:txbxContent>
                </v:textbox>
                <w10:wrap type="none"/>
              </v:rect>
            </w:pict>
          </mc:Fallback>
        </mc:AlternateContent>
      </w:r>
    </w:p>
    <w:p>
      <w:pPr>
        <w:pStyle w:val="TextBody"/>
        <w:bidi w:val="0"/>
        <w:spacing w:lineRule="auto" w:line="360" w:before="0" w:after="0"/>
        <w:jc w:val="left"/>
        <w:rPr>
          <w:rFonts w:ascii="Arial;sans-serif" w:hAnsi="Arial;sans-serif"/>
          <w:b w:val="false"/>
          <w:color w:val="000000"/>
          <w:sz w:val="20"/>
          <w:u w:val="single"/>
        </w:rPr>
      </w:pPr>
      <w:r>
        <w:rPr>
          <w:rFonts w:ascii="Arial;sans-serif" w:hAnsi="Arial;sans-serif"/>
          <w:b w:val="false"/>
          <w:color w:val="000000"/>
          <w:sz w:val="20"/>
          <w:u w:val="single"/>
        </w:rPr>
        <w:t>Second quarter 2026</w:t>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RTX second quarter reported and adjusted sales* were $24.7 billion, up 14 percent over the prior year and 16 percent organically.* GAAP EPS of $1.57 included $0.27 of acquisition accounting adjustments and $0.05 of restructuring and other net significant and/or non-recurring items. Adjusted EPS* of $1.89 was up 21 percent versus the prior year.</w:t>
      </w:r>
    </w:p>
    <w:p>
      <w:pPr>
        <w:pStyle w:val="TextBody"/>
        <w:bidi w:val="0"/>
        <w:spacing w:before="0" w:after="0"/>
        <w:jc w:val="left"/>
        <w:rPr/>
      </w:pPr>
      <w:r>
        <w:rPr/>
      </w:r>
    </w:p>
    <w:p>
      <w:pPr>
        <w:pStyle w:val="TextBody"/>
        <w:bidi w:val="0"/>
        <w:spacing w:lineRule="auto" w:line="360" w:before="0" w:after="0"/>
        <w:jc w:val="left"/>
        <w:rPr/>
      </w:pPr>
      <w:r>
        <w:rPr>
          <w:rFonts w:ascii="Arial;sans-serif" w:hAnsi="Arial;sans-serif"/>
          <w:b w:val="false"/>
          <w:color w:val="000000"/>
          <w:sz w:val="20"/>
        </w:rPr>
        <w:t xml:space="preserve">The company reported net income attributable to common shareowners in the second quarter of </w:t>
      </w:r>
      <w:r>
        <w:rPr>
          <w:rFonts w:ascii="Arial;sans-serif" w:hAnsi="Arial;sans-serif"/>
          <w:b w:val="false"/>
          <w:color w:val="000000"/>
          <w:sz w:val="20"/>
          <w:shd w:fill="FFFFFF" w:val="clear"/>
        </w:rPr>
        <w:t>$2.1 billion</w:t>
      </w:r>
      <w:r>
        <w:rPr>
          <w:color w:val="000000"/>
        </w:rPr>
        <w:t xml:space="preserve"> </w:t>
      </w:r>
      <w:r>
        <w:rPr>
          <w:rFonts w:ascii="Arial;sans-serif" w:hAnsi="Arial;sans-serif"/>
          <w:b w:val="false"/>
          <w:color w:val="000000"/>
          <w:sz w:val="20"/>
        </w:rPr>
        <w:t>which included $0.4 billion of acquisition accounting adjustments and $0.1 billion of restructuring and other net significant and/or non-recurring items. Adjusted net income* of $2.6 billion was up 22 percent versus the prior year driven by adjusted segment operating profit growth* across all three segments. Operating cash flow in the second quarter was $3.5 billion and capital expenditures were $0.7 billion, resulting in free cash flow* of $2.9 billion.</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Summary Financial Results</w:t>
      </w:r>
    </w:p>
    <w:tbl>
      <w:tblPr>
        <w:tblW w:w="6582" w:type="dxa"/>
        <w:jc w:val="left"/>
        <w:tblInd w:w="0" w:type="dxa"/>
        <w:tblLayout w:type="fixed"/>
        <w:tblCellMar>
          <w:top w:w="28" w:type="dxa"/>
          <w:left w:w="28" w:type="dxa"/>
          <w:bottom w:w="28" w:type="dxa"/>
          <w:right w:w="28" w:type="dxa"/>
        </w:tblCellMar>
      </w:tblPr>
      <w:tblGrid>
        <w:gridCol w:w="884"/>
        <w:gridCol w:w="779"/>
        <w:gridCol w:w="782"/>
        <w:gridCol w:w="211"/>
        <w:gridCol w:w="751"/>
        <w:gridCol w:w="109"/>
        <w:gridCol w:w="109"/>
        <w:gridCol w:w="109"/>
        <w:gridCol w:w="109"/>
        <w:gridCol w:w="211"/>
        <w:gridCol w:w="751"/>
        <w:gridCol w:w="109"/>
        <w:gridCol w:w="240"/>
        <w:gridCol w:w="241"/>
        <w:gridCol w:w="597"/>
        <w:gridCol w:w="109"/>
        <w:gridCol w:w="109"/>
        <w:gridCol w:w="109"/>
        <w:gridCol w:w="109"/>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7"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2nd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 in millions, except EPS)</w:t>
            </w:r>
          </w:p>
        </w:tc>
        <w:tc>
          <w:tcPr>
            <w:tcW w:w="107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2025</w:t>
            </w:r>
          </w:p>
        </w:tc>
        <w:tc>
          <w:tcPr>
            <w:tcW w:w="107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Reported</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24,708 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597"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597"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EPS</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597"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Adjusted*</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24,708 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597"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597"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EPS</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597"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360" w:before="0" w:after="283"/>
              <w:jc w:val="left"/>
              <w:rPr>
                <w:rFonts w:ascii="Arial;sans-serif" w:hAnsi="Arial;sans-serif"/>
                <w:b w:val="false"/>
                <w:color w:val="000000"/>
                <w:sz w:val="20"/>
              </w:rPr>
            </w:pPr>
            <w:r>
              <w:rPr>
                <w:rFonts w:ascii="Arial;sans-serif" w:hAnsi="Arial;sans-serif"/>
                <w:b w:val="false"/>
                <w:color w:val="000000"/>
                <w:sz w:val="20"/>
              </w:rPr>
              <w:t>Operating Cash Flow</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674 </w:t>
            </w:r>
          </w:p>
        </w:tc>
        <w:tc>
          <w:tcPr>
            <w:tcW w:w="597"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pPr>
      <w:r>
        <w:rPr>
          <w:rFonts w:ascii="Arial;sans-serif" w:hAnsi="Arial;sans-serif"/>
          <w:b w:val="false"/>
          <w:color w:val="000000"/>
          <w:sz w:val="16"/>
        </w:rPr>
        <w:t>NM = Not Meaningful</w:t>
      </w:r>
      <w:r>
        <w:rPr>
          <w:color w:val="EE2724"/>
        </w:rPr>
        <w:t xml:space="preserve"> </w:t>
      </w:r>
    </w:p>
    <w:p>
      <w:pPr>
        <w:pStyle w:val="TextBody"/>
        <w:bidi w:val="0"/>
        <w:spacing w:before="0" w:after="0"/>
        <w:jc w:val="left"/>
        <w:rPr/>
      </w:pPr>
      <w:r>
        <w:rPr/>
      </w:r>
    </w:p>
    <w:p>
      <w:pPr>
        <w:pStyle w:val="TextBody"/>
        <w:bidi w:val="0"/>
        <w:spacing w:lineRule="auto" w:line="360" w:before="60" w:after="283"/>
        <w:jc w:val="left"/>
        <w:rPr/>
      </w:pPr>
      <w:r>
        <w:rPr>
          <w:rFonts w:ascii="Arial;sans-serif" w:hAnsi="Arial;sans-serif"/>
          <w:b/>
          <w:color w:val="000000"/>
          <w:sz w:val="20"/>
        </w:rPr>
        <w:t>Segment Results</w:t>
      </w:r>
      <w:r>
        <w:rPr>
          <w:color w:val="000000"/>
        </w:rPr>
        <w:t xml:space="preserve"> </w: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Collins Aerospace</w:t>
      </w:r>
    </w:p>
    <w:tbl>
      <w:tblPr>
        <w:tblW w:w="5955" w:type="dxa"/>
        <w:jc w:val="left"/>
        <w:tblInd w:w="0" w:type="dxa"/>
        <w:tblLayout w:type="fixed"/>
        <w:tblCellMar>
          <w:top w:w="28" w:type="dxa"/>
          <w:left w:w="28" w:type="dxa"/>
          <w:bottom w:w="28" w:type="dxa"/>
          <w:right w:w="28" w:type="dxa"/>
        </w:tblCellMar>
      </w:tblPr>
      <w:tblGrid>
        <w:gridCol w:w="538"/>
        <w:gridCol w:w="472"/>
        <w:gridCol w:w="475"/>
        <w:gridCol w:w="211"/>
        <w:gridCol w:w="646"/>
        <w:gridCol w:w="286"/>
        <w:gridCol w:w="109"/>
        <w:gridCol w:w="109"/>
        <w:gridCol w:w="109"/>
        <w:gridCol w:w="211"/>
        <w:gridCol w:w="646"/>
        <w:gridCol w:w="286"/>
        <w:gridCol w:w="188"/>
        <w:gridCol w:w="188"/>
        <w:gridCol w:w="361"/>
        <w:gridCol w:w="138"/>
        <w:gridCol w:w="138"/>
        <w:gridCol w:w="145"/>
        <w:gridCol w:w="109"/>
        <w:gridCol w:w="109"/>
        <w:gridCol w:w="109"/>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1"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2nd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 in millions)</w:t>
            </w:r>
          </w:p>
        </w:tc>
        <w:tc>
          <w:tcPr>
            <w:tcW w:w="11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2025</w:t>
            </w:r>
          </w:p>
        </w:tc>
        <w:tc>
          <w:tcPr>
            <w:tcW w:w="1158"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Reported</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8,210 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7,622 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6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1,306 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1,173 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6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ROS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28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28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Adjusted*</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8,210 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7,622 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6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1,370 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1,249 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6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ROS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28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28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327" w:type="dxa"/>
            <w:gridSpan w:val="18"/>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60"/>
        <w:jc w:val="left"/>
        <w:rPr/>
      </w:pPr>
      <w:r>
        <w:rPr>
          <w:rFonts w:ascii="Arial;sans-serif" w:hAnsi="Arial;sans-serif"/>
          <w:b w:val="false"/>
          <w:color w:val="000000"/>
          <w:sz w:val="20"/>
        </w:rPr>
        <w:t>Collins Aerospace second quarter 2026 reported and adjusted sales* of $8,210 million were up 8 percent versus the prior year. Excluding the impact of divestitures, sales increased 13 percent organically* driv</w:t>
      </w:r>
      <w:r>
        <w:rPr>
          <w:rFonts w:ascii="Arial;sans-serif" w:hAnsi="Arial;sans-serif"/>
          <w:b w:val="false"/>
          <w:color w:val="000000"/>
          <w:sz w:val="20"/>
          <w:shd w:fill="FFFFFF" w:val="clear"/>
        </w:rPr>
        <w:t xml:space="preserve">en by a 26 percent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71830"/>
                <wp:effectExtent l="0" t="0" r="0" b="0"/>
                <wp:wrapNone/>
                <wp:docPr id="6" name="Frame5"/>
                <a:graphic xmlns:a="http://schemas.openxmlformats.org/drawingml/2006/main">
                  <a:graphicData uri="http://schemas.microsoft.com/office/word/2010/wordprocessingShape">
                    <wps:wsp>
                      <wps:cNvSpPr txBox="1"/>
                      <wps:spPr>
                        <a:xfrm>
                          <a:off x="0" y="0"/>
                          <a:ext cx="6480175" cy="6718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360" w:before="0" w:after="0"/>
        <w:jc w:val="left"/>
        <w:rPr/>
      </w:pPr>
      <w:r>
        <w:rPr>
          <w:rFonts w:ascii="Arial;sans-serif" w:hAnsi="Arial;sans-serif"/>
          <w:b w:val="false"/>
          <w:color w:val="000000"/>
          <w:sz w:val="20"/>
          <w:shd w:fill="FFFFFF" w:val="clear"/>
        </w:rPr>
        <w:t>increase in commercial OE, a 10 percent increase in commercial aftermarket, and a 7 percent increase in defense</w:t>
      </w:r>
      <w:r>
        <w:rPr>
          <w:rFonts w:ascii="Arial;sans-serif" w:hAnsi="Arial;sans-serif"/>
          <w:b w:val="false"/>
          <w:color w:val="000000"/>
          <w:sz w:val="20"/>
        </w:rPr>
        <w:t>. The increase in commercial OE sales was driven by higher volume on narrowbody and widebody platforms, and the</w:t>
      </w:r>
      <w:r>
        <w:rPr>
          <w:color w:val="000000"/>
          <w:shd w:fill="FFFFFF" w:val="clear"/>
        </w:rPr>
        <w:t xml:space="preserve"> </w:t>
      </w:r>
      <w:r>
        <w:rPr>
          <w:rFonts w:ascii="Arial;sans-serif" w:hAnsi="Arial;sans-serif"/>
          <w:b w:val="false"/>
          <w:color w:val="000000"/>
          <w:sz w:val="20"/>
          <w:shd w:fill="FFFFFF" w:val="clear"/>
        </w:rPr>
        <w:t>increase in commercial aftermarket sales was primarily driven</w:t>
      </w:r>
      <w:r>
        <w:rPr>
          <w:color w:val="000000"/>
        </w:rPr>
        <w:t xml:space="preserve"> </w:t>
      </w:r>
      <w:r>
        <w:rPr>
          <w:rFonts w:ascii="Arial;sans-serif" w:hAnsi="Arial;sans-serif"/>
          <w:b w:val="false"/>
          <w:color w:val="000000"/>
          <w:sz w:val="20"/>
        </w:rPr>
        <w:t>by growth in parts and repair and modifications and upgrades. The increase in defense sales was driven by higher volume across multiple programs.</w:t>
      </w:r>
    </w:p>
    <w:p>
      <w:pPr>
        <w:pStyle w:val="TextBody"/>
        <w:bidi w:val="0"/>
        <w:spacing w:before="0" w:after="0"/>
        <w:ind w:left="0" w:right="0" w:firstLine="720"/>
        <w:jc w:val="left"/>
        <w:rPr/>
      </w:pPr>
      <w:r>
        <w:rPr/>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 xml:space="preserve">Collins Aerospace reported operating profit of $1,306 million was up 11 percent versus the prior year. Adjusted operating profit* of $1,370 million was up 10 percent versus the prior year. The growth was driven by drop through on higher commercial and defense volume, which was partially offset by defense mix, higher SG&amp;A expense, and the impact of divestitures completed in 2025. Reported operating profit in Q2 2026 included higher restructuring charges associated with cost transformation initiatives. </w:t>
      </w:r>
    </w:p>
    <w:p>
      <w:pPr>
        <w:pStyle w:val="TextBody"/>
        <w:bidi w:val="0"/>
        <w:spacing w:before="0" w:after="0"/>
        <w:jc w:val="left"/>
        <w:rPr/>
      </w:pPr>
      <w:r>
        <w:rPr/>
      </w:r>
    </w:p>
    <w:p>
      <w:pPr>
        <w:pStyle w:val="TextBody"/>
        <w:bidi w:val="0"/>
        <w:spacing w:lineRule="auto" w:line="360" w:before="0" w:after="0"/>
        <w:jc w:val="left"/>
        <w:rPr>
          <w:rFonts w:ascii="Arial;sans-serif" w:hAnsi="Arial;sans-serif"/>
          <w:b/>
          <w:color w:val="000000"/>
          <w:sz w:val="20"/>
        </w:rPr>
      </w:pPr>
      <w:r>
        <w:rPr>
          <w:rFonts w:ascii="Arial;sans-serif" w:hAnsi="Arial;sans-serif"/>
          <w:b/>
          <w:color w:val="000000"/>
          <w:sz w:val="20"/>
        </w:rPr>
        <w:t>Pratt &amp; Whitney</w:t>
      </w:r>
    </w:p>
    <w:tbl>
      <w:tblPr>
        <w:tblW w:w="6060" w:type="dxa"/>
        <w:jc w:val="left"/>
        <w:tblInd w:w="0" w:type="dxa"/>
        <w:tblLayout w:type="fixed"/>
        <w:tblCellMar>
          <w:top w:w="28" w:type="dxa"/>
          <w:left w:w="28" w:type="dxa"/>
          <w:bottom w:w="28" w:type="dxa"/>
          <w:right w:w="28" w:type="dxa"/>
        </w:tblCellMar>
      </w:tblPr>
      <w:tblGrid>
        <w:gridCol w:w="538"/>
        <w:gridCol w:w="472"/>
        <w:gridCol w:w="475"/>
        <w:gridCol w:w="211"/>
        <w:gridCol w:w="646"/>
        <w:gridCol w:w="286"/>
        <w:gridCol w:w="109"/>
        <w:gridCol w:w="109"/>
        <w:gridCol w:w="109"/>
        <w:gridCol w:w="211"/>
        <w:gridCol w:w="646"/>
        <w:gridCol w:w="286"/>
        <w:gridCol w:w="240"/>
        <w:gridCol w:w="241"/>
        <w:gridCol w:w="361"/>
        <w:gridCol w:w="138"/>
        <w:gridCol w:w="138"/>
        <w:gridCol w:w="145"/>
        <w:gridCol w:w="109"/>
        <w:gridCol w:w="109"/>
        <w:gridCol w:w="109"/>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2nd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 in millions)</w:t>
            </w:r>
          </w:p>
        </w:tc>
        <w:tc>
          <w:tcPr>
            <w:tcW w:w="11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2025</w:t>
            </w:r>
          </w:p>
        </w:tc>
        <w:tc>
          <w:tcPr>
            <w:tcW w:w="1263"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Reported</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8,889 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7,631 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6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738 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492 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36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ROS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8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28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Adjusted*</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8,889 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7,631 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6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740 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608 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36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ROS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8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8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432" w:type="dxa"/>
            <w:gridSpan w:val="18"/>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60" w:before="0" w:after="0"/>
        <w:jc w:val="left"/>
        <w:rPr/>
      </w:pPr>
      <w:r>
        <w:rPr>
          <w:rFonts w:ascii="Arial;sans-serif" w:hAnsi="Arial;sans-serif"/>
          <w:b w:val="false"/>
          <w:color w:val="000000"/>
          <w:sz w:val="20"/>
        </w:rPr>
        <w:t>Pratt &amp; Whitney second quarter re</w:t>
      </w:r>
      <w:r>
        <w:rPr>
          <w:rFonts w:ascii="Arial;sans-serif" w:hAnsi="Arial;sans-serif"/>
          <w:b w:val="false"/>
          <w:color w:val="000000"/>
          <w:sz w:val="20"/>
          <w:shd w:fill="FFFFFF" w:val="clear"/>
        </w:rPr>
        <w:t>ported and adjusted sales* of $8,889 million were up 16 percent versus the prior year. The sales growth was driven by a 25 percent increase in commercial aftermarket and a 23 percent increase in military, partially offset by an 8 percent decrease in commercial OE. The increase in commercial aftermarket was drive</w:t>
      </w:r>
      <w:r>
        <w:rPr>
          <w:rFonts w:ascii="Arial;sans-serif" w:hAnsi="Arial;sans-serif"/>
          <w:b w:val="false"/>
          <w:color w:val="000000"/>
          <w:sz w:val="20"/>
        </w:rPr>
        <w:t xml:space="preserve">n by higher volume, while the increase in military sales was driven by higher F135 volume, including the benefit of prior year contract award timing. </w:t>
      </w:r>
      <w:r>
        <w:rPr>
          <w:rFonts w:ascii="Arial;sans-serif" w:hAnsi="Arial;sans-serif"/>
          <w:b w:val="false"/>
          <w:color w:val="000000"/>
          <w:sz w:val="20"/>
          <w:shd w:fill="FFFFFF" w:val="clear"/>
        </w:rPr>
        <w:t xml:space="preserve">The decrease in commercial OE sales was driven by large commercial engine mix which more than offset increased large commercial engine deliveries. </w:t>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20"/>
        </w:rPr>
      </w:pPr>
      <w:r>
        <w:rPr>
          <w:rFonts w:ascii="Arial;sans-serif" w:hAnsi="Arial;sans-serif"/>
          <w:b w:val="false"/>
          <w:color w:val="000000"/>
          <w:sz w:val="20"/>
        </w:rPr>
        <w:t xml:space="preserve">Pratt &amp; Whitney reported operating profit of $738 million was up 50 percent versus the prior year. Q2 2025 reported profit included an approximately $100 million charge related to a customer bankruptcy. Adjusted operating profit* of $740 million was up 22 percent versus the prior year. The increase was driven by drop through on higher commercial aftermarket and military volume, as well as military mix. This growth was partially offset by increased large commercial engine deliveries, large commercial engine mix, and higher SG&amp;A expense.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71830"/>
                <wp:effectExtent l="0" t="0" r="0" b="0"/>
                <wp:wrapNone/>
                <wp:docPr id="7" name="Frame6"/>
                <a:graphic xmlns:a="http://schemas.openxmlformats.org/drawingml/2006/main">
                  <a:graphicData uri="http://schemas.microsoft.com/office/word/2010/wordprocessingShape">
                    <wps:wsp>
                      <wps:cNvSpPr txBox="1"/>
                      <wps:spPr>
                        <a:xfrm>
                          <a:off x="0" y="0"/>
                          <a:ext cx="6480175" cy="6718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360" w:before="0" w:after="0"/>
        <w:jc w:val="left"/>
        <w:rPr>
          <w:rFonts w:ascii="Arial;sans-serif" w:hAnsi="Arial;sans-serif"/>
          <w:b/>
          <w:color w:val="000000"/>
          <w:sz w:val="20"/>
        </w:rPr>
      </w:pPr>
      <w:r>
        <w:rPr>
          <w:rFonts w:ascii="Arial;sans-serif" w:hAnsi="Arial;sans-serif"/>
          <w:b/>
          <w:color w:val="000000"/>
          <w:sz w:val="20"/>
        </w:rPr>
        <w:t>Raytheon</w:t>
      </w:r>
    </w:p>
    <w:tbl>
      <w:tblPr>
        <w:tblW w:w="6060" w:type="dxa"/>
        <w:jc w:val="left"/>
        <w:tblInd w:w="0" w:type="dxa"/>
        <w:tblLayout w:type="fixed"/>
        <w:tblCellMar>
          <w:top w:w="28" w:type="dxa"/>
          <w:left w:w="28" w:type="dxa"/>
          <w:bottom w:w="28" w:type="dxa"/>
          <w:right w:w="28" w:type="dxa"/>
        </w:tblCellMar>
      </w:tblPr>
      <w:tblGrid>
        <w:gridCol w:w="538"/>
        <w:gridCol w:w="472"/>
        <w:gridCol w:w="475"/>
        <w:gridCol w:w="211"/>
        <w:gridCol w:w="646"/>
        <w:gridCol w:w="286"/>
        <w:gridCol w:w="109"/>
        <w:gridCol w:w="109"/>
        <w:gridCol w:w="109"/>
        <w:gridCol w:w="211"/>
        <w:gridCol w:w="646"/>
        <w:gridCol w:w="286"/>
        <w:gridCol w:w="240"/>
        <w:gridCol w:w="241"/>
        <w:gridCol w:w="361"/>
        <w:gridCol w:w="138"/>
        <w:gridCol w:w="138"/>
        <w:gridCol w:w="145"/>
        <w:gridCol w:w="109"/>
        <w:gridCol w:w="109"/>
        <w:gridCol w:w="109"/>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2nd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 in millions)</w:t>
            </w:r>
          </w:p>
        </w:tc>
        <w:tc>
          <w:tcPr>
            <w:tcW w:w="11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2025</w:t>
            </w:r>
          </w:p>
        </w:tc>
        <w:tc>
          <w:tcPr>
            <w:tcW w:w="1263"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Reported</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8,269 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7,001 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6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1,042 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805 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36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ROS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28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28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i/>
                <w:color w:val="000000"/>
                <w:sz w:val="20"/>
              </w:rPr>
            </w:pPr>
            <w:r>
              <w:rPr>
                <w:rFonts w:ascii="Arial;sans-serif" w:hAnsi="Arial;sans-serif"/>
                <w:b w:val="false"/>
                <w:i/>
                <w:color w:val="000000"/>
                <w:sz w:val="20"/>
              </w:rPr>
              <w:t>Adjusted*</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8,269 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7,001 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6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Operating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1,043 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809 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36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ROS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28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28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60" w:before="0" w:after="0"/>
        <w:jc w:val="left"/>
        <w:rPr/>
      </w:pPr>
      <w:r>
        <w:rPr>
          <w:rFonts w:ascii="Arial;sans-serif" w:hAnsi="Arial;sans-serif"/>
          <w:b w:val="false"/>
          <w:color w:val="000000"/>
          <w:sz w:val="20"/>
        </w:rPr>
        <w:t>Raytheon second quarter reported and adjusted sales* of $8,269 million were up 18 percent versus the prior year. This increase was driven by higher v</w:t>
      </w:r>
      <w:r>
        <w:rPr>
          <w:rFonts w:ascii="Arial;sans-serif" w:hAnsi="Arial;sans-serif"/>
          <w:b w:val="false"/>
          <w:color w:val="000000"/>
          <w:sz w:val="20"/>
          <w:shd w:fill="FFFFFF" w:val="clear"/>
        </w:rPr>
        <w:t xml:space="preserve">olume on land and air defense systems, naval programs, and air and space defense systems, including Patriot, Standard Missile, and AMRAAM. </w:t>
      </w:r>
    </w:p>
    <w:p>
      <w:pPr>
        <w:pStyle w:val="TextBody"/>
        <w:bidi w:val="0"/>
        <w:spacing w:before="0" w:after="0"/>
        <w:jc w:val="left"/>
        <w:rPr/>
      </w:pPr>
      <w:r>
        <w:rPr/>
      </w:r>
    </w:p>
    <w:p>
      <w:pPr>
        <w:pStyle w:val="TextBody"/>
        <w:bidi w:val="0"/>
        <w:spacing w:lineRule="auto" w:line="360" w:before="0" w:after="0"/>
        <w:jc w:val="left"/>
        <w:rPr/>
      </w:pPr>
      <w:r>
        <w:rPr>
          <w:rFonts w:ascii="Arial;sans-serif" w:hAnsi="Arial;sans-serif"/>
          <w:b w:val="false"/>
          <w:color w:val="000000"/>
          <w:sz w:val="20"/>
          <w:shd w:fill="FFFFFF" w:val="clear"/>
        </w:rPr>
        <w:t>Raytheon reported operating profit of $1,042 million was u</w:t>
      </w:r>
      <w:r>
        <w:rPr>
          <w:rFonts w:ascii="Arial;sans-serif" w:hAnsi="Arial;sans-serif"/>
          <w:b w:val="false"/>
          <w:color w:val="000000"/>
          <w:sz w:val="20"/>
        </w:rPr>
        <w:t>p 29 percent v</w:t>
      </w:r>
      <w:r>
        <w:rPr>
          <w:rFonts w:ascii="Arial;sans-serif" w:hAnsi="Arial;sans-serif"/>
          <w:b w:val="false"/>
          <w:color w:val="000000"/>
          <w:sz w:val="20"/>
          <w:shd w:fill="FFFFFF" w:val="clear"/>
        </w:rPr>
        <w:t xml:space="preserve">ersus the prior year. Adjusted operating profit* of </w:t>
      </w:r>
      <w:r>
        <w:rPr>
          <w:rFonts w:ascii="Arial;sans-serif" w:hAnsi="Arial;sans-serif"/>
          <w:b w:val="false"/>
          <w:color w:val="000000"/>
          <w:sz w:val="20"/>
        </w:rPr>
        <w:t>$1,043 million</w:t>
      </w:r>
      <w:r>
        <w:rPr>
          <w:color w:val="000000"/>
          <w:shd w:fill="FFFFFF" w:val="clear"/>
        </w:rPr>
        <w:t xml:space="preserve"> </w:t>
      </w:r>
      <w:r>
        <w:rPr>
          <w:rFonts w:ascii="Arial;sans-serif" w:hAnsi="Arial;sans-serif"/>
          <w:b w:val="false"/>
          <w:color w:val="000000"/>
          <w:sz w:val="20"/>
          <w:shd w:fill="FFFFFF" w:val="clear"/>
        </w:rPr>
        <w:t xml:space="preserve">was up </w:t>
      </w:r>
      <w:r>
        <w:rPr>
          <w:rFonts w:ascii="Arial;sans-serif" w:hAnsi="Arial;sans-serif"/>
          <w:b w:val="false"/>
          <w:color w:val="000000"/>
          <w:sz w:val="20"/>
        </w:rPr>
        <w:t>29 percent</w:t>
      </w:r>
      <w:r>
        <w:rPr>
          <w:color w:val="000000"/>
          <w:shd w:fill="FFFFFF" w:val="clear"/>
        </w:rPr>
        <w:t xml:space="preserve"> </w:t>
      </w:r>
      <w:r>
        <w:rPr>
          <w:rFonts w:ascii="Arial;sans-serif" w:hAnsi="Arial;sans-serif"/>
          <w:b w:val="false"/>
          <w:color w:val="000000"/>
          <w:sz w:val="20"/>
          <w:shd w:fill="FFFFFF" w:val="clear"/>
        </w:rPr>
        <w:t>versus the prior year. The increase was driven by higher volume, favorable mix, including Patriot programs, and improved net productivity.</w:t>
      </w:r>
    </w:p>
    <w:p>
      <w:pPr>
        <w:pStyle w:val="TextBody"/>
        <w:bidi w:val="0"/>
        <w:spacing w:before="0" w:after="0"/>
        <w:jc w:val="left"/>
        <w:rPr/>
      </w:pPr>
      <w:r>
        <w:rPr/>
      </w:r>
    </w:p>
    <w:p>
      <w:pPr>
        <w:pStyle w:val="TextBody"/>
        <w:bidi w:val="0"/>
        <w:spacing w:lineRule="auto" w:line="360" w:before="0" w:after="0"/>
        <w:jc w:val="left"/>
        <w:rPr>
          <w:rFonts w:ascii="Arial;sans-serif" w:hAnsi="Arial;sans-serif"/>
          <w:b/>
          <w:color w:val="000000"/>
          <w:sz w:val="20"/>
          <w:shd w:fill="FFFFFF" w:val="clear"/>
        </w:rPr>
      </w:pPr>
      <w:r>
        <w:rPr>
          <w:rFonts w:ascii="Arial;sans-serif" w:hAnsi="Arial;sans-serif"/>
          <w:b/>
          <w:color w:val="000000"/>
          <w:sz w:val="20"/>
          <w:shd w:fill="FFFFFF" w:val="clear"/>
        </w:rPr>
        <w:t>About RTX</w:t>
      </w:r>
    </w:p>
    <w:p>
      <w:pPr>
        <w:pStyle w:val="TextBody"/>
        <w:bidi w:val="0"/>
        <w:spacing w:lineRule="auto" w:line="360" w:before="0" w:after="0"/>
        <w:jc w:val="both"/>
        <w:rPr>
          <w:rFonts w:ascii="Arial;sans-serif" w:hAnsi="Arial;sans-serif"/>
          <w:b w:val="false"/>
          <w:color w:val="000000"/>
          <w:sz w:val="20"/>
        </w:rPr>
      </w:pPr>
      <w:r>
        <w:rPr>
          <w:rFonts w:ascii="Arial;sans-serif" w:hAnsi="Arial;sans-serif"/>
          <w:b w:val="false"/>
          <w:color w:val="000000"/>
          <w:sz w:val="20"/>
        </w:rPr>
        <w:t xml:space="preserve">With more than 180,000 global employees, we push the limits of technology and science to redefine how we connect and protect our world. With industry-leading capabilities, we advance aviation, engineer integrated defense systems for operational success, and develop next-generation technology solutions and manufacturing to help global customers address their most critical challenges. The company, with 2025 sales of more than $88 billion, is headquartered in Arlington, Virginia. </w:t>
      </w:r>
    </w:p>
    <w:p>
      <w:pPr>
        <w:pStyle w:val="TextBody"/>
        <w:bidi w:val="0"/>
        <w:spacing w:before="0" w:after="0"/>
        <w:jc w:val="left"/>
        <w:rPr/>
      </w:pPr>
      <w:r>
        <w:rPr/>
      </w:r>
    </w:p>
    <w:p>
      <w:pPr>
        <w:pStyle w:val="TextBody"/>
        <w:bidi w:val="0"/>
        <w:spacing w:lineRule="auto" w:line="360" w:before="0" w:after="0"/>
        <w:jc w:val="left"/>
        <w:rPr>
          <w:rFonts w:ascii="Arial;sans-serif" w:hAnsi="Arial;sans-serif"/>
          <w:b/>
          <w:color w:val="000000"/>
          <w:sz w:val="20"/>
        </w:rPr>
      </w:pPr>
      <w:r>
        <w:rPr>
          <w:rFonts w:ascii="Arial;sans-serif" w:hAnsi="Arial;sans-serif"/>
          <w:b/>
          <w:color w:val="000000"/>
          <w:sz w:val="20"/>
        </w:rPr>
        <w:t>Conference Call on the Second Quarter 2026 Financial Results</w:t>
      </w:r>
    </w:p>
    <w:p>
      <w:pPr>
        <w:pStyle w:val="TextBody"/>
        <w:bidi w:val="0"/>
        <w:spacing w:lineRule="auto" w:line="360" w:before="0" w:after="0"/>
        <w:jc w:val="both"/>
        <w:rPr>
          <w:rFonts w:ascii="Arial;sans-serif" w:hAnsi="Arial;sans-serif"/>
          <w:b w:val="false"/>
          <w:color w:val="000000"/>
          <w:sz w:val="20"/>
        </w:rPr>
      </w:pPr>
      <w:r>
        <w:rPr>
          <w:rFonts w:ascii="Arial;sans-serif" w:hAnsi="Arial;sans-serif"/>
          <w:b w:val="false"/>
          <w:color w:val="000000"/>
          <w:sz w:val="20"/>
        </w:rPr>
        <w:t>RTX’s financial results conference call will be held on Thursday, July 23, 2026 at 7:30 a.m. ET. The conference call will be webcast live on the company's website at www.rtx.com and will be available for replay following the call. The corresponding presentation slides will be available for downloading prior to the call.</w:t>
      </w:r>
    </w:p>
    <w:p>
      <w:pPr>
        <w:pStyle w:val="TextBody"/>
        <w:bidi w:val="0"/>
        <w:spacing w:before="0" w:after="0"/>
        <w:jc w:val="left"/>
        <w:rPr/>
      </w:pPr>
      <w:r>
        <w:rPr/>
      </w:r>
    </w:p>
    <w:p>
      <w:pPr>
        <w:pStyle w:val="TextBody"/>
        <w:bidi w:val="0"/>
        <w:spacing w:lineRule="auto" w:line="360" w:before="0" w:after="0"/>
        <w:jc w:val="left"/>
        <w:rPr>
          <w:rFonts w:ascii="Arial;sans-serif" w:hAnsi="Arial;sans-serif"/>
          <w:b/>
          <w:color w:val="000000"/>
          <w:sz w:val="20"/>
        </w:rPr>
      </w:pPr>
      <w:r>
        <w:rPr>
          <w:rFonts w:ascii="Arial;sans-serif" w:hAnsi="Arial;sans-serif"/>
          <w:b/>
          <w:color w:val="000000"/>
          <w:sz w:val="20"/>
        </w:rPr>
        <w:t xml:space="preserve">Use and Definitions of Non-GAAP Financial Measures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RTX Corporation (“RTX” or “the Company”) reports its financial results in accordance with accounting principles generally accepted in the United States (“GAAP”). We supplement the reporting of our financial information determined under GAAP with certain non-GAAP financial information. The non-GAAP information presented provides investors with additional useful information but should not be considered in isolation or as substitutes for the related GAAP measures. We believe that these non-GAAP measures provide investors with additional insight into the Company’s ongoing business performance. Other companies may define non-GAAP measures differently, which limits the usefulness of these measures for comparisons with such other companies. We encourage investors to review our financial statements and publicly-filed reports in their entirety and not to rely on any single financial measure. A reconciliation of the non-GAAP measures to the corresponding amounts prepared in accordance with GAAP appears in the tables in this Appendix. Certain non-GAAP financial adjustments are also described in this Appendix. Below are our non-GAAP financial measures: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71830"/>
                <wp:effectExtent l="0" t="0" r="0" b="0"/>
                <wp:wrapNone/>
                <wp:docPr id="8" name="Frame7"/>
                <a:graphic xmlns:a="http://schemas.openxmlformats.org/drawingml/2006/main">
                  <a:graphicData uri="http://schemas.microsoft.com/office/word/2010/wordprocessingShape">
                    <wps:wsp>
                      <wps:cNvSpPr txBox="1"/>
                      <wps:spPr>
                        <a:xfrm>
                          <a:off x="0" y="0"/>
                          <a:ext cx="6480175" cy="6718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61"/>
        <w:gridCol w:w="670"/>
        <w:gridCol w:w="672"/>
        <w:gridCol w:w="2404"/>
        <w:gridCol w:w="2343"/>
        <w:gridCol w:w="3355"/>
      </w:tblGrid>
      <w:tr>
        <w:trPr/>
        <w:tc>
          <w:tcPr>
            <w:tcW w:w="76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2103"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Non-GAAP measure</w:t>
            </w:r>
          </w:p>
        </w:tc>
        <w:tc>
          <w:tcPr>
            <w:tcW w:w="8102"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68" w:before="0" w:after="0"/>
              <w:jc w:val="left"/>
              <w:rPr>
                <w:rFonts w:ascii="Arial;sans-serif" w:hAnsi="Arial;sans-serif"/>
                <w:b/>
                <w:color w:val="000000"/>
                <w:sz w:val="20"/>
              </w:rPr>
            </w:pPr>
            <w:r>
              <w:rPr>
                <w:rFonts w:ascii="Arial;sans-serif" w:hAnsi="Arial;sans-serif"/>
                <w:b/>
                <w:color w:val="000000"/>
                <w:sz w:val="20"/>
              </w:rPr>
              <w:t>Definition</w:t>
            </w:r>
          </w:p>
        </w:tc>
      </w:tr>
      <w:tr>
        <w:trPr/>
        <w:tc>
          <w:tcPr>
            <w:tcW w:w="210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Adjusted net sales / Adjusted sales</w:t>
            </w:r>
          </w:p>
        </w:tc>
        <w:tc>
          <w:tcPr>
            <w:tcW w:w="8102"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68" w:before="0" w:after="0"/>
              <w:jc w:val="left"/>
              <w:rPr/>
            </w:pPr>
            <w:r>
              <w:rPr>
                <w:rFonts w:ascii="Arial;sans-serif" w:hAnsi="Arial;sans-serif"/>
                <w:b w:val="false"/>
                <w:color w:val="000000"/>
                <w:sz w:val="20"/>
              </w:rPr>
              <w:t>Represents consolidated net sales (a GAAP measure), excluding net significant and/or non-recurring items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(hereinafter referred to as “net significant and/or non-recurring items”).</w:t>
            </w:r>
          </w:p>
        </w:tc>
      </w:tr>
      <w:tr>
        <w:trPr/>
        <w:tc>
          <w:tcPr>
            <w:tcW w:w="2103"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Organic sales</w:t>
            </w:r>
          </w:p>
        </w:tc>
        <w:tc>
          <w:tcPr>
            <w:tcW w:w="8102"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Organic sales represents the change in consolidated net sales (a GAAP measure), excluding the impact of foreign currency translation, acquisitions and divestitures completed in the preceding twelve months and net significant and/or non-recurring items.</w:t>
            </w:r>
          </w:p>
        </w:tc>
      </w:tr>
      <w:tr>
        <w:trPr/>
        <w:tc>
          <w:tcPr>
            <w:tcW w:w="210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Adjusted operating profit (loss) and margin percentage (ROS)</w:t>
            </w:r>
          </w:p>
          <w:p>
            <w:pPr>
              <w:pStyle w:val="TableContents"/>
              <w:bidi w:val="0"/>
              <w:spacing w:before="0" w:after="0"/>
              <w:jc w:val="left"/>
              <w:rPr/>
            </w:pPr>
            <w:r>
              <w:rPr/>
            </w:r>
          </w:p>
        </w:tc>
        <w:tc>
          <w:tcPr>
            <w:tcW w:w="8102"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68" w:before="0" w:after="0"/>
              <w:jc w:val="left"/>
              <w:rPr/>
            </w:pPr>
            <w:r>
              <w:rPr>
                <w:rFonts w:ascii="Arial;sans-serif" w:hAnsi="Arial;sans-serif"/>
                <w:b w:val="false"/>
                <w:color w:val="000000"/>
                <w:sz w:val="20"/>
              </w:rPr>
              <w:t>Adjusted operating profit (loss) represents operating profit (loss) (a GAAP measure), excluding restructuring costs, acquisition accounting adjustments</w:t>
            </w:r>
            <w:r>
              <w:rPr>
                <w:rFonts w:ascii="Arial;sans-serif" w:hAnsi="Arial;sans-serif"/>
                <w:b w:val="false"/>
                <w:color w:val="000000"/>
                <w:sz w:val="13"/>
              </w:rPr>
              <w:t>2</w:t>
            </w:r>
            <w:r>
              <w:rPr>
                <w:rFonts w:ascii="Arial;sans-serif" w:hAnsi="Arial;sans-serif"/>
                <w:b w:val="false"/>
                <w:color w:val="000000"/>
                <w:sz w:val="20"/>
              </w:rPr>
              <w:t>, and net significant and/or non-recurring items. Adjusted operating profit margin percentage represents adjusted operating profit (loss) as a percentage of adjusted net sales.</w:t>
            </w:r>
          </w:p>
        </w:tc>
      </w:tr>
      <w:tr>
        <w:trPr/>
        <w:tc>
          <w:tcPr>
            <w:tcW w:w="2103"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Segment operating profit (loss) and margin percentage (ROS)</w:t>
            </w:r>
          </w:p>
          <w:p>
            <w:pPr>
              <w:pStyle w:val="TableContents"/>
              <w:bidi w:val="0"/>
              <w:spacing w:before="0" w:after="0"/>
              <w:jc w:val="left"/>
              <w:rPr/>
            </w:pPr>
            <w:r>
              <w:rPr/>
            </w:r>
          </w:p>
        </w:tc>
        <w:tc>
          <w:tcPr>
            <w:tcW w:w="8102"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68" w:before="0" w:after="0"/>
              <w:jc w:val="left"/>
              <w:rPr/>
            </w:pPr>
            <w:r>
              <w:rPr>
                <w:rFonts w:ascii="Arial;sans-serif" w:hAnsi="Arial;sans-serif"/>
                <w:b w:val="false"/>
                <w:color w:val="000000"/>
                <w:sz w:val="20"/>
              </w:rPr>
              <w:t>Segment operating profit (loss) represents operating profit (loss) (a GAAP measure) excluding acquisition accounting adjustments</w:t>
            </w:r>
            <w:r>
              <w:rPr>
                <w:rFonts w:ascii="Arial;sans-serif" w:hAnsi="Arial;sans-serif"/>
                <w:b w:val="false"/>
                <w:color w:val="000000"/>
                <w:sz w:val="13"/>
              </w:rPr>
              <w:t>2</w:t>
            </w:r>
            <w:r>
              <w:rPr>
                <w:rFonts w:ascii="Arial;sans-serif" w:hAnsi="Arial;sans-serif"/>
                <w:b w:val="false"/>
                <w:color w:val="000000"/>
                <w:sz w:val="20"/>
              </w:rPr>
              <w:t>, the FAS/CAS operating adjustment</w:t>
            </w:r>
            <w:r>
              <w:rPr>
                <w:rFonts w:ascii="Arial;sans-serif" w:hAnsi="Arial;sans-serif"/>
                <w:b w:val="false"/>
                <w:color w:val="000000"/>
                <w:sz w:val="13"/>
              </w:rPr>
              <w:t>3</w:t>
            </w:r>
            <w:r>
              <w:rPr>
                <w:rFonts w:ascii="Arial;sans-serif" w:hAnsi="Arial;sans-serif"/>
                <w:b w:val="false"/>
                <w:color w:val="000000"/>
                <w:sz w:val="20"/>
              </w:rPr>
              <w:t>, Corporate expenses and other unallocated items, and Eliminations and other. Segment operating profit margin percentage represents segment operating profit (loss) as a percentage of segment sales (net sales, excluding Eliminations and other).</w:t>
            </w:r>
          </w:p>
        </w:tc>
      </w:tr>
      <w:tr>
        <w:trPr/>
        <w:tc>
          <w:tcPr>
            <w:tcW w:w="210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Adjusted segment sales</w:t>
            </w:r>
          </w:p>
        </w:tc>
        <w:tc>
          <w:tcPr>
            <w:tcW w:w="8102"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Represents consolidated net sales (a GAAP measure) excluding eliminations and other and net significant and/or non-recurring items.</w:t>
            </w:r>
          </w:p>
        </w:tc>
      </w:tr>
      <w:tr>
        <w:trPr/>
        <w:tc>
          <w:tcPr>
            <w:tcW w:w="2103"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Adjusted segment operating profit (loss) and margin percentage (ROS)</w:t>
            </w:r>
          </w:p>
          <w:p>
            <w:pPr>
              <w:pStyle w:val="TableContents"/>
              <w:bidi w:val="0"/>
              <w:spacing w:before="0" w:after="0"/>
              <w:jc w:val="left"/>
              <w:rPr/>
            </w:pPr>
            <w:r>
              <w:rPr/>
            </w:r>
          </w:p>
        </w:tc>
        <w:tc>
          <w:tcPr>
            <w:tcW w:w="8102"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Adjusted segment operating profit (loss) represents segment operating profit (loss) excluding restructuring costs, and net significant and/or non-recurring items. Adjusted segment operating profit margin percentage represents adjusted segment operating profit (loss) as a percentage of adjusted segment sales (adjusted net sales excluding Eliminations and other).</w:t>
            </w:r>
          </w:p>
        </w:tc>
      </w:tr>
      <w:tr>
        <w:trPr/>
        <w:tc>
          <w:tcPr>
            <w:tcW w:w="210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Adjusted net income</w:t>
            </w:r>
          </w:p>
        </w:tc>
        <w:tc>
          <w:tcPr>
            <w:tcW w:w="8102"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68" w:before="0" w:after="0"/>
              <w:jc w:val="left"/>
              <w:rPr/>
            </w:pPr>
            <w:r>
              <w:rPr>
                <w:rFonts w:ascii="Arial;sans-serif" w:hAnsi="Arial;sans-serif"/>
                <w:b w:val="false"/>
                <w:color w:val="000000"/>
                <w:sz w:val="20"/>
              </w:rPr>
              <w:t>Adjusted net income represents net income (a GAAP measure), excluding restructuring costs, acquisition accounting adjustments</w:t>
            </w:r>
            <w:r>
              <w:rPr>
                <w:rFonts w:ascii="Arial;sans-serif" w:hAnsi="Arial;sans-serif"/>
                <w:b w:val="false"/>
                <w:color w:val="000000"/>
                <w:sz w:val="13"/>
              </w:rPr>
              <w:t>2</w:t>
            </w:r>
            <w:r>
              <w:rPr>
                <w:rFonts w:ascii="Arial;sans-serif" w:hAnsi="Arial;sans-serif"/>
                <w:b w:val="false"/>
                <w:color w:val="000000"/>
                <w:sz w:val="20"/>
              </w:rPr>
              <w:t>, and net significant and/or non-recurring items.</w:t>
            </w:r>
          </w:p>
        </w:tc>
      </w:tr>
      <w:tr>
        <w:trPr/>
        <w:tc>
          <w:tcPr>
            <w:tcW w:w="2103"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Adjusted earnings per share (EPS)</w:t>
            </w:r>
          </w:p>
        </w:tc>
        <w:tc>
          <w:tcPr>
            <w:tcW w:w="8102"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68" w:before="0" w:after="0"/>
              <w:jc w:val="left"/>
              <w:rPr/>
            </w:pPr>
            <w:r>
              <w:rPr>
                <w:rFonts w:ascii="Arial;sans-serif" w:hAnsi="Arial;sans-serif"/>
                <w:b w:val="false"/>
                <w:color w:val="000000"/>
                <w:sz w:val="20"/>
              </w:rPr>
              <w:t>Adjusted EPS represents diluted earnings per share (a GAAP measure), excluding restructuring costs, acquisition accounting adjustments</w:t>
            </w:r>
            <w:r>
              <w:rPr>
                <w:rFonts w:ascii="Arial;sans-serif" w:hAnsi="Arial;sans-serif"/>
                <w:b w:val="false"/>
                <w:color w:val="000000"/>
                <w:sz w:val="13"/>
              </w:rPr>
              <w:t>2</w:t>
            </w:r>
            <w:r>
              <w:rPr>
                <w:rFonts w:ascii="Arial;sans-serif" w:hAnsi="Arial;sans-serif"/>
                <w:b w:val="false"/>
                <w:color w:val="000000"/>
                <w:sz w:val="20"/>
              </w:rPr>
              <w:t>, and net significant and/or non-recurring items.</w:t>
            </w:r>
          </w:p>
        </w:tc>
      </w:tr>
      <w:tr>
        <w:trPr/>
        <w:tc>
          <w:tcPr>
            <w:tcW w:w="2103"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Adjusted effective tax rate</w:t>
            </w:r>
          </w:p>
        </w:tc>
        <w:tc>
          <w:tcPr>
            <w:tcW w:w="8102"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68" w:before="0" w:after="0"/>
              <w:jc w:val="left"/>
              <w:rPr/>
            </w:pPr>
            <w:r>
              <w:rPr>
                <w:rFonts w:ascii="Arial;sans-serif" w:hAnsi="Arial;sans-serif"/>
                <w:b w:val="false"/>
                <w:color w:val="000000"/>
                <w:sz w:val="20"/>
              </w:rPr>
              <w:t>Adjusted effective tax rate represents the effective tax rate (a GAAP measure), excluding the tax impact of restructuring costs, acquisition accounting adjustments</w:t>
            </w:r>
            <w:r>
              <w:rPr>
                <w:rFonts w:ascii="Arial;sans-serif" w:hAnsi="Arial;sans-serif"/>
                <w:b w:val="false"/>
                <w:color w:val="000000"/>
                <w:sz w:val="13"/>
              </w:rPr>
              <w:t>2</w:t>
            </w:r>
            <w:r>
              <w:rPr>
                <w:rFonts w:ascii="Arial;sans-serif" w:hAnsi="Arial;sans-serif"/>
                <w:b w:val="false"/>
                <w:color w:val="000000"/>
                <w:sz w:val="20"/>
              </w:rPr>
              <w:t>, and net significant and/or non-recurring items.</w:t>
            </w:r>
          </w:p>
        </w:tc>
      </w:tr>
      <w:tr>
        <w:trPr/>
        <w:tc>
          <w:tcPr>
            <w:tcW w:w="2103" w:type="dxa"/>
            <w:gridSpan w:val="3"/>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Free cash flow</w:t>
            </w:r>
          </w:p>
          <w:p>
            <w:pPr>
              <w:pStyle w:val="TableContents"/>
              <w:bidi w:val="0"/>
              <w:spacing w:before="0" w:after="0"/>
              <w:jc w:val="center"/>
              <w:rPr/>
            </w:pPr>
            <w:r>
              <w:rPr/>
            </w:r>
          </w:p>
        </w:tc>
        <w:tc>
          <w:tcPr>
            <w:tcW w:w="8102" w:type="dxa"/>
            <w:gridSpan w:val="3"/>
            <w:tcBorders>
              <w:top w:val="single" w:sz="8" w:space="0" w:color="000000"/>
              <w:left w:val="single" w:sz="8" w:space="0" w:color="000000"/>
              <w:bottom w:val="single" w:sz="8" w:space="0" w:color="000000"/>
              <w:right w:val="single" w:sz="8" w:space="0" w:color="000000"/>
            </w:tcBorders>
            <w:shd w:fill="CCEEFF" w:val="clear"/>
            <w:tcMar>
              <w:top w:w="52" w:type="dxa"/>
              <w:bottom w:w="3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Free cash flow represents cash flow from operating activities (a GAAP measure) less capital expenditures. Management believes free cash flow is a useful measure of liquidity and an additional basis for assessing RTX’s ability to fund its activities, including the financing of acquisitions, debt service, repurchases of RTX’s common stock, and distribution of earnings to shareowners.</w:t>
            </w:r>
          </w:p>
        </w:tc>
      </w:tr>
    </w:tbl>
    <w:p>
      <w:pPr>
        <w:pStyle w:val="TextBody"/>
        <w:bidi w:val="0"/>
        <w:spacing w:lineRule="auto" w:line="256"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Net significant and/or non-recurring items represent significant nonoperational items and/or significant operational items that may occur at irregular intervals.</w:t>
      </w:r>
    </w:p>
    <w:p>
      <w:pPr>
        <w:pStyle w:val="TextBody"/>
        <w:bidi w:val="0"/>
        <w:spacing w:before="0" w:after="0"/>
        <w:jc w:val="left"/>
        <w:rPr/>
      </w:pPr>
      <w:r>
        <w:rPr/>
      </w:r>
    </w:p>
    <w:p>
      <w:pPr>
        <w:pStyle w:val="TextBody"/>
        <w:bidi w:val="0"/>
        <w:spacing w:lineRule="auto" w:line="256" w:before="0" w:after="0"/>
        <w:jc w:val="left"/>
        <w:rPr/>
      </w:pPr>
      <w:r>
        <w:rPr>
          <w:rFonts w:ascii="Arial;sans-serif" w:hAnsi="Arial;sans-serif"/>
          <w:b w:val="false"/>
          <w:color w:val="000000"/>
          <w:sz w:val="12"/>
        </w:rPr>
        <w:t xml:space="preserve">2 </w:t>
      </w:r>
      <w:r>
        <w:rPr>
          <w:rFonts w:ascii="Arial;sans-serif" w:hAnsi="Arial;sans-serif"/>
          <w:b w:val="false"/>
          <w:color w:val="000000"/>
          <w:sz w:val="18"/>
        </w:rPr>
        <w:t xml:space="preserve">Acquisition accounting adjustments include the amortization of acquired intangible assets related to acquisitions, the amortization of the property, plant and equipment fair value adjustment acquired through acquisitions, the amortization of customer contractual obligations related to loss making or below market contracts acquired, and goodwill impairment, if applicable. </w:t>
      </w:r>
    </w:p>
    <w:p>
      <w:pPr>
        <w:pStyle w:val="TextBody"/>
        <w:bidi w:val="0"/>
        <w:spacing w:before="0" w:after="0"/>
        <w:jc w:val="left"/>
        <w:rPr/>
      </w:pPr>
      <w:r>
        <w:rPr/>
      </w:r>
    </w:p>
    <w:p>
      <w:pPr>
        <w:pStyle w:val="TextBody"/>
        <w:bidi w:val="0"/>
        <w:spacing w:lineRule="auto" w:line="256" w:before="0" w:after="0"/>
        <w:jc w:val="left"/>
        <w:rPr/>
      </w:pPr>
      <w:r>
        <w:rPr>
          <w:rFonts w:ascii="Arial;sans-serif" w:hAnsi="Arial;sans-serif"/>
          <w:b w:val="false"/>
          <w:color w:val="000000"/>
          <w:sz w:val="12"/>
        </w:rPr>
        <w:t xml:space="preserve">3 </w:t>
      </w:r>
      <w:r>
        <w:rPr>
          <w:rFonts w:ascii="Arial;sans-serif" w:hAnsi="Arial;sans-serif"/>
          <w:b w:val="false"/>
          <w:color w:val="000000"/>
          <w:sz w:val="18"/>
        </w:rPr>
        <w:t>The FAS/CAS operating adjustment represents the difference between the service cost component of our pension and postretirement benefit (PRB) expense under the Financial Accounting Standards (FAS) requirements of GAAP and our pension and PRB expense under U.S. government Cost Accounting Standards (CAS) primarily related to our Raytheon segment.</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When we provide our expectation for adjusted net sales (also referred to as adjusted sales), organic sales, adjusted operating profit (loss) and margin percentage (ROS), adjusted segment operating profit (loss) and margin percentage (ROS), adjusted EPS, adjusted effective tax rate, and free cash flow, on a forward-looking basis, a reconciliation of the differences between the non-GAAP expectations and the corresponding GAAP measures, as described above, generally are not available without unreasonable effort due to potentially high </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71830"/>
                <wp:effectExtent l="0" t="0" r="0" b="0"/>
                <wp:wrapNone/>
                <wp:docPr id="9" name="Frame8"/>
                <a:graphic xmlns:a="http://schemas.openxmlformats.org/drawingml/2006/main">
                  <a:graphicData uri="http://schemas.microsoft.com/office/word/2010/wordprocessingShape">
                    <wps:wsp>
                      <wps:cNvSpPr txBox="1"/>
                      <wps:spPr>
                        <a:xfrm>
                          <a:off x="0" y="0"/>
                          <a:ext cx="6480175" cy="6718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variability, complexity, and low visibility as to the items that would be excluded from the GAAP measure in the relevant future period, such as unusual gains and losses, the ultimate outcome of pending litigation, fluctuations in foreign currency exchange rates, the impact and timing of potential acquisitions and divestitures, and other structural changes or their probable significance. The variability of the excluded items may have a significant, and potentially unpredictable, impact on our future GAAP results.</w:t>
      </w:r>
    </w:p>
    <w:p>
      <w:pPr>
        <w:pStyle w:val="TextBody"/>
        <w:bidi w:val="0"/>
        <w:spacing w:before="0" w:after="0"/>
        <w:jc w:val="left"/>
        <w:rPr/>
      </w:pPr>
      <w:r>
        <w:rPr/>
      </w:r>
    </w:p>
    <w:p>
      <w:pPr>
        <w:pStyle w:val="TextBody"/>
        <w:bidi w:val="0"/>
        <w:spacing w:lineRule="auto" w:line="276"/>
        <w:jc w:val="left"/>
        <w:rPr/>
      </w:pPr>
      <w:r>
        <w:rPr>
          <w:rFonts w:ascii="Arial;sans-serif" w:hAnsi="Arial;sans-serif"/>
          <w:b/>
          <w:color w:val="000000"/>
          <w:sz w:val="20"/>
        </w:rPr>
        <w:t xml:space="preserve">Cautionary Statement Regarding Forward-Looking Statements </w:t>
      </w:r>
      <w:r>
        <w:rPr>
          <w:rFonts w:ascii="Arial;sans-serif" w:hAnsi="Arial;sans-serif"/>
          <w:b w:val="false"/>
          <w:color w:val="000000"/>
          <w:sz w:val="20"/>
        </w:rPr>
        <w:t xml:space="preserve">This press release contains statements which, to the extent they are not statements of historical or present fact, constitute “forward-looking statements” under the securities laws. These forward-looking statements are intended to provide RTX Corporation (“RTX”) management's current expectations or plans for our future operating and financial performance, based on assumptions currently believed to be valid and are not statements of historical fact. Forward-looking statements can be identified by the use of words such as “believe,” “expect,” “expectations,” “plans,” “strategy,” “prospects,” “estimate,” “project,” “target,” “anticipate,” “will,” “should,” “see,” “guidance,” “outlook,” “goals,” “objectives,” “confident,” “on track,” “designed to,” “commit,” “commitment” and other words of similar meaning. Forward-looking statements may include, among other things, statements relating to future sales, earnings, cash flow, results of operations, uses of cash, share repurchases, tax payments and rates, research and development spending, cost savings, other measures of financial performance, potential future plans, strategies or transactions, credit ratings and net indebtedness, the Pratt powder metal matter and related matters and activities, including without limitation other engine models that may be impacted, targets and commitments (including for share repurchases or otherwise), and other statements which are not solely historical facts. All forward-looking statements involve risks, uncertainties, changes in circumstances and other factors that are hard to predict, and each of which may cause actual results to differ materially from those expressed or implied in the forward-looking statements. For those statements, we claim the protection of the safe harbor for forward-looking statements contained in the U.S. Private Securities Litigation Reform Act of 1995, as amended. Such risks, uncertainties and other factors include, without limitation: (1) changes in economic, capital market, and political conditions in the U.S. and globally; (2) changes in U.S. or foreign government defense spending, national priorities, and policy positions; (3) our performance on our contracts and programs, including our ability to control costs, and our dependence on U.S. government approvals for certain international contracts; (4) challenges in the development, certification, production, delivery, support, and performance of RTX's advanced technologies and new products and services and the realization of anticipated benefits; (5) challenges of operating in RTX's highly-competitive industries both domestically and abroad; (6) our reliance on U.S. and non-U.S. suppliers and commodity markets, including cost increases and disruptions in the delivery of materials and services to RTX or our suppliers; (7) changes in trade policies, implementation of sanctions, imposition of tariffs (and counter-tariffs), and other trade measures and restrictions, foreign currency fluctuations, and sales methods; (8) the economic condition of the aerospace industry; (9) the ability of RTX to attract, train, qualify, and retain qualified personnel and maintain its culture and high ethical standards, and the ability of our personnel to continue to operate our facilities and businesses around the world; (10) the scope, nature, timing, and challenges of managing and completing acquisitions, investments, divestitures, and other transactions; (11) compliance with legal, environmental, regulatory, and other requirements in the U.S. and other countries in which RTX and its businesses operate; (12) pending, threatened, and future legal proceedings, investigations, audits, and other contingencies; (13) the previously-disclosed deferred prosecution agreements entered into between the Company and the Department of Justice (DOJ), the Securities and Exchange Commission (SEC) administrative order imposed on the Company, and the related investigations by the SEC and DOJ, and the consent agreement between the Company and the Department of State; (14) RTX's ability to engage in desirable capital-raising or strategic transactions; (15) repurchases by RTX of its common stock, or declarations of cash dividends, which may be discontinued, accelerated, suspended, or delayed at any time due to various factors; (16) realizing expected benefits from, incurring costs for, and successfully managing strategic initiatives such as cost reduction, restructuring, digital transformation, and other operational initiatives; (17) additional tax exposures due to new tax legislation or other developments in the U.S. and other countries in which RTX and its businesses operate; (18) the identified rare condition in powder metal used to manufacture certain Pratt &amp; Whitney engine parts requiring accelerated removals and inspections of a significant portion of the PW1100G-JM Geared Turbofan (GTF) fleet; (19) changes in production volumes of one or more of our significant customers as a result of business, labor, or other challenges, and the resulting effect on its or their demand for our products and services; (20) an RTX product safety failure, quality issue, or other failure affecting RTX's or its customers' or suppliers' products or systems; (21) cybersecurity, including cyber-attacks on RTX's information technology infrastructure, products, suppliers, customers and partners, and cybersecurity-related regulations; (22) insufficient indemnity or insurance coverage; (23) our intellectual property and certain third-party intellectual property; (24) threats to RTX facilities and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71830"/>
                <wp:effectExtent l="0" t="0" r="0" b="0"/>
                <wp:wrapNone/>
                <wp:docPr id="10" name="Frame9"/>
                <a:graphic xmlns:a="http://schemas.openxmlformats.org/drawingml/2006/main">
                  <a:graphicData uri="http://schemas.microsoft.com/office/word/2010/wordprocessingShape">
                    <wps:wsp>
                      <wps:cNvSpPr txBox="1"/>
                      <wps:spPr>
                        <a:xfrm>
                          <a:off x="0" y="0"/>
                          <a:ext cx="6480175" cy="6718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personnel, or those of its suppliers or customers, as well as public health crises, damaging weather, acts of nature, or other similar events outside of RTX's control that may affect RTX or its suppliers or customers; (25) changes in accounting estimates for our programs on our financial results; (26) changes in pension and other postretirement plan estimates and assumptions and contributions; (27) an impairment of goodwill and other intangible assets; and (28) climate change and climate-related regulations, and any related customer and market demands, products and technologies. For additional information on identifying factors that may cause actual results to differ materially from those expressed or implied in the forward-looking statements, see the reports of RTX filed with or furnished to the Securities and Exchange Commission from time to time, including our most recent Annual Report on Form 10-K, Quarterly Reports on Form 10-Q and Current Reports on Form 8-K. Any forward-looking statement speaks only as of the date on which it is made, and RTX assumes no obligation to update or revise such statement, whether as a result of new information, future events or otherwise, except as required by applicable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71830"/>
                <wp:effectExtent l="0" t="0" r="0" b="0"/>
                <wp:wrapNone/>
                <wp:docPr id="11" name="Frame10"/>
                <a:graphic xmlns:a="http://schemas.openxmlformats.org/drawingml/2006/main">
                  <a:graphicData uri="http://schemas.microsoft.com/office/word/2010/wordprocessingShape">
                    <wps:wsp>
                      <wps:cNvSpPr txBox="1"/>
                      <wps:spPr>
                        <a:xfrm>
                          <a:off x="0" y="0"/>
                          <a:ext cx="6480175" cy="6718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 of Operations</w:t>
      </w:r>
    </w:p>
    <w:tbl>
      <w:tblPr>
        <w:tblW w:w="10205" w:type="dxa"/>
        <w:jc w:val="left"/>
        <w:tblInd w:w="0" w:type="dxa"/>
        <w:tblLayout w:type="fixed"/>
        <w:tblCellMar>
          <w:top w:w="28" w:type="dxa"/>
          <w:left w:w="28" w:type="dxa"/>
          <w:bottom w:w="28" w:type="dxa"/>
          <w:right w:w="28" w:type="dxa"/>
        </w:tblCellMar>
      </w:tblPr>
      <w:tblGrid>
        <w:gridCol w:w="630"/>
        <w:gridCol w:w="532"/>
        <w:gridCol w:w="532"/>
        <w:gridCol w:w="1224"/>
        <w:gridCol w:w="1086"/>
        <w:gridCol w:w="100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7"/>
      </w:tblGrid>
      <w:tr>
        <w:trPr/>
        <w:tc>
          <w:tcPr>
            <w:tcW w:w="6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501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except per share amounts; shares in millions)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2" w:type="dxa"/>
            <w:gridSpan w:val="6"/>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24,708 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41,887 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33,395 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costs and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21,959 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41,544 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37,750 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3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5012" w:type="dxa"/>
            <w:gridSpan w:val="6"/>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2"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profit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4,181 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Non-service pension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3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2" w:type="dxa"/>
            <w:gridSpan w:val="6"/>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before income taxes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3,998 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3,350 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Noncontrolling interest in subsidiaries’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3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3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3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3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3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3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3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3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5012" w:type="dxa"/>
            <w:gridSpan w:val="6"/>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attributable to common shareowners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3,192 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Earnings Per Share attributable to common shareowners: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3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3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3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3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3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Weighted Average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Diluted shares</w:t>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1,365.0 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1,354.0 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1,364.7 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1,352.9 </w:t>
            </w:r>
          </w:p>
        </w:tc>
        <w:tc>
          <w:tcPr>
            <w:tcW w:w="157"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71830"/>
                <wp:effectExtent l="0" t="0" r="0" b="0"/>
                <wp:wrapNone/>
                <wp:docPr id="12" name="Frame11"/>
                <a:graphic xmlns:a="http://schemas.openxmlformats.org/drawingml/2006/main">
                  <a:graphicData uri="http://schemas.microsoft.com/office/word/2010/wordprocessingShape">
                    <wps:wsp>
                      <wps:cNvSpPr txBox="1"/>
                      <wps:spPr>
                        <a:xfrm>
                          <a:off x="0" y="0"/>
                          <a:ext cx="6480175" cy="6718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Segment Net Sales and Operating Profit (Loss)</w:t>
      </w:r>
    </w:p>
    <w:tbl>
      <w:tblPr>
        <w:tblW w:w="12091" w:type="dxa"/>
        <w:jc w:val="left"/>
        <w:tblInd w:w="0" w:type="dxa"/>
        <w:tblLayout w:type="fixed"/>
        <w:tblCellMar>
          <w:top w:w="28" w:type="dxa"/>
          <w:left w:w="28" w:type="dxa"/>
          <w:bottom w:w="28" w:type="dxa"/>
          <w:right w:w="28" w:type="dxa"/>
        </w:tblCellMar>
      </w:tblPr>
      <w:tblGrid>
        <w:gridCol w:w="582"/>
        <w:gridCol w:w="510"/>
        <w:gridCol w:w="349"/>
        <w:gridCol w:w="211"/>
        <w:gridCol w:w="721"/>
        <w:gridCol w:w="271"/>
        <w:gridCol w:w="211"/>
        <w:gridCol w:w="721"/>
        <w:gridCol w:w="271"/>
        <w:gridCol w:w="109"/>
        <w:gridCol w:w="109"/>
        <w:gridCol w:w="109"/>
        <w:gridCol w:w="211"/>
        <w:gridCol w:w="721"/>
        <w:gridCol w:w="271"/>
        <w:gridCol w:w="211"/>
        <w:gridCol w:w="721"/>
        <w:gridCol w:w="271"/>
        <w:gridCol w:w="109"/>
        <w:gridCol w:w="109"/>
        <w:gridCol w:w="109"/>
        <w:gridCol w:w="211"/>
        <w:gridCol w:w="721"/>
        <w:gridCol w:w="271"/>
        <w:gridCol w:w="211"/>
        <w:gridCol w:w="721"/>
        <w:gridCol w:w="271"/>
        <w:gridCol w:w="109"/>
        <w:gridCol w:w="109"/>
        <w:gridCol w:w="109"/>
        <w:gridCol w:w="211"/>
        <w:gridCol w:w="721"/>
        <w:gridCol w:w="271"/>
        <w:gridCol w:w="211"/>
        <w:gridCol w:w="721"/>
        <w:gridCol w:w="316"/>
      </w:tblGrid>
      <w:tr>
        <w:trPr/>
        <w:tc>
          <w:tcPr>
            <w:tcW w:w="58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Reported</w:t>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Reported</w:t>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Reported</w:t>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Reported</w:t>
            </w:r>
          </w:p>
        </w:tc>
        <w:tc>
          <w:tcPr>
            <w:tcW w:w="12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w:t>
            </w:r>
          </w:p>
        </w:tc>
      </w:tr>
      <w:tr>
        <w:trPr/>
        <w:tc>
          <w:tcPr>
            <w:tcW w:w="14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Sales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Collins Aerospace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14,839 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Pratt &amp; Whitney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14,997 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Raytheon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13,341 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segments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25,368 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25,368 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22,254 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22,254 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48,088 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48,088 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43,177 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43,177 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Eliminations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Consolidated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24,708 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24,708 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21,581 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21,581 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46,784 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46,784 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41,887 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41,887 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Profit (Loss)</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Collins Aerospace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2,476 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Pratt &amp; Whitney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Raytheon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segments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3,086 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3,153 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2,470 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2,666 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5,944 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6,007 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4,816 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5,161 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Eliminations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Corporate expenses and other unallocated items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FAS/CAS operating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 accounting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Consolidated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2,811 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3,359 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2,146 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2,793 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5,366 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6,382 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4,181 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5,456 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Segment Operating Profit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Collins Aerospace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Pratt &amp; Whitney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Raytheon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441"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segment</w:t>
            </w:r>
          </w:p>
        </w:tc>
        <w:tc>
          <w:tcPr>
            <w:tcW w:w="932"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12.2 </w:t>
            </w:r>
          </w:p>
        </w:tc>
        <w:tc>
          <w:tcPr>
            <w:tcW w:w="27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12.4 </w:t>
            </w:r>
          </w:p>
        </w:tc>
        <w:tc>
          <w:tcPr>
            <w:tcW w:w="27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11.1 </w:t>
            </w:r>
          </w:p>
        </w:tc>
        <w:tc>
          <w:tcPr>
            <w:tcW w:w="27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12.0 </w:t>
            </w:r>
          </w:p>
        </w:tc>
        <w:tc>
          <w:tcPr>
            <w:tcW w:w="27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12.4 </w:t>
            </w:r>
          </w:p>
        </w:tc>
        <w:tc>
          <w:tcPr>
            <w:tcW w:w="27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12.5 </w:t>
            </w:r>
          </w:p>
        </w:tc>
        <w:tc>
          <w:tcPr>
            <w:tcW w:w="27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11.2 </w:t>
            </w:r>
          </w:p>
        </w:tc>
        <w:tc>
          <w:tcPr>
            <w:tcW w:w="27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932"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12.0 </w:t>
            </w:r>
          </w:p>
        </w:tc>
        <w:tc>
          <w:tcPr>
            <w:tcW w:w="3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before="120" w:after="283"/>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71830"/>
                <wp:effectExtent l="0" t="0" r="0" b="0"/>
                <wp:wrapNone/>
                <wp:docPr id="13" name="Frame12"/>
                <a:graphic xmlns:a="http://schemas.openxmlformats.org/drawingml/2006/main">
                  <a:graphicData uri="http://schemas.microsoft.com/office/word/2010/wordprocessingShape">
                    <wps:wsp>
                      <wps:cNvSpPr txBox="1"/>
                      <wps:spPr>
                        <a:xfrm>
                          <a:off x="0" y="0"/>
                          <a:ext cx="6480175" cy="6718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w:t>
      </w:r>
    </w:p>
    <w:tbl>
      <w:tblPr>
        <w:tblW w:w="8477" w:type="dxa"/>
        <w:jc w:val="left"/>
        <w:tblInd w:w="0" w:type="dxa"/>
        <w:tblLayout w:type="fixed"/>
        <w:tblCellMar>
          <w:top w:w="28" w:type="dxa"/>
          <w:left w:w="28" w:type="dxa"/>
          <w:bottom w:w="28" w:type="dxa"/>
          <w:right w:w="28" w:type="dxa"/>
        </w:tblCellMar>
      </w:tblPr>
      <w:tblGrid>
        <w:gridCol w:w="1979"/>
        <w:gridCol w:w="1737"/>
        <w:gridCol w:w="1744"/>
        <w:gridCol w:w="211"/>
        <w:gridCol w:w="826"/>
        <w:gridCol w:w="109"/>
        <w:gridCol w:w="109"/>
        <w:gridCol w:w="109"/>
        <w:gridCol w:w="109"/>
        <w:gridCol w:w="273"/>
        <w:gridCol w:w="1072"/>
        <w:gridCol w:w="199"/>
      </w:tblGrid>
      <w:tr>
        <w:trPr/>
        <w:tc>
          <w:tcPr>
            <w:tcW w:w="1979"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54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7,435 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14,701 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17,092 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13,364 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7,740 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63,912 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60,332 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Customer financing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2,132 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Fixed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16,868 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53,343 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31,845 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4,672 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173,972 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171,079 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Redeemable Noncontrolling Interest, and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borrowings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15,895 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employee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3,308 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14,350 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21,615 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 currently due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3,412 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63,245 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58,784 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34,288 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liabilities,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1,602 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Future pension and postretirement benefit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105,828 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103,941 </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Redeemable noncontrolling interest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Shareowners’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38,126 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Treasury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(26,881)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56,718 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(2,718)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shareowners’ equity</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66,377 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65,245 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1,857 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equity</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68,116 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67,102 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0"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Total liabilities, redeemable noncontrolling interest, and equity</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173,972 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7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171,079 </w:t>
            </w:r>
          </w:p>
        </w:tc>
        <w:tc>
          <w:tcPr>
            <w:tcW w:w="19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71830"/>
                <wp:effectExtent l="0" t="0" r="0" b="0"/>
                <wp:wrapNone/>
                <wp:docPr id="14" name="Frame13"/>
                <a:graphic xmlns:a="http://schemas.openxmlformats.org/drawingml/2006/main">
                  <a:graphicData uri="http://schemas.microsoft.com/office/word/2010/wordprocessingShape">
                    <wps:wsp>
                      <wps:cNvSpPr txBox="1"/>
                      <wps:spPr>
                        <a:xfrm>
                          <a:off x="0" y="0"/>
                          <a:ext cx="6480175" cy="6718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Condensed Consolidated Statement of Cash Flows</w:t>
      </w:r>
    </w:p>
    <w:tbl>
      <w:tblPr>
        <w:tblW w:w="10205" w:type="dxa"/>
        <w:jc w:val="left"/>
        <w:tblInd w:w="0" w:type="dxa"/>
        <w:tblLayout w:type="fixed"/>
        <w:tblCellMar>
          <w:top w:w="28" w:type="dxa"/>
          <w:left w:w="28" w:type="dxa"/>
          <w:bottom w:w="28" w:type="dxa"/>
          <w:right w:w="28" w:type="dxa"/>
        </w:tblCellMar>
      </w:tblPr>
      <w:tblGrid>
        <w:gridCol w:w="2097"/>
        <w:gridCol w:w="1670"/>
        <w:gridCol w:w="166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2097"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5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income to net cash flows provided by operating activities from:</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 (benefit) provision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Stock compensation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periodic pension and other postretirement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Share-based 401(k) matching contributions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(1,197)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 and accrued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Contract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operating activities,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flows provided by operating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Investing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Increase in other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receipts from settlements of derivative contracts,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investing activities,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flows used in investing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(1,187)</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Financing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Repayment of 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commercial paper,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Dividends paid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Repurchase of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financing activities,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flows used in financing activities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(1,409)</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Effect of foreign exchange rate changes on cash and cash equivalents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increase (decrease) in cash, cash equivalents, and restricted cash</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(779)</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beginning of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end of period</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4,827 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Restricted cash, included in Other assets, current and 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 end of period</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8,305 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4,782 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8,305 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4,782 </w:t>
            </w:r>
          </w:p>
        </w:tc>
        <w:tc>
          <w:tcPr>
            <w:tcW w:w="15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Reconciliation of Adjusted (Non-GAAP) Results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Sales, Adjusted Operating Profit (Loss) &amp; Operating Profit (Loss) Margin</w:t>
      </w:r>
    </w:p>
    <w:tbl>
      <w:tblPr>
        <w:tblW w:w="10205" w:type="dxa"/>
        <w:jc w:val="left"/>
        <w:tblInd w:w="0" w:type="dxa"/>
        <w:tblLayout w:type="fixed"/>
        <w:tblCellMar>
          <w:top w:w="28" w:type="dxa"/>
          <w:left w:w="28" w:type="dxa"/>
          <w:bottom w:w="28" w:type="dxa"/>
          <w:right w:w="28" w:type="dxa"/>
        </w:tblCellMar>
      </w:tblPr>
      <w:tblGrid>
        <w:gridCol w:w="1814"/>
        <w:gridCol w:w="1509"/>
        <w:gridCol w:w="1514"/>
        <w:gridCol w:w="281"/>
        <w:gridCol w:w="299"/>
        <w:gridCol w:w="302"/>
        <w:gridCol w:w="267"/>
        <w:gridCol w:w="173"/>
        <w:gridCol w:w="173"/>
        <w:gridCol w:w="281"/>
        <w:gridCol w:w="299"/>
        <w:gridCol w:w="302"/>
        <w:gridCol w:w="109"/>
        <w:gridCol w:w="109"/>
        <w:gridCol w:w="109"/>
        <w:gridCol w:w="305"/>
        <w:gridCol w:w="310"/>
        <w:gridCol w:w="312"/>
        <w:gridCol w:w="292"/>
        <w:gridCol w:w="181"/>
        <w:gridCol w:w="176"/>
        <w:gridCol w:w="305"/>
        <w:gridCol w:w="310"/>
        <w:gridCol w:w="312"/>
        <w:gridCol w:w="161"/>
      </w:tblGrid>
      <w:tr>
        <w:trPr/>
        <w:tc>
          <w:tcPr>
            <w:tcW w:w="1814"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 Income (Expense))</w:t>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Collins Aerospace</w:t>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8,210</w:t>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15,812</w:t>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14,839</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profit</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w:t>
            </w:r>
          </w:p>
        </w:tc>
        <w:tc>
          <w:tcPr>
            <w:tcW w:w="6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w:t>
            </w:r>
          </w:p>
        </w:tc>
        <w:tc>
          <w:tcPr>
            <w:tcW w:w="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Segment and portfolio transformation and divestiture costs </w:t>
            </w:r>
            <w:r>
              <w:rPr>
                <w:rFonts w:ascii="Times New Roman;serif" w:hAnsi="Times New Roman;serif"/>
                <w:b w:val="false"/>
                <w:color w:val="000000"/>
                <w:sz w:val="12"/>
              </w:rPr>
              <w:t>(1)</w:t>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profit</w:t>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w:t>
            </w:r>
          </w:p>
        </w:tc>
        <w:tc>
          <w:tcPr>
            <w:tcW w:w="6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2,668</w:t>
            </w:r>
          </w:p>
        </w:tc>
        <w:tc>
          <w:tcPr>
            <w:tcW w:w="6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2,476</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profit margin</w:t>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Pratt &amp; Whitney</w:t>
            </w:r>
          </w:p>
        </w:tc>
        <w:tc>
          <w:tcPr>
            <w:tcW w:w="88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8,889</w:t>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17,062</w:t>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14,997</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profit</w:t>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w:t>
            </w:r>
          </w:p>
        </w:tc>
        <w:tc>
          <w:tcPr>
            <w:tcW w:w="6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w:t>
            </w:r>
          </w:p>
        </w:tc>
        <w:tc>
          <w:tcPr>
            <w:tcW w:w="6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Customer bankruptcy </w:t>
            </w:r>
            <w:r>
              <w:rPr>
                <w:rFonts w:ascii="Times New Roman;serif" w:hAnsi="Times New Roman;serif"/>
                <w:b w:val="false"/>
                <w:color w:val="000000"/>
                <w:sz w:val="12"/>
              </w:rPr>
              <w:t>(1)</w:t>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profit</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w:t>
            </w:r>
          </w:p>
        </w:tc>
        <w:tc>
          <w:tcPr>
            <w:tcW w:w="6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w:t>
            </w:r>
          </w:p>
        </w:tc>
        <w:tc>
          <w:tcPr>
            <w:tcW w:w="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profit margin</w:t>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Raytheon</w:t>
            </w:r>
          </w:p>
        </w:tc>
        <w:tc>
          <w:tcPr>
            <w:tcW w:w="88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8,269</w:t>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15,214</w:t>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profit</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w:t>
            </w:r>
          </w:p>
        </w:tc>
        <w:tc>
          <w:tcPr>
            <w:tcW w:w="6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w:t>
            </w:r>
          </w:p>
        </w:tc>
        <w:tc>
          <w:tcPr>
            <w:tcW w:w="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profit</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w:t>
            </w:r>
          </w:p>
        </w:tc>
        <w:tc>
          <w:tcPr>
            <w:tcW w:w="6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w:t>
            </w:r>
          </w:p>
        </w:tc>
        <w:tc>
          <w:tcPr>
            <w:tcW w:w="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profit margin</w:t>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Eliminations and Other</w:t>
            </w:r>
          </w:p>
        </w:tc>
        <w:tc>
          <w:tcPr>
            <w:tcW w:w="88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w:t>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w:t>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profit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6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Gain on investment </w:t>
            </w:r>
            <w:r>
              <w:rPr>
                <w:rFonts w:ascii="Times New Roman;serif" w:hAnsi="Times New Roman;serif"/>
                <w:b w:val="false"/>
                <w:color w:val="000000"/>
                <w:sz w:val="12"/>
              </w:rPr>
              <w:t>(1)</w:t>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profit (loss)</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6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Corporate expenses and other unallocated items</w:t>
            </w:r>
          </w:p>
        </w:tc>
        <w:tc>
          <w:tcPr>
            <w:tcW w:w="88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 audit settlements and closures </w:t>
            </w:r>
            <w:r>
              <w:rPr>
                <w:rFonts w:ascii="Times New Roman;serif" w:hAnsi="Times New Roman;serif"/>
                <w:b w:val="false"/>
                <w:color w:val="000000"/>
                <w:sz w:val="12"/>
              </w:rPr>
              <w:t>(1)</w:t>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Litigation matter </w:t>
            </w:r>
            <w:r>
              <w:rPr>
                <w:rFonts w:ascii="Times New Roman;serif" w:hAnsi="Times New Roman;serif"/>
                <w:b w:val="false"/>
                <w:color w:val="000000"/>
                <w:sz w:val="12"/>
              </w:rPr>
              <w:t>(1)</w:t>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profit (loss)</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FAS/CAS Operating Adjustment</w:t>
            </w:r>
          </w:p>
        </w:tc>
        <w:tc>
          <w:tcPr>
            <w:tcW w:w="88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profit</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w:t>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Acquisition Accounting Adjustments</w:t>
            </w:r>
          </w:p>
        </w:tc>
        <w:tc>
          <w:tcPr>
            <w:tcW w:w="88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w:t>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w:t>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accounting adjustments</w:t>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w:t>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w:t>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loss</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RTX Consolidated</w:t>
            </w:r>
          </w:p>
        </w:tc>
        <w:tc>
          <w:tcPr>
            <w:tcW w:w="88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24,708</w:t>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46,784</w:t>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41,887</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613"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profit </w:t>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2,811</w:t>
            </w:r>
          </w:p>
        </w:tc>
        <w:tc>
          <w:tcPr>
            <w:tcW w:w="6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5,366</w:t>
            </w:r>
          </w:p>
        </w:tc>
        <w:tc>
          <w:tcPr>
            <w:tcW w:w="6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accounting adjustments</w:t>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w:t>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w:t>
            </w:r>
          </w:p>
        </w:tc>
        <w:tc>
          <w:tcPr>
            <w:tcW w:w="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net significant and/or non-recurring items included in Operating profit above </w:t>
            </w:r>
            <w:r>
              <w:rPr>
                <w:rFonts w:ascii="Times New Roman;serif" w:hAnsi="Times New Roman;serif"/>
                <w:b w:val="false"/>
                <w:color w:val="000000"/>
                <w:sz w:val="12"/>
              </w:rPr>
              <w:t>(1)</w:t>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profit</w:t>
            </w:r>
          </w:p>
        </w:tc>
        <w:tc>
          <w:tcPr>
            <w:tcW w:w="28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3,359</w:t>
            </w:r>
          </w:p>
        </w:tc>
        <w:tc>
          <w:tcPr>
            <w:tcW w:w="613"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2,793</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6,382</w:t>
            </w:r>
          </w:p>
        </w:tc>
        <w:tc>
          <w:tcPr>
            <w:tcW w:w="649"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gridSpan w:val="2"/>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5,456</w:t>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(1)    Refer to “Non-GAAP Financial Adjustments” below for a description of these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Reconciliation of Adjusted (Non-GAAP) Results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Income, Earnings Per Share, and Effective Tax Rate</w:t>
      </w:r>
    </w:p>
    <w:tbl>
      <w:tblPr>
        <w:tblW w:w="10205" w:type="dxa"/>
        <w:jc w:val="left"/>
        <w:tblInd w:w="0" w:type="dxa"/>
        <w:tblLayout w:type="fixed"/>
        <w:tblCellMar>
          <w:top w:w="28" w:type="dxa"/>
          <w:left w:w="28" w:type="dxa"/>
          <w:bottom w:w="28" w:type="dxa"/>
          <w:right w:w="28" w:type="dxa"/>
        </w:tblCellMar>
      </w:tblPr>
      <w:tblGrid>
        <w:gridCol w:w="2001"/>
        <w:gridCol w:w="1684"/>
        <w:gridCol w:w="1690"/>
        <w:gridCol w:w="303"/>
        <w:gridCol w:w="255"/>
        <w:gridCol w:w="256"/>
        <w:gridCol w:w="163"/>
        <w:gridCol w:w="163"/>
        <w:gridCol w:w="163"/>
        <w:gridCol w:w="303"/>
        <w:gridCol w:w="255"/>
        <w:gridCol w:w="256"/>
        <w:gridCol w:w="109"/>
        <w:gridCol w:w="109"/>
        <w:gridCol w:w="109"/>
        <w:gridCol w:w="333"/>
        <w:gridCol w:w="255"/>
        <w:gridCol w:w="256"/>
        <w:gridCol w:w="180"/>
        <w:gridCol w:w="180"/>
        <w:gridCol w:w="180"/>
        <w:gridCol w:w="333"/>
        <w:gridCol w:w="255"/>
        <w:gridCol w:w="256"/>
        <w:gridCol w:w="158"/>
      </w:tblGrid>
      <w:tr>
        <w:trPr/>
        <w:tc>
          <w:tcPr>
            <w:tcW w:w="2001"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 - Income (Expense))</w:t>
            </w:r>
          </w:p>
        </w:tc>
        <w:tc>
          <w:tcPr>
            <w:tcW w:w="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common shareowners</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2,139</w:t>
            </w:r>
          </w:p>
        </w:tc>
        <w:tc>
          <w:tcPr>
            <w:tcW w:w="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1,657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4,198</w:t>
            </w:r>
          </w:p>
        </w:tc>
        <w:tc>
          <w:tcPr>
            <w:tcW w:w="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3,192</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Restructuring</w:t>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Acquisition accounting adjustments</w:t>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net significant and/or non-recurring items included in Operating profit </w:t>
            </w:r>
            <w:r>
              <w:rPr>
                <w:rFonts w:ascii="Times New Roman;serif" w:hAnsi="Times New Roman;serif"/>
                <w:b w:val="false"/>
                <w:color w:val="000000"/>
                <w:sz w:val="12"/>
              </w:rPr>
              <w:t>(1)</w:t>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Significant and/or non-recurring items included in Non-service Pension Income</w:t>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Non-service pension restructuring</w:t>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Significant non-recurring and non-operational items included in Interest Expense, Net</w:t>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 audit settlements and closures </w:t>
            </w:r>
            <w:r>
              <w:rPr>
                <w:rFonts w:ascii="Times New Roman;serif" w:hAnsi="Times New Roman;serif"/>
                <w:b w:val="false"/>
                <w:color w:val="000000"/>
                <w:sz w:val="12"/>
              </w:rPr>
              <w:t>(1)</w:t>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International tax matter </w:t>
            </w:r>
            <w:r>
              <w:rPr>
                <w:rFonts w:ascii="Times New Roman;serif" w:hAnsi="Times New Roman;serif"/>
                <w:b w:val="false"/>
                <w:color w:val="000000"/>
                <w:sz w:val="12"/>
              </w:rPr>
              <w:t>(1)</w:t>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 of restructuring and net significant and/or non-recurring items above</w:t>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360"/>
              <w:jc w:val="left"/>
              <w:rPr>
                <w:rFonts w:ascii="Times New Roman;serif" w:hAnsi="Times New Roman;serif"/>
                <w:b w:val="false"/>
                <w:i/>
                <w:color w:val="000000"/>
                <w:sz w:val="18"/>
              </w:rPr>
            </w:pPr>
            <w:r>
              <w:rPr>
                <w:rFonts w:ascii="Times New Roman;serif" w:hAnsi="Times New Roman;serif"/>
                <w:b w:val="false"/>
                <w:i/>
                <w:color w:val="000000"/>
                <w:sz w:val="18"/>
              </w:rPr>
              <w:t>Significant and/or non-recurring items included in Income Tax Expense</w:t>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 audit settlements and closures </w:t>
            </w:r>
            <w:r>
              <w:rPr>
                <w:rFonts w:ascii="Times New Roman;serif" w:hAnsi="Times New Roman;serif"/>
                <w:b w:val="false"/>
                <w:color w:val="000000"/>
                <w:sz w:val="12"/>
              </w:rPr>
              <w:t>(1)</w:t>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Less: Impact on net income attributable to common shareowners</w:t>
            </w:r>
          </w:p>
        </w:tc>
        <w:tc>
          <w:tcPr>
            <w:tcW w:w="8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(440)</w:t>
            </w:r>
          </w:p>
        </w:tc>
        <w:tc>
          <w:tcPr>
            <w:tcW w:w="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(461)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(806)</w:t>
            </w:r>
          </w:p>
        </w:tc>
        <w:tc>
          <w:tcPr>
            <w:tcW w:w="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(917)</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 attributable to common shareowners</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2,579</w:t>
            </w:r>
          </w:p>
        </w:tc>
        <w:tc>
          <w:tcPr>
            <w:tcW w:w="4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2,118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5,004</w:t>
            </w:r>
          </w:p>
        </w:tc>
        <w:tc>
          <w:tcPr>
            <w:tcW w:w="5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4,109</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Earnings Per Share</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1.57</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3.08</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2.36</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on Diluted Earnings Per Share</w:t>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(0.68)</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Diluted Earnings Per Share</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1.89</w:t>
            </w:r>
          </w:p>
        </w:tc>
        <w:tc>
          <w:tcPr>
            <w:tcW w:w="4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3.67</w:t>
            </w:r>
          </w:p>
        </w:tc>
        <w:tc>
          <w:tcPr>
            <w:tcW w:w="5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3.04</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Effective Tax Rate </w:t>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18.0%</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16.3%</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16.2%</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Impact on Effective Tax Rate </w:t>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Adjusted Effective Tax Rate </w:t>
            </w:r>
          </w:p>
        </w:tc>
        <w:tc>
          <w:tcPr>
            <w:tcW w:w="814"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18.3%</w:t>
            </w:r>
          </w:p>
        </w:tc>
        <w:tc>
          <w:tcPr>
            <w:tcW w:w="489"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18.3%</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17.0%</w:t>
            </w:r>
          </w:p>
        </w:tc>
        <w:tc>
          <w:tcPr>
            <w:tcW w:w="54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18.8%</w:t>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(1)    Refer to “Non-GAAP Financial Adjustments” below for a description of these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Reconciliation of Adjusted (Non-GAAP) Results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Segment Operating Profit Margin and Adjusted Segment Operating Profit Margin</w:t>
      </w:r>
    </w:p>
    <w:tbl>
      <w:tblPr>
        <w:tblW w:w="9168" w:type="dxa"/>
        <w:jc w:val="left"/>
        <w:tblInd w:w="0" w:type="dxa"/>
        <w:tblLayout w:type="fixed"/>
        <w:tblCellMar>
          <w:top w:w="28" w:type="dxa"/>
          <w:left w:w="28" w:type="dxa"/>
          <w:bottom w:w="28" w:type="dxa"/>
          <w:right w:w="28" w:type="dxa"/>
        </w:tblCellMar>
      </w:tblPr>
      <w:tblGrid>
        <w:gridCol w:w="1360"/>
        <w:gridCol w:w="1193"/>
        <w:gridCol w:w="1197"/>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301"/>
      </w:tblGrid>
      <w:tr>
        <w:trPr/>
        <w:tc>
          <w:tcPr>
            <w:tcW w:w="136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24,708 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46,784 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41,887 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to segment net sales: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Net Sales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48,088 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43,177 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Profit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Profit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to segment operating profit:</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expenses and other unallocated items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FAS/CAS operating adjustment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accounting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Profit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4,816 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Profit Margin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to adjusted segment operating profit:</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Restructuring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significant and/or non-recurring items </w:t>
            </w:r>
            <w:r>
              <w:rPr>
                <w:rFonts w:ascii="Times New Roman;serif" w:hAnsi="Times New Roman;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Segment Operating Profit</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6,007 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5,161 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Segment Operating Profit Margin</w:t>
            </w:r>
          </w:p>
        </w:tc>
        <w:tc>
          <w:tcPr>
            <w:tcW w:w="84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5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5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30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56"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(1)    Refer to “Non-GAAP Financial Adjustments” below for a description of these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Free Cash Flow Reconciliation</w:t>
      </w:r>
    </w:p>
    <w:tbl>
      <w:tblPr>
        <w:tblW w:w="6992" w:type="dxa"/>
        <w:jc w:val="left"/>
        <w:tblInd w:w="0" w:type="dxa"/>
        <w:tblLayout w:type="fixed"/>
        <w:tblCellMar>
          <w:top w:w="28" w:type="dxa"/>
          <w:left w:w="28" w:type="dxa"/>
          <w:bottom w:w="28" w:type="dxa"/>
          <w:right w:w="28" w:type="dxa"/>
        </w:tblCellMar>
      </w:tblPr>
      <w:tblGrid>
        <w:gridCol w:w="1431"/>
        <w:gridCol w:w="1254"/>
        <w:gridCol w:w="1260"/>
        <w:gridCol w:w="314"/>
        <w:gridCol w:w="919"/>
        <w:gridCol w:w="161"/>
        <w:gridCol w:w="161"/>
        <w:gridCol w:w="170"/>
        <w:gridCol w:w="170"/>
        <w:gridCol w:w="171"/>
        <w:gridCol w:w="211"/>
        <w:gridCol w:w="616"/>
        <w:gridCol w:w="154"/>
      </w:tblGrid>
      <w:tr>
        <w:trPr/>
        <w:tc>
          <w:tcPr>
            <w:tcW w:w="143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 June 30,</w:t>
            </w:r>
          </w:p>
        </w:tc>
        <w:tc>
          <w:tcPr>
            <w:tcW w:w="981" w:type="dxa"/>
            <w:gridSpan w:val="3"/>
            <w:tcBorders/>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981" w:type="dxa"/>
            <w:gridSpan w:val="3"/>
            <w:tcBorders/>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6"/>
              </w:rPr>
              <w:t>(</w:t>
            </w:r>
            <w:r>
              <w:rPr>
                <w:rFonts w:ascii="Times New Roman;serif" w:hAnsi="Times New Roman;serif"/>
                <w:b/>
                <w:i/>
                <w:color w:val="000000"/>
                <w:sz w:val="16"/>
              </w:rPr>
              <w:t>dollars in millions</w:t>
            </w:r>
            <w:r>
              <w:rPr>
                <w:rFonts w:ascii="Times New Roman;serif" w:hAnsi="Times New Roman;serif"/>
                <w:b w:val="false"/>
                <w:i/>
                <w:color w:val="000000"/>
                <w:sz w:val="16"/>
              </w:rPr>
              <w:t>)</w:t>
            </w:r>
          </w:p>
        </w:tc>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81" w:type="dxa"/>
            <w:gridSpan w:val="3"/>
            <w:tcBorders/>
          </w:tcPr>
          <w:p>
            <w:pPr>
              <w:pStyle w:val="TableContents"/>
              <w:bidi w:val="0"/>
              <w:spacing w:before="0" w:after="283"/>
              <w:jc w:val="left"/>
              <w:rPr>
                <w:sz w:val="4"/>
                <w:szCs w:val="4"/>
              </w:rPr>
            </w:pPr>
            <w:r>
              <w:rPr>
                <w:sz w:val="4"/>
                <w:szCs w:val="4"/>
              </w:rPr>
            </w:r>
          </w:p>
        </w:tc>
      </w:tr>
      <w:tr>
        <w:trPr/>
        <w:tc>
          <w:tcPr>
            <w:tcW w:w="39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flows provided by operating activities</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3,547 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Free cash flow </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2,878 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981" w:type="dxa"/>
            <w:gridSpan w:val="3"/>
            <w:tcBorders/>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981" w:type="dxa"/>
            <w:gridSpan w:val="3"/>
            <w:tcBorders/>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(dollars in millions)</w:t>
            </w:r>
          </w:p>
        </w:tc>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81" w:type="dxa"/>
            <w:gridSpan w:val="3"/>
            <w:tcBorders/>
          </w:tcPr>
          <w:p>
            <w:pPr>
              <w:pStyle w:val="TableContents"/>
              <w:bidi w:val="0"/>
              <w:spacing w:before="0" w:after="283"/>
              <w:jc w:val="left"/>
              <w:rPr>
                <w:sz w:val="4"/>
                <w:szCs w:val="4"/>
              </w:rPr>
            </w:pPr>
            <w:r>
              <w:rPr>
                <w:sz w:val="4"/>
                <w:szCs w:val="4"/>
              </w:rPr>
            </w:r>
          </w:p>
        </w:tc>
      </w:tr>
      <w:tr>
        <w:trPr/>
        <w:tc>
          <w:tcPr>
            <w:tcW w:w="39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flows provided by operating activities</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5,402 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expenditures</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Free cash flow</w:t>
            </w:r>
          </w:p>
        </w:tc>
        <w:tc>
          <w:tcPr>
            <w:tcW w:w="31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1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4,187 </w:t>
            </w:r>
          </w:p>
        </w:tc>
        <w:tc>
          <w:tcPr>
            <w:tcW w:w="1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720 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RTX Corporation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Reconciliation of Adjusted (Non-GAAP) Results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Organic Sales Reconciliation</w:t>
      </w:r>
    </w:p>
    <w:tbl>
      <w:tblPr>
        <w:tblW w:w="10205" w:type="dxa"/>
        <w:jc w:val="left"/>
        <w:tblInd w:w="0" w:type="dxa"/>
        <w:tblLayout w:type="fixed"/>
        <w:tblCellMar>
          <w:top w:w="28" w:type="dxa"/>
          <w:left w:w="28" w:type="dxa"/>
          <w:bottom w:w="28" w:type="dxa"/>
          <w:right w:w="28" w:type="dxa"/>
        </w:tblCellMar>
      </w:tblPr>
      <w:tblGrid>
        <w:gridCol w:w="691"/>
        <w:gridCol w:w="495"/>
        <w:gridCol w:w="397"/>
        <w:gridCol w:w="284"/>
        <w:gridCol w:w="832"/>
        <w:gridCol w:w="147"/>
        <w:gridCol w:w="448"/>
        <w:gridCol w:w="1023"/>
        <w:gridCol w:w="233"/>
        <w:gridCol w:w="324"/>
        <w:gridCol w:w="555"/>
        <w:gridCol w:w="167"/>
        <w:gridCol w:w="241"/>
        <w:gridCol w:w="706"/>
        <w:gridCol w:w="125"/>
        <w:gridCol w:w="111"/>
        <w:gridCol w:w="111"/>
        <w:gridCol w:w="111"/>
        <w:gridCol w:w="294"/>
        <w:gridCol w:w="1010"/>
        <w:gridCol w:w="152"/>
        <w:gridCol w:w="394"/>
        <w:gridCol w:w="342"/>
        <w:gridCol w:w="1012"/>
      </w:tblGrid>
      <w:tr>
        <w:trPr/>
        <w:tc>
          <w:tcPr>
            <w:tcW w:w="6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Quarter ended June 30, 2026 compared to the Quarter Ended June 30, 2025</w:t>
            </w:r>
          </w:p>
        </w:tc>
      </w:tr>
      <w:tr>
        <w:trP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15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6"/>
              </w:rPr>
              <w:t>(</w:t>
            </w:r>
            <w:r>
              <w:rPr>
                <w:rFonts w:ascii="Times New Roman;serif" w:hAnsi="Times New Roman;serif"/>
                <w:b/>
                <w:i/>
                <w:color w:val="000000"/>
                <w:sz w:val="16"/>
              </w:rPr>
              <w:t>dollars in millions</w:t>
            </w:r>
            <w:r>
              <w:rPr>
                <w:rFonts w:ascii="Times New Roman;serif" w:hAnsi="Times New Roman;serif"/>
                <w:b w:val="false"/>
                <w:i/>
                <w:color w:val="000000"/>
                <w:sz w:val="16"/>
              </w:rPr>
              <w:t>)</w:t>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Reported Change</w:t>
            </w:r>
          </w:p>
        </w:tc>
        <w:tc>
          <w:tcPr>
            <w:tcW w:w="17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&amp; Divestitures Change</w:t>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FX / Other Change </w:t>
            </w:r>
            <w:r>
              <w:rPr>
                <w:rFonts w:ascii="Times New Roman;serif" w:hAnsi="Times New Roman;serif"/>
                <w:b/>
                <w:color w:val="000000"/>
                <w:sz w:val="10"/>
              </w:rPr>
              <w:t>(2)</w:t>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Organic Change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Prior Year Adjusted Sales </w:t>
            </w:r>
            <w:r>
              <w:rPr>
                <w:rFonts w:ascii="Times New Roman;serif" w:hAnsi="Times New Roman;serif"/>
                <w:b/>
                <w:color w:val="000000"/>
                <w:sz w:val="10"/>
              </w:rPr>
              <w:t>(1)</w:t>
            </w:r>
          </w:p>
        </w:tc>
        <w:tc>
          <w:tcPr>
            <w:tcW w:w="17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Organic Change as a % of Adjusted Sales</w:t>
            </w:r>
          </w:p>
        </w:tc>
      </w:tr>
      <w:tr>
        <w:trPr/>
        <w:tc>
          <w:tcPr>
            <w:tcW w:w="15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Collins Aerospace</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588 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(404)</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981 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7,622 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0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Pratt &amp; Whitney</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7,631 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17 </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Raytheon</w:t>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7,001 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18 </w:t>
            </w:r>
          </w:p>
        </w:tc>
        <w:tc>
          <w:tcPr>
            <w:tcW w:w="10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Eliminations and Other </w:t>
            </w:r>
            <w:r>
              <w:rPr>
                <w:rFonts w:ascii="Times New Roman;serif" w:hAnsi="Times New Roman;serif"/>
                <w:b w:val="false"/>
                <w:color w:val="000000"/>
                <w:sz w:val="12"/>
              </w:rPr>
              <w:t>(3)</w:t>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583"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Consolidated</w:t>
            </w:r>
          </w:p>
        </w:tc>
        <w:tc>
          <w:tcPr>
            <w:tcW w:w="28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3,127 </w:t>
            </w:r>
          </w:p>
        </w:tc>
        <w:tc>
          <w:tcPr>
            <w:tcW w:w="14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(391)</w:t>
            </w:r>
          </w:p>
        </w:tc>
        <w:tc>
          <w:tcPr>
            <w:tcW w:w="23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5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16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3,511 </w:t>
            </w:r>
          </w:p>
        </w:tc>
        <w:tc>
          <w:tcPr>
            <w:tcW w:w="12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21,581 </w:t>
            </w:r>
          </w:p>
        </w:tc>
        <w:tc>
          <w:tcPr>
            <w:tcW w:w="15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16 </w:t>
            </w:r>
          </w:p>
        </w:tc>
        <w:tc>
          <w:tcPr>
            <w:tcW w:w="101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lineRule="auto" w:line="256"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 xml:space="preserve">(1)    For the full Non-GAAP reconciliation of adjusted sales refer to “Reconciliation of Adjusted (Non-GAAP) Results - Adjusted Sales, Adjusted Operating Profit &amp; Operating Profit Margin.” </w:t>
      </w:r>
    </w:p>
    <w:p>
      <w:pPr>
        <w:pStyle w:val="TextBody"/>
        <w:bidi w:val="0"/>
        <w:spacing w:lineRule="auto" w:line="256"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(2)    Includes other significant non-operational items and/or significant operational items that may occur at irregular intervals.</w:t>
      </w:r>
    </w:p>
    <w:p>
      <w:pPr>
        <w:pStyle w:val="TextBody"/>
        <w:bidi w:val="0"/>
        <w:spacing w:lineRule="auto" w:line="256"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(3)    FX/Other Change includes the transactional impact of foreign exchange hedging at Pratt &amp; Whitney Canada, which is included in Pratt &amp; Whitney’s FX/Other Change, but excluded for Consolidated RTX.</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691"/>
        <w:gridCol w:w="496"/>
        <w:gridCol w:w="399"/>
        <w:gridCol w:w="284"/>
        <w:gridCol w:w="833"/>
        <w:gridCol w:w="147"/>
        <w:gridCol w:w="449"/>
        <w:gridCol w:w="1025"/>
        <w:gridCol w:w="233"/>
        <w:gridCol w:w="325"/>
        <w:gridCol w:w="556"/>
        <w:gridCol w:w="167"/>
        <w:gridCol w:w="241"/>
        <w:gridCol w:w="707"/>
        <w:gridCol w:w="124"/>
        <w:gridCol w:w="115"/>
        <w:gridCol w:w="115"/>
        <w:gridCol w:w="115"/>
        <w:gridCol w:w="295"/>
        <w:gridCol w:w="1012"/>
        <w:gridCol w:w="152"/>
        <w:gridCol w:w="367"/>
        <w:gridCol w:w="343"/>
        <w:gridCol w:w="1014"/>
      </w:tblGrid>
      <w:tr>
        <w:trPr/>
        <w:tc>
          <w:tcPr>
            <w:tcW w:w="69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r>
      <w:tr>
        <w:trPr/>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9"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 2026 compared to the Six Months Ended June 30, 2025</w:t>
            </w:r>
          </w:p>
        </w:tc>
      </w:tr>
      <w:tr>
        <w:trPr/>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r>
      <w:tr>
        <w:trPr/>
        <w:tc>
          <w:tcPr>
            <w:tcW w:w="15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6"/>
              </w:rPr>
              <w:t>(</w:t>
            </w:r>
            <w:r>
              <w:rPr>
                <w:rFonts w:ascii="Times New Roman;serif" w:hAnsi="Times New Roman;serif"/>
                <w:b/>
                <w:i/>
                <w:color w:val="000000"/>
                <w:sz w:val="16"/>
              </w:rPr>
              <w:t>dollars in millions</w:t>
            </w:r>
            <w:r>
              <w:rPr>
                <w:rFonts w:ascii="Times New Roman;serif" w:hAnsi="Times New Roman;serif"/>
                <w:b w:val="false"/>
                <w:i/>
                <w:color w:val="000000"/>
                <w:sz w:val="16"/>
              </w:rPr>
              <w:t>)</w:t>
            </w:r>
          </w:p>
        </w:tc>
        <w:tc>
          <w:tcPr>
            <w:tcW w:w="1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Reported Change</w:t>
            </w:r>
          </w:p>
        </w:tc>
        <w:tc>
          <w:tcPr>
            <w:tcW w:w="1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&amp; Divestitures Change</w:t>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FX / Other Change </w:t>
            </w:r>
            <w:r>
              <w:rPr>
                <w:rFonts w:ascii="Times New Roman;serif" w:hAnsi="Times New Roman;serif"/>
                <w:b/>
                <w:color w:val="000000"/>
                <w:sz w:val="10"/>
              </w:rPr>
              <w:t>(2)</w:t>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Organic Change</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Prior Year Adjusted Sales </w:t>
            </w:r>
            <w:r>
              <w:rPr>
                <w:rFonts w:ascii="Times New Roman;serif" w:hAnsi="Times New Roman;serif"/>
                <w:b/>
                <w:color w:val="000000"/>
                <w:sz w:val="10"/>
              </w:rPr>
              <w:t>(1)</w:t>
            </w:r>
          </w:p>
        </w:tc>
        <w:tc>
          <w:tcPr>
            <w:tcW w:w="1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Organic Change as a % of Adjusted Sales</w:t>
            </w:r>
          </w:p>
        </w:tc>
      </w:tr>
      <w:tr>
        <w:trPr/>
        <w:tc>
          <w:tcPr>
            <w:tcW w:w="15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Collins Aerospace</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973 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(787)</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1,709 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14,839 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12 </w:t>
            </w:r>
          </w:p>
        </w:tc>
        <w:tc>
          <w:tcPr>
            <w:tcW w:w="10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Pratt &amp; Whitney</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14,997 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Raytheon</w:t>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1,873 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13,341 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14 </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Eliminations and Other </w:t>
            </w:r>
            <w:r>
              <w:rPr>
                <w:rFonts w:ascii="Times New Roman;serif" w:hAnsi="Times New Roman;serif"/>
                <w:b w:val="false"/>
                <w:color w:val="000000"/>
                <w:sz w:val="12"/>
              </w:rPr>
              <w:t>(3)</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(1,290)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586"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Consolidated</w:t>
            </w:r>
          </w:p>
        </w:tc>
        <w:tc>
          <w:tcPr>
            <w:tcW w:w="28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3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4,897 </w:t>
            </w:r>
          </w:p>
        </w:tc>
        <w:tc>
          <w:tcPr>
            <w:tcW w:w="14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2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(761)</w:t>
            </w:r>
          </w:p>
        </w:tc>
        <w:tc>
          <w:tcPr>
            <w:tcW w:w="23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55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70 </w:t>
            </w:r>
          </w:p>
        </w:tc>
        <w:tc>
          <w:tcPr>
            <w:tcW w:w="16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0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5,588 </w:t>
            </w:r>
          </w:p>
        </w:tc>
        <w:tc>
          <w:tcPr>
            <w:tcW w:w="12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1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41,887 </w:t>
            </w:r>
          </w:p>
        </w:tc>
        <w:tc>
          <w:tcPr>
            <w:tcW w:w="15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13 </w:t>
            </w:r>
          </w:p>
        </w:tc>
        <w:tc>
          <w:tcPr>
            <w:tcW w:w="101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lineRule="auto" w:line="256"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 xml:space="preserve">(1)    For the full Non-GAAP reconciliation of adjusted sales refer to “Reconciliation of Adjusted (Non-GAAP) Results - Adjusted Sales, Adjusted Operating Profit &amp; Operating Profit Margin.” </w:t>
      </w:r>
    </w:p>
    <w:p>
      <w:pPr>
        <w:pStyle w:val="TextBody"/>
        <w:bidi w:val="0"/>
        <w:spacing w:lineRule="auto" w:line="256"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(2)    Includes other significant non-operational items and/or significant operational items that may occur at irregular intervals.</w:t>
      </w:r>
    </w:p>
    <w:p>
      <w:pPr>
        <w:pStyle w:val="TextBody"/>
        <w:bidi w:val="0"/>
        <w:spacing w:lineRule="auto" w:line="256"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(3)    FX/Other Change includes the transactional impact of foreign exchange hedging at Pratt &amp; Whitney Canada, which is included in Pratt &amp; Whitney’s FX/Other Change, but excluded for Consolidated RTX.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Financial Adjustments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77"/>
        <w:gridCol w:w="574"/>
        <w:gridCol w:w="576"/>
        <w:gridCol w:w="2625"/>
        <w:gridCol w:w="2328"/>
        <w:gridCol w:w="3325"/>
      </w:tblGrid>
      <w:tr>
        <w:trPr/>
        <w:tc>
          <w:tcPr>
            <w:tcW w:w="7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3325" w:type="dxa"/>
            <w:tcBorders/>
            <w:vAlign w:val="center"/>
          </w:tcPr>
          <w:p>
            <w:pPr>
              <w:pStyle w:val="TableContents"/>
              <w:bidi w:val="0"/>
              <w:spacing w:before="0" w:after="283"/>
              <w:jc w:val="left"/>
              <w:rPr>
                <w:sz w:val="4"/>
                <w:szCs w:val="4"/>
              </w:rPr>
            </w:pPr>
            <w:r>
              <w:rPr>
                <w:sz w:val="4"/>
                <w:szCs w:val="4"/>
              </w:rPr>
            </w:r>
          </w:p>
        </w:tc>
      </w:tr>
      <w:tr>
        <w:trPr/>
        <w:tc>
          <w:tcPr>
            <w:tcW w:w="1927"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Non-GAAP Adjustments</w:t>
            </w:r>
          </w:p>
        </w:tc>
        <w:tc>
          <w:tcPr>
            <w:tcW w:w="8278"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68" w:before="0" w:after="283"/>
              <w:jc w:val="left"/>
              <w:rPr>
                <w:rFonts w:ascii="Times New Roman;serif" w:hAnsi="Times New Roman;serif"/>
                <w:b/>
                <w:color w:val="000000"/>
                <w:sz w:val="19"/>
              </w:rPr>
            </w:pPr>
            <w:r>
              <w:rPr>
                <w:rFonts w:ascii="Times New Roman;serif" w:hAnsi="Times New Roman;serif"/>
                <w:b/>
                <w:color w:val="000000"/>
                <w:sz w:val="19"/>
              </w:rPr>
              <w:t>Description</w:t>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8278"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Segment and portfolio transformation and divestiture costs</w:t>
            </w:r>
          </w:p>
        </w:tc>
        <w:tc>
          <w:tcPr>
            <w:tcW w:w="8278"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The quarter and six months ended June 30, 2025 include separation costs incurred in advance of the completion of certain divestitures.</w:t>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8278"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8278"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8278"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8278"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8278"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Customer bankruptcy</w:t>
            </w:r>
          </w:p>
        </w:tc>
        <w:tc>
          <w:tcPr>
            <w:tcW w:w="8278"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The quarter and six months ended June 30, 2025 include a net pre-tax charge of approximately $0.1 billion related to a customer bankruptcy at Pratt &amp; Whitney. The charge primarily relates to contract asset exposures with a customer. Management has determined that the nature and significance of the charge is considered unusual and, therefore, not indicative of the Company’s ongoing operational performance.</w:t>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8278"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8278"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8278"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8278"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Gain on investment</w:t>
            </w:r>
          </w:p>
        </w:tc>
        <w:tc>
          <w:tcPr>
            <w:tcW w:w="8278"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56"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The quarter and six months ended June 30, 2026 and quarter and six months ended June 30, 2025, include a pre-tax gain of $70 million and $41 million, respectively, related to the increase in fair value on an investment. Management has determined that the nature of the gain on investment to be significant and non-operational, and, therefore, not indicative of the Company’s ongoing operational performance. </w:t>
            </w:r>
          </w:p>
        </w:tc>
      </w:tr>
      <w:tr>
        <w:trPr/>
        <w:tc>
          <w:tcPr>
            <w:tcW w:w="1927"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Tax audit settlements and closures</w:t>
            </w:r>
          </w:p>
        </w:tc>
        <w:tc>
          <w:tcPr>
            <w:tcW w:w="8278" w:type="dxa"/>
            <w:gridSpan w:val="3"/>
            <w:tcBorders>
              <w:top w:val="single" w:sz="8" w:space="0" w:color="000000"/>
              <w:left w:val="single" w:sz="8" w:space="0" w:color="000000"/>
              <w:right w:val="single" w:sz="8" w:space="0" w:color="000000"/>
            </w:tcBorders>
            <w:shd w:fill="CCEEFF" w:val="clear"/>
            <w:tcMar>
              <w:top w:w="52" w:type="dxa"/>
              <w:bottom w:w="0" w:type="dxa"/>
            </w:tcMar>
            <w:vAlign w:val="center"/>
          </w:tcPr>
          <w:p>
            <w:pPr>
              <w:pStyle w:val="TableContents"/>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The quarter and six months ended June 30, 2025 include a tax benefit of $59 million and a pre-tax benefit on the reversal of $54 million of interest accruals both recognized as a result of the closure of the examination phase of multiple state tax audits. In addition, in the quarter and six months ended June 30, 2025, there was a tax benefit of $33 million and a net pre-tax benefit of $6 million from the</w:t>
            </w:r>
          </w:p>
          <w:p>
            <w:pPr>
              <w:pStyle w:val="TableContents"/>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reversal of interest accruals and the write-off of certain tax related indemnity receivables associated</w:t>
            </w:r>
          </w:p>
          <w:p>
            <w:pPr>
              <w:pStyle w:val="TableContents"/>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with the closure of a federal tax audit. </w:t>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8278"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Litigation matter</w:t>
            </w:r>
          </w:p>
        </w:tc>
        <w:tc>
          <w:tcPr>
            <w:tcW w:w="8278" w:type="dxa"/>
            <w:gridSpan w:val="3"/>
            <w:tcBorders>
              <w:top w:val="single" w:sz="8" w:space="0" w:color="000000"/>
              <w:left w:val="single" w:sz="8" w:space="0" w:color="000000"/>
              <w:right w:val="single" w:sz="8" w:space="0" w:color="000000"/>
            </w:tcBorders>
            <w:shd w:fill="FFFFFF" w:val="clear"/>
            <w:tcMar>
              <w:top w:w="52" w:type="dxa"/>
              <w:bottom w:w="0" w:type="dxa"/>
            </w:tcMar>
            <w:vAlign w:val="center"/>
          </w:tcPr>
          <w:p>
            <w:pPr>
              <w:pStyle w:val="TableContents"/>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 xml:space="preserve">The quarter and six months ended June 30, 2026 include a pre-tax charge of $69 million related to a litigation matter. Management considers this charge non-operational and directly attributable to the litigation matter and, therefore, not indicative of the Company’s ongoing operational performance. </w:t>
            </w:r>
          </w:p>
        </w:tc>
      </w:tr>
      <w:tr>
        <w:trPr/>
        <w:tc>
          <w:tcPr>
            <w:tcW w:w="1927" w:type="dxa"/>
            <w:gridSpan w:val="3"/>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International tax matter </w:t>
            </w:r>
          </w:p>
        </w:tc>
        <w:tc>
          <w:tcPr>
            <w:tcW w:w="8278" w:type="dxa"/>
            <w:gridSpan w:val="3"/>
            <w:tcBorders>
              <w:top w:val="single" w:sz="8" w:space="0" w:color="000000"/>
              <w:left w:val="single" w:sz="8" w:space="0" w:color="000000"/>
              <w:bottom w:val="single" w:sz="8" w:space="0" w:color="000000"/>
              <w:right w:val="single" w:sz="8" w:space="0" w:color="000000"/>
            </w:tcBorders>
            <w:shd w:fill="CCEEFF" w:val="clear"/>
            <w:tcMar>
              <w:top w:w="52" w:type="dxa"/>
              <w:bottom w:w="30" w:type="dxa"/>
            </w:tcMar>
            <w:vAlign w:val="center"/>
          </w:tcPr>
          <w:p>
            <w:pPr>
              <w:pStyle w:val="TableContents"/>
              <w:bidi w:val="0"/>
              <w:spacing w:lineRule="auto" w:line="268" w:before="0" w:after="0"/>
              <w:jc w:val="both"/>
              <w:rPr>
                <w:rFonts w:ascii="Times New Roman;serif" w:hAnsi="Times New Roman;serif"/>
                <w:b w:val="false"/>
                <w:color w:val="000000"/>
                <w:sz w:val="19"/>
              </w:rPr>
            </w:pPr>
            <w:r>
              <w:rPr>
                <w:rFonts w:ascii="Times New Roman;serif" w:hAnsi="Times New Roman;serif"/>
                <w:b w:val="false"/>
                <w:color w:val="000000"/>
                <w:sz w:val="19"/>
              </w:rPr>
              <w:t>During the six months ended June 30, 2025, the Company recorded the impact of an unfavorable decision related to an international tax matter for the years ended December 31, 2015 to December 31, 2019, resulting in interest expense, net of $35 million and a tax benefit of $8 million. Management has determined that the nature of this impact related to the tax matter is considered significant and non-operational, and, therefore, not indicative of the Company’s ongoing operational performance.</w:t>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8278" w:type="dxa"/>
            <w:gridSpan w:val="3"/>
            <w:tcBorders/>
            <w:vAlign w:val="center"/>
          </w:tcPr>
          <w:p>
            <w:pPr>
              <w:pStyle w:val="TableContents"/>
              <w:bidi w:val="0"/>
              <w:spacing w:before="0" w:after="283"/>
              <w:jc w:val="left"/>
              <w:rPr>
                <w:sz w:val="4"/>
                <w:szCs w:val="4"/>
              </w:rPr>
            </w:pPr>
            <w:r>
              <w:rPr>
                <w:sz w:val="4"/>
                <w:szCs w:val="4"/>
              </w:rPr>
            </w:r>
          </w:p>
        </w:tc>
      </w:tr>
      <w:tr>
        <w:trPr/>
        <w:tc>
          <w:tcPr>
            <w:tcW w:w="1927" w:type="dxa"/>
            <w:gridSpan w:val="3"/>
            <w:tcBorders/>
            <w:vAlign w:val="center"/>
          </w:tcPr>
          <w:p>
            <w:pPr>
              <w:pStyle w:val="TableContents"/>
              <w:bidi w:val="0"/>
              <w:spacing w:before="0" w:after="283"/>
              <w:jc w:val="left"/>
              <w:rPr>
                <w:sz w:val="4"/>
                <w:szCs w:val="4"/>
              </w:rPr>
            </w:pPr>
            <w:r>
              <w:rPr>
                <w:sz w:val="4"/>
                <w:szCs w:val="4"/>
              </w:rPr>
            </w:r>
          </w:p>
        </w:tc>
        <w:tc>
          <w:tcPr>
            <w:tcW w:w="82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6530</Words>
  <Characters>36262</Characters>
  <CharactersWithSpaces>41645</CharactersWithSpaces>
  <Paragraphs>1762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