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Financial Plaza, Hartford, Connecticut 06101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March 31, 2014 there were 916,731,329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2014</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2"/>
        </w:trPr>
        <w:tc>
          <w:tcPr>
            <w:tcW w:w="140" w:type="dxa"/>
            <w:vAlign w:val="bottom"/>
            <w:tcBorders>
              <w:top w:val="single" w:sz="8" w:color="0000FF"/>
            </w:tcBorders>
          </w:tcPr>
          <w:p>
            <w:pPr>
              <w:spacing w:after="0"/>
              <w:rPr>
                <w:sz w:val="24"/>
                <w:szCs w:val="24"/>
                <w:color w:val="auto"/>
              </w:rPr>
            </w:pPr>
          </w:p>
        </w:tc>
        <w:tc>
          <w:tcPr>
            <w:tcW w:w="21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760" w:type="dxa"/>
            <w:vAlign w:val="bottom"/>
            <w:tcBorders>
              <w:top w:val="single" w:sz="8" w:color="0000FF"/>
            </w:tcBorders>
            <w:gridSpan w:val="3"/>
          </w:tcPr>
          <w:p>
            <w:pPr>
              <w:spacing w:after="0"/>
              <w:rPr>
                <w:sz w:val="24"/>
                <w:szCs w:val="24"/>
                <w:color w:val="auto"/>
              </w:rPr>
            </w:pPr>
          </w:p>
        </w:tc>
        <w:tc>
          <w:tcPr>
            <w:tcW w:w="7700" w:type="dxa"/>
            <w:vAlign w:val="bottom"/>
            <w:gridSpan w:val="8"/>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 of Comprehensive Income for the quarters ended March 31, 2014 and 2013</w:t>
              </w:r>
            </w:hyperlink>
          </w:p>
        </w:tc>
        <w:tc>
          <w:tcPr>
            <w:tcW w:w="2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 at March 31, 2014 and December 31, 2013</w:t>
              </w:r>
            </w:hyperlink>
          </w:p>
        </w:tc>
        <w:tc>
          <w:tcPr>
            <w:tcW w:w="436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Cash Flows for the quarters ended March 31, 2014 and 2013</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Borders>
              <w:top w:val="single" w:sz="8" w:color="0000FF"/>
            </w:tcBorders>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32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 Quantitative and Qualitative Disclosures About Market Risk</w:t>
              </w:r>
            </w:hyperlink>
          </w:p>
        </w:tc>
        <w:tc>
          <w:tcPr>
            <w:tcW w:w="3580" w:type="dxa"/>
            <w:vAlign w:val="bottom"/>
            <w:gridSpan w:val="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8"/>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Item 4. Controls and Procedures</w:t>
              </w:r>
            </w:hyperlink>
          </w:p>
        </w:tc>
        <w:tc>
          <w:tcPr>
            <w:tcW w:w="2580" w:type="dxa"/>
            <w:vAlign w:val="bottom"/>
            <w:gridSpan w:val="5"/>
          </w:tcPr>
          <w:p>
            <w:pPr>
              <w:spacing w:after="0"/>
              <w:rPr>
                <w:sz w:val="24"/>
                <w:szCs w:val="24"/>
                <w:color w:val="auto"/>
              </w:rPr>
            </w:pPr>
          </w:p>
        </w:tc>
        <w:tc>
          <w:tcPr>
            <w:tcW w:w="566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10"/>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PART II – OTHER INFORMATION</w:t>
              </w:r>
            </w:hyperlink>
          </w:p>
        </w:tc>
        <w:tc>
          <w:tcPr>
            <w:tcW w:w="804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Legal Proceedings</w:t>
              </w:r>
            </w:hyperlink>
          </w:p>
        </w:tc>
        <w:tc>
          <w:tcPr>
            <w:tcW w:w="640" w:type="dxa"/>
            <w:vAlign w:val="bottom"/>
            <w:gridSpan w:val="3"/>
          </w:tcPr>
          <w:p>
            <w:pPr>
              <w:spacing w:after="0"/>
              <w:rPr>
                <w:sz w:val="24"/>
                <w:szCs w:val="24"/>
                <w:color w:val="auto"/>
              </w:rPr>
            </w:pPr>
          </w:p>
        </w:tc>
        <w:tc>
          <w:tcPr>
            <w:tcW w:w="804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Unregistered Sales of Equity Securities and Use of Proceeds</w:t>
              </w:r>
            </w:hyperlink>
          </w:p>
        </w:tc>
        <w:tc>
          <w:tcPr>
            <w:tcW w:w="566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3.</w:t>
              </w:r>
            </w:hyperlink>
          </w:p>
        </w:tc>
        <w:tc>
          <w:tcPr>
            <w:tcW w:w="4380" w:type="dxa"/>
            <w:vAlign w:val="bottom"/>
            <w:gridSpan w:val="11"/>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566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6.</w:t>
              </w:r>
            </w:hyperlink>
          </w:p>
        </w:tc>
        <w:tc>
          <w:tcPr>
            <w:tcW w:w="2340" w:type="dxa"/>
            <w:vAlign w:val="bottom"/>
            <w:gridSpan w:val="8"/>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770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SIGNATURES</w:t>
              </w:r>
            </w:hyperlink>
          </w:p>
        </w:tc>
        <w:tc>
          <w:tcPr>
            <w:tcW w:w="960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r>
      <w:tr>
        <w:trPr>
          <w:trHeight w:val="20"/>
        </w:trPr>
        <w:tc>
          <w:tcPr>
            <w:tcW w:w="11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5"/>
          </w:tcPr>
          <w:p>
            <w:pPr>
              <w:spacing w:after="0"/>
              <w:rPr>
                <w:rFonts w:ascii="Arial" w:cs="Arial" w:eastAsia="Arial" w:hAnsi="Arial"/>
                <w:sz w:val="18"/>
                <w:szCs w:val="18"/>
                <w:color w:val="0000FF"/>
                <w:w w:val="95"/>
              </w:rPr>
            </w:pPr>
            <w:hyperlink w:anchor="page42">
              <w:r>
                <w:rPr>
                  <w:rFonts w:ascii="Arial" w:cs="Arial" w:eastAsia="Arial" w:hAnsi="Arial"/>
                  <w:sz w:val="18"/>
                  <w:szCs w:val="18"/>
                  <w:color w:val="0000FF"/>
                  <w:w w:val="95"/>
                </w:rPr>
                <w:t>EXHIBIT INDEX</w:t>
              </w:r>
            </w:hyperlink>
          </w:p>
        </w:tc>
        <w:tc>
          <w:tcPr>
            <w:tcW w:w="942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10,692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12,702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1,213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1,266</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908</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847</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December 31, 2013</w:t>
            </w:r>
          </w:p>
        </w:tc>
      </w:tr>
      <w:tr>
        <w:trPr>
          <w:trHeight w:val="189"/>
        </w:trPr>
        <w:tc>
          <w:tcPr>
            <w:tcW w:w="3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40" w:type="dxa"/>
            <w:vAlign w:val="bottom"/>
            <w:gridSpan w:val="4"/>
            <w:shd w:val="clear" w:color="auto" w:fill="CCEEFF"/>
          </w:tcPr>
          <w:p>
            <w:pPr>
              <w:jc w:val="center"/>
              <w:ind w:right="3980"/>
              <w:spacing w:after="0" w:line="189" w:lineRule="exact"/>
              <w:rPr>
                <w:sz w:val="20"/>
                <w:szCs w:val="20"/>
                <w:color w:val="auto"/>
              </w:rPr>
            </w:pPr>
            <w:r>
              <w:rPr>
                <w:rFonts w:ascii="Arial" w:cs="Arial" w:eastAsia="Arial" w:hAnsi="Arial"/>
                <w:sz w:val="17"/>
                <w:szCs w:val="17"/>
                <w:b w:val="1"/>
                <w:bCs w:val="1"/>
                <w:color w:val="auto"/>
                <w:w w:val="82"/>
              </w:rPr>
              <w:t>Assets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61"/>
        </w:trPr>
        <w:tc>
          <w:tcPr>
            <w:tcW w:w="3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4,477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4,619</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11,458</w:t>
            </w: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10,992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10,330</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1,964</w:t>
            </w: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Other assets, current</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892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1,071</w:t>
            </w: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29,442</w:t>
            </w:r>
          </w:p>
        </w:tc>
      </w:tr>
      <w:tr>
        <w:trPr>
          <w:trHeight w:val="21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Customer financing assets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1,105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1,156</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1,236</w:t>
            </w: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Fixed assets</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18,869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18,661</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(9,795)</w:t>
            </w: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Fixed assets, net</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8,895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8,866</w:t>
            </w: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28,216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28,168</w:t>
            </w: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15,528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15,521</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6,428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6,205</w:t>
            </w:r>
          </w:p>
        </w:tc>
      </w:tr>
      <w:tr>
        <w:trPr>
          <w:trHeight w:val="284"/>
        </w:trPr>
        <w:tc>
          <w:tcPr>
            <w:tcW w:w="8320" w:type="dxa"/>
            <w:vAlign w:val="bottom"/>
            <w:tcBorders>
              <w:bottom w:val="single" w:sz="8" w:color="CCEEFF"/>
            </w:tcBorders>
            <w:gridSpan w:val="6"/>
          </w:tcPr>
          <w:p>
            <w:pPr>
              <w:ind w:left="380"/>
              <w:spacing w:after="0"/>
              <w:rPr>
                <w:sz w:val="20"/>
                <w:szCs w:val="20"/>
                <w:color w:val="auto"/>
              </w:rPr>
            </w:pPr>
            <w:r>
              <w:rPr>
                <w:rFonts w:ascii="Arial" w:cs="Arial" w:eastAsia="Arial" w:hAnsi="Arial"/>
                <w:sz w:val="17"/>
                <w:szCs w:val="17"/>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91,229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90,594</w:t>
            </w:r>
          </w:p>
        </w:tc>
      </w:tr>
      <w:tr>
        <w:trPr>
          <w:trHeight w:val="237"/>
        </w:trPr>
        <w:tc>
          <w:tcPr>
            <w:tcW w:w="8320" w:type="dxa"/>
            <w:vAlign w:val="bottom"/>
            <w:gridSpan w:val="6"/>
            <w:shd w:val="clear" w:color="auto" w:fill="CCEEFF"/>
          </w:tcPr>
          <w:p>
            <w:pPr>
              <w:jc w:val="center"/>
              <w:ind w:right="100"/>
              <w:spacing w:after="0" w:line="189" w:lineRule="exact"/>
              <w:rPr>
                <w:sz w:val="20"/>
                <w:szCs w:val="20"/>
                <w:color w:val="auto"/>
              </w:rPr>
            </w:pPr>
            <w:r>
              <w:rPr>
                <w:rFonts w:ascii="Arial" w:cs="Arial" w:eastAsia="Arial" w:hAnsi="Arial"/>
                <w:sz w:val="17"/>
                <w:szCs w:val="17"/>
                <w:b w:val="1"/>
                <w:bCs w:val="1"/>
                <w:color w:val="auto"/>
                <w:w w:val="92"/>
              </w:rPr>
              <w:t>Liabilities and Equity</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9"/>
        </w:trPr>
        <w:tc>
          <w:tcPr>
            <w:tcW w:w="332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Short-term borrowings</w:t>
            </w:r>
          </w:p>
        </w:tc>
        <w:tc>
          <w:tcPr>
            <w:tcW w:w="1580" w:type="dxa"/>
            <w:vAlign w:val="bottom"/>
            <w:tcBorders>
              <w:top w:val="single" w:sz="8" w:color="auto"/>
            </w:tcBorders>
            <w:gridSpan w:val="3"/>
          </w:tcPr>
          <w:p>
            <w:pPr>
              <w:spacing w:after="0"/>
              <w:rPr>
                <w:sz w:val="20"/>
                <w:szCs w:val="20"/>
                <w:color w:val="auto"/>
              </w:rPr>
            </w:pPr>
          </w:p>
        </w:tc>
        <w:tc>
          <w:tcPr>
            <w:tcW w:w="3420" w:type="dxa"/>
            <w:vAlign w:val="bottom"/>
            <w:tcBorders>
              <w:top w:val="single" w:sz="8" w:color="CCEEFF"/>
            </w:tcBorders>
            <w:gridSpan w:val="2"/>
          </w:tcPr>
          <w:p>
            <w:pPr>
              <w:spacing w:after="0"/>
              <w:rPr>
                <w:sz w:val="20"/>
                <w:szCs w:val="20"/>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CCEEFF"/>
            </w:tcBorders>
          </w:tcPr>
          <w:p>
            <w:pPr>
              <w:jc w:val="right"/>
              <w:ind w:right="35"/>
              <w:spacing w:after="0"/>
              <w:rPr>
                <w:sz w:val="20"/>
                <w:szCs w:val="20"/>
                <w:color w:val="auto"/>
              </w:rPr>
            </w:pPr>
            <w:r>
              <w:rPr>
                <w:rFonts w:ascii="Arial" w:cs="Arial" w:eastAsia="Arial" w:hAnsi="Arial"/>
                <w:sz w:val="17"/>
                <w:szCs w:val="17"/>
                <w:color w:val="auto"/>
              </w:rPr>
              <w:t>188</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CCEEFF"/>
            </w:tcBorders>
          </w:tcPr>
          <w:p>
            <w:pPr>
              <w:jc w:val="right"/>
              <w:ind w:right="35"/>
              <w:spacing w:after="0"/>
              <w:rPr>
                <w:sz w:val="20"/>
                <w:szCs w:val="20"/>
                <w:color w:val="auto"/>
              </w:rPr>
            </w:pPr>
            <w:r>
              <w:rPr>
                <w:rFonts w:ascii="Arial" w:cs="Arial" w:eastAsia="Arial" w:hAnsi="Arial"/>
                <w:sz w:val="17"/>
                <w:szCs w:val="17"/>
                <w:color w:val="auto"/>
              </w:rPr>
              <w:t>388</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6,965</w:t>
            </w: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15,678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15,335</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w:t>
            </w: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22,931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22,800</w:t>
            </w: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19,739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19,741</w:t>
            </w: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3,320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3,444</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11,407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11,279</w:t>
            </w: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Total Liabilities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57,397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57,264</w:t>
            </w: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Redeemable noncontrolling interest</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111</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Common Stock</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14,937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14,764</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Treasury Stock</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(20,431)</w:t>
            </w: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41,205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40,539</w:t>
            </w: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Unearned ESOP shares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(2,880)</w:t>
            </w: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gridSpan w:val="6"/>
            <w:shd w:val="clear" w:color="auto" w:fill="CCEEFF"/>
          </w:tcPr>
          <w:p>
            <w:pPr>
              <w:ind w:left="1140"/>
              <w:spacing w:after="0"/>
              <w:rPr>
                <w:sz w:val="20"/>
                <w:szCs w:val="20"/>
                <w:color w:val="auto"/>
              </w:rPr>
            </w:pPr>
            <w:r>
              <w:rPr>
                <w:rFonts w:ascii="Arial" w:cs="Arial" w:eastAsia="Arial" w:hAnsi="Arial"/>
                <w:sz w:val="17"/>
                <w:szCs w:val="17"/>
                <w:color w:val="auto"/>
              </w:rPr>
              <w:t>Total Shareowners’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32,317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31,866</w:t>
            </w: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Noncontrolling interest</w:t>
            </w: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1,378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1,353</w:t>
            </w: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33,219</w:t>
            </w:r>
          </w:p>
        </w:tc>
      </w:tr>
      <w:tr>
        <w:trPr>
          <w:trHeight w:val="244"/>
        </w:trPr>
        <w:tc>
          <w:tcPr>
            <w:tcW w:w="8320" w:type="dxa"/>
            <w:vAlign w:val="bottom"/>
            <w:gridSpan w:val="6"/>
          </w:tcPr>
          <w:p>
            <w:pPr>
              <w:ind w:left="38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91,229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90,594</w:t>
            </w:r>
          </w:p>
        </w:tc>
      </w:tr>
      <w:tr>
        <w:trPr>
          <w:trHeight w:val="20"/>
        </w:trPr>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1,352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Adjustments to reconcile income from continuing operations to net cash flows provided by operating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activities of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444</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Deferred income tax provision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209</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1,409</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Investments in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Dispositions of businesses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cash flows (used in) provided by investing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Issuance (repayment) of long-term debt,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 short-term borrowings,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cash flows used in discontinued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4,836</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Cash and cash equivalents of businesses held for sale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5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of continuing operations,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4,767</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2"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2" w:right="25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Condensed Consolidated Financial Statements at March 31, 2014 and for the quarters ended March 31, 2014 and 2013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Certain reclassifications have been made to the prior year amounts to conform to the current year presentation. The financial information included herein should be read in conjunction with the financial statements and notes in our Annual Report to Shareowners (2013 Annual Report) incorporated by reference to our Annual Report on Form 10-K for calendar year 2013 (2013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quarter ended March 31, 2014, our cash investment in business acquisitions was $17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a number of small acquisitions, primarily in our commercial businesses.</w:t>
      </w:r>
    </w:p>
    <w:p>
      <w:pPr>
        <w:spacing w:after="0" w:line="166"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color w:val="auto"/>
        </w:rPr>
        <w:t>As a result of the 2012 transactions related to IAE International Aero Engines AG (IAE), Pratt &amp; Whitney holds a 61% net interest in the collaboration and a 49.5% ownership interest in IAE. IAE’s business purpose is to coordinate the design, development, manufacturing and product support of the V2500 program through involvement with the collaborators. IAE retains limited equity with the primary economics of the V2500 program passed to the participants in the separate collaboration arrangement. As such, we have determined that IAE is a variable interest entity, and Pratt &amp; Whitney its primary beneficiary under the criteria established in the FASB ASC Topic 810 “Consolidations” and has, therefore, been consolidated. The carrying amounts and classification of assets and liabilities for IAE in our Condensed Consolidated Balance Sheet as of March 31, 2014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0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7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r>
      <w:tr>
        <w:trPr>
          <w:trHeight w:val="257"/>
        </w:trPr>
        <w:tc>
          <w:tcPr>
            <w:tcW w:w="40" w:type="dxa"/>
            <w:vAlign w:val="bottom"/>
          </w:tcPr>
          <w:p>
            <w:pPr>
              <w:spacing w:after="0"/>
              <w:rPr>
                <w:sz w:val="22"/>
                <w:szCs w:val="22"/>
                <w:color w:val="auto"/>
              </w:rPr>
            </w:pPr>
          </w:p>
        </w:tc>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2014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Goodwill</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Balance as of</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resulting from</w:t>
            </w:r>
          </w:p>
        </w:tc>
        <w:tc>
          <w:tcPr>
            <w:tcW w:w="14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2"/>
                <w:szCs w:val="12"/>
                <w:color w:val="auto"/>
              </w:rPr>
            </w:pPr>
          </w:p>
        </w:tc>
        <w:tc>
          <w:tcPr>
            <w:tcW w:w="12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7"/>
              </w:rPr>
              <w:t>Balance as of</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business</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January 1, 2014</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combinations</w:t>
            </w:r>
          </w:p>
        </w:tc>
        <w:tc>
          <w:tcPr>
            <w:tcW w:w="14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translation and other</w:t>
            </w:r>
          </w:p>
        </w:tc>
        <w:tc>
          <w:tcPr>
            <w:tcW w:w="160" w:type="dxa"/>
            <w:vAlign w:val="bottom"/>
          </w:tcPr>
          <w:p>
            <w:pPr>
              <w:spacing w:after="0"/>
              <w:rPr>
                <w:sz w:val="13"/>
                <w:szCs w:val="13"/>
                <w:color w:val="auto"/>
              </w:rPr>
            </w:pPr>
          </w:p>
        </w:tc>
        <w:tc>
          <w:tcPr>
            <w:tcW w:w="120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9,727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9,757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28,163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28,168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28,216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19,377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customer relationships intangible assets include payments made to our customers to secure certain contractual rights. We amortize these intangible assets based on the underlying pattern of economic benefit, which may result in an amortization method other than straight-line. In accordance with the FASB ASC Topic 605, “Customer Payments and Incentives,” we classify amortization of such payments as a reduction of sales. The IAE collaboration intangible asset is being amortized based upon the economic pattern of benefits as represented by the underlying cash flows. Prior to the quarter ended March 31, 2014, these cash flows were negative and, accordingly, no amortization had previously been recorded. Amortization of intangible assets for the quarters ended March 31, 2014 and 2013 was $179 million and $175 million, respectively. The following is the expected amortization of intangible assets for the years 2014 through 2019, which reflects an increase in expected amortization expense due to the pattern of economic benefit on certain aerospace intangible assets increasing over time.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2014</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702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02"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In 2012, the UTC Board of Directors approved plans for the divestiture of a number of non-core businesses, which were completed with the sale of Pratt &amp; Whitney Rocketdyne (Rocketdyne) on June 14, 2013. Cash generated from these divestitures was used to repay debt incurred to finance the acquisition of Goodrich Corporation (Goodrich) in 2012.</w:t>
      </w:r>
    </w:p>
    <w:p>
      <w:pPr>
        <w:spacing w:after="0" w:line="12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On February 12, 2013, we completed the disposition of UTC Power to ClearEdge Power. The disposition resulted in payments by UTC totaling $48 million, which included capitalization of the business prior to the sale and interim funding of operations as the buyer took control of a loss-generating business. We have no continuing involvement with the UTC Power business post disposition.</w:t>
      </w:r>
    </w:p>
    <w:p>
      <w:pPr>
        <w:spacing w:after="0" w:line="12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summarized financial information for our discontinued operations businesses was segregated from continuing operations and reported as Discontinued Operations in 2013. There was no discontinued operations activity in the quarter ended March 31,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Quarter Ended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w w:val="98"/>
              </w:rPr>
              <w:t>March 31,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5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sales</w:t>
            </w:r>
          </w:p>
        </w:tc>
        <w:tc>
          <w:tcPr>
            <w:tcW w:w="53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Income tax expense</w:t>
            </w:r>
          </w:p>
        </w:tc>
        <w:tc>
          <w:tcPr>
            <w:tcW w:w="5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Income from operations, net of income taxes</w:t>
            </w:r>
          </w:p>
        </w:tc>
        <w:tc>
          <w:tcPr>
            <w:tcW w:w="5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Loss on disposal</w:t>
            </w:r>
          </w:p>
        </w:tc>
        <w:tc>
          <w:tcPr>
            <w:tcW w:w="5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5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Net loss on discontinued operations</w:t>
            </w:r>
          </w:p>
        </w:tc>
        <w:tc>
          <w:tcPr>
            <w:tcW w:w="53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360" w:type="dxa"/>
            <w:vAlign w:val="bottom"/>
            <w:vMerge w:val="restart"/>
          </w:tcPr>
          <w:p>
            <w:pPr>
              <w:jc w:val="right"/>
              <w:ind w:right="42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loss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quarters ended March 31, 2014 and 2013, there were no anti-dilutive stock awards excluded from the computation.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7,929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17,872</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As of March 31, 2014 and December 31, 2013, inventory also includes capitalized contract development costs of $922 million and $899 million, respectively, related to certain aerospace programs. These capitalized costs are liquidated as production units are delivered to the customer. The capitalized contract development costs within inventory principally relate to capitalized costs on Sikorsky’s CH-148 contract with the Canadian Government.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At March 31, 2014, we had revolving credit agreements with various banks permitting aggregate borrowings of up to $4 billion pursuant to a $2 billion revolving credit agreement and a $2 billion multicurrency revolving credit agreement, both of which expire in November 2016. As of March 31, 2014, there were no borrowings under either of these revolving credit agreements. The undrawn portions of these revolving credit agreements are also available to serve as backup facilities for the issuance of commercial paper. As of March 31, 2014, our maximum commercial paper borrowing authority as set by our Board of Directors was $4 billion. We use our commercial paper borrowings for general corporate purposes, including the funding of potential acquisitions, debt refinancing, and repurchases of our common stock.</w:t>
      </w:r>
    </w:p>
    <w:p>
      <w:pPr>
        <w:spacing w:after="0" w:line="193"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On April 1, 2014, we redeemed all remaining outstanding 2016 Goodrich 6.290% notes, representing approximately $188 million in aggregate principal, under our redemption notice issued on February 28, 2014.</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64"/>
        </w:trPr>
        <w:tc>
          <w:tcPr>
            <w:tcW w:w="858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0.500% floating rate notes due 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4.875% notes due 2015*</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6.290% notes due 2016</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5.375% notes due 2017*</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1.800% notes due 2017*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6.800% notes due 2018</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6.125% notes due 2019*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8.875% notes due 2019</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4.500% notes due 2020*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4.875% notes due 2020</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3.100% notes due 2022*</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1.550% junior subordinated notes due 2022</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7.100% notes due 2027</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6.700% notes due 2028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7.500% notes due 2029*</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5.400% notes due 2035*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6.050% notes due 2036*</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6.800% notes due 2036</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70"/>
        </w:trPr>
        <w:tc>
          <w:tcPr>
            <w:tcW w:w="8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7.000% notes due 2038</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6.125% notes due 2038*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5.700% notes due 2040*</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4.500% notes due 2042*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(including capitalized leases)</w:t>
            </w:r>
            <w:r>
              <w:rPr>
                <w:rFonts w:ascii="Arial" w:cs="Arial" w:eastAsia="Arial" w:hAnsi="Arial"/>
                <w:sz w:val="25"/>
                <w:szCs w:val="25"/>
                <w:color w:val="auto"/>
                <w:vertAlign w:val="superscript"/>
              </w:rPr>
              <w: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19,654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19,643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(fair market value adjustments and discounts)</w:t>
            </w:r>
            <w:r>
              <w:rPr>
                <w:rFonts w:ascii="Arial" w:cs="Arial" w:eastAsia="Arial" w:hAnsi="Arial"/>
                <w:sz w:val="25"/>
                <w:szCs w:val="25"/>
                <w:color w:val="auto"/>
                <w:vertAlign w:val="superscript"/>
              </w:rPr>
              <w: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19,855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19,853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5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19,739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19,741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right="100" w:hanging="652"/>
        <w:spacing w:after="0" w:line="27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36" w:lineRule="exact"/>
        <w:rPr>
          <w:sz w:val="20"/>
          <w:szCs w:val="20"/>
          <w:color w:val="auto"/>
        </w:rPr>
      </w:pPr>
    </w:p>
    <w:p>
      <w:pPr>
        <w:ind w:left="660" w:right="120" w:hanging="652"/>
        <w:spacing w:after="0" w:line="30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5"/>
          <w:szCs w:val="15"/>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1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ind w:left="660" w:hanging="652"/>
        <w:spacing w:after="0" w:line="225"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three-month LIBOR rate as of March 31, 2014 was approximately 0.2%.</w:t>
      </w:r>
    </w:p>
    <w:p>
      <w:pPr>
        <w:spacing w:after="0" w:line="15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2000.</w:t>
      </w:r>
    </w:p>
    <w:p>
      <w:pPr>
        <w:spacing w:after="0" w:line="188"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a range of $325 million to $725 million of unrecognized tax benefits may occur within the next twelve months as a result of additional worldwide uncertain tax positions, the revaluation of current uncertain tax positions arising from developments in examinations, in appeals, or in the courts, or the closure of tax statutes. See Note 14, Contingent Liabilities, for discussion regarding uncertain tax positions which are not included in this range related to previously disclosed German tax litigation.</w:t>
      </w:r>
    </w:p>
    <w:p>
      <w:pPr>
        <w:spacing w:after="0" w:line="178"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As previously disclosed, the French Tax Authority has assessed €237 million (approximately $327 million) related to the proposed disallowance of certain deductions claimed in France for tax years 2008 through 2011. This is a recurring issue and similar challenges may be raised in subsequent tax years until the issue is resolved. During the fourth quarter of 2013, the French Tax Authority approached the Company with an offer of proposed settlement. We are currently involved in ongoing negotiations with the French Tax Authority. We have made an accrual based upon a settlement amount that we believe has potential to result in resolution, which is included in the range mentioned in the paragraph above.</w:t>
      </w:r>
    </w:p>
    <w:p>
      <w:pPr>
        <w:spacing w:after="0" w:line="17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UTC tax years 2006 through 2008 are currently before the Appeals Division of the IRS (IRS Appeals) for resolution discussions regarding certain proposed adjustments with which UTC does not agree. Tax years 2009 and 2010 are under review by the Examination Division of the IRS. Both the 2006 - 2008 appeals proceedings and the 2009 - 2010 examination activity are expected to conclude during 2014. Examination activity for UTC tax years 2011 and 2012 is expected to commence during 2014.</w:t>
      </w:r>
    </w:p>
    <w:p>
      <w:pPr>
        <w:spacing w:after="0" w:line="18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Company is engaged in litigation with respect to an issue involving the proper timing of deductions taken by Goodrich Corporation in its tax years 2005 and 2006, prior to its acquisition by UTC. This is a recurring issue and the IRS may continue to challenge it in subsequent tax years until the issue is resolved. Goodrich Corporation tax years 2007 through 2010 are currently before IRS Appeals for resolution discussions regarding certain proposed adjustments with which UTC does not agree, including the recurring timing issue described above. Both the 2005 - 2006 litigation and the 2007 - 2010 appeals proceedings, together with all final computations for open tax years through 2010, are expected to be resolved during 2014. Examination activity for Goodrich Corporation tax years 2011 and 2012, prior to its acquisition by UTC, is expected to commence during 2014.</w:t>
      </w:r>
    </w:p>
    <w:p>
      <w:pPr>
        <w:spacing w:after="0" w:line="17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Examination Division of the Connecticut Department of Revenue Services commenced an examination of UTC’s 2010 - 2012 tax years during the first quarter. This examination is expected to conclude during 2014.</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a result of the anticipated conclusion of tax examination and appeals activity and associated re-evaluation of tax related liabilities and contingencies, we currently expect to recognize net gains, primarily non-cash, in the range of $325 million to $450 million prior to the end of 2014, including pre-tax interest in the range of $50 million to $100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229"/>
        </w:trPr>
        <w:tc>
          <w:tcPr>
            <w:tcW w:w="85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7"/>
        </w:trPr>
        <w:tc>
          <w:tcPr>
            <w:tcW w:w="8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1"/>
        </w:trPr>
        <w:tc>
          <w:tcPr>
            <w:tcW w:w="856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contributions to our domestic defined benefit pension plans in the quarters ended March 31, 2014 and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components of net periodic benefit cost for our defined pension and other postretirement benefit plans: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Quarter Ended March 31,</w:t>
            </w:r>
          </w:p>
        </w:tc>
        <w:tc>
          <w:tcPr>
            <w:tcW w:w="320" w:type="dxa"/>
            <w:vAlign w:val="bottom"/>
          </w:tcPr>
          <w:p>
            <w:pPr>
              <w:spacing w:after="0"/>
              <w:rPr>
                <w:sz w:val="16"/>
                <w:szCs w:val="16"/>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gain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Net settlement and curtailment gain for pension benefits includes curtailment gains of approximately $5 million related to, and recorded in, discontinued operations for the quarter ended March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quarter ended March 31, 2014, we recorded net pre-tax restructuring costs totaling $125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quarter ended March 31, 2014 primarily relate to actions initiated during 2014 and 2013, and were recorded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quarter ended March 31, 2014, we initiated restructuring actions relating to ongoing cost reduction efforts, including workforce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and the consolidation of field operations. We recorded net pre-tax restructuring costs totaling $90 million, including $56 million in cost of sales and $34 million in selling, general and administrative expenses.</w:t>
      </w:r>
    </w:p>
    <w:p>
      <w:pPr>
        <w:spacing w:after="0" w:line="18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2014. No specific plans for significant other actions have been finalized at this time. The following table summarizes the accrual balances and utilization by cost type for the 2014 restructuring actions: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7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2014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Costs incurred</w:t>
            </w:r>
          </w:p>
        </w:tc>
        <w:tc>
          <w:tcPr>
            <w:tcW w:w="14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108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Costs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March 31, 2014</w:t>
            </w:r>
          </w:p>
        </w:tc>
        <w:tc>
          <w:tcPr>
            <w:tcW w:w="140" w:type="dxa"/>
            <w:vAlign w:val="bottom"/>
          </w:tcPr>
          <w:p>
            <w:pPr>
              <w:spacing w:after="0"/>
              <w:rPr>
                <w:sz w:val="13"/>
                <w:szCs w:val="13"/>
                <w:color w:val="auto"/>
              </w:rPr>
            </w:pPr>
          </w:p>
        </w:tc>
        <w:tc>
          <w:tcPr>
            <w:tcW w:w="134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148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During the quarter ended March 31, 2014, we recorded net pre-tax restructuring costs totaling $32 million for restructuring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2013, including $28 million in cost of sales and $4 million in selling, general and administrative expenses. The 2013 actions relate to ongoing cost reduction efforts, including workforce reductions and the consolidation of field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January 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Balance at March 31, 2014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Costs incurred</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Costs incurred</w:t>
            </w:r>
          </w:p>
        </w:tc>
        <w:tc>
          <w:tcPr>
            <w:tcW w:w="14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through</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December 31, 2013</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March 31, 2014</w:t>
            </w:r>
          </w:p>
        </w:tc>
        <w:tc>
          <w:tcPr>
            <w:tcW w:w="140" w:type="dxa"/>
            <w:vAlign w:val="bottom"/>
          </w:tcPr>
          <w:p>
            <w:pPr>
              <w:spacing w:after="0"/>
              <w:rPr>
                <w:sz w:val="13"/>
                <w:szCs w:val="13"/>
                <w:color w:val="auto"/>
              </w:rPr>
            </w:pPr>
          </w:p>
        </w:tc>
        <w:tc>
          <w:tcPr>
            <w:tcW w:w="134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As of March 31, 2014, we have approximately $97 million of accrual balances remaining related to 2012 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$12.2 billion and $12.3 billion at March 31, 2014 and December 31, 2013,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March 31, 2014 and December 31, 2013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Asset Derivatives</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rPr>
              <w:t>Liability Derivatives</w:t>
            </w:r>
          </w:p>
        </w:tc>
        <w:tc>
          <w:tcPr>
            <w:tcW w:w="46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2014</w:t>
            </w: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December 31, 2013</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351"/>
        </w:trPr>
        <w:tc>
          <w:tcPr>
            <w:tcW w:w="40" w:type="dxa"/>
            <w:vAlign w:val="bottom"/>
          </w:tcPr>
          <w:p>
            <w:pPr>
              <w:spacing w:after="0"/>
              <w:rPr>
                <w:sz w:val="24"/>
                <w:szCs w:val="24"/>
                <w:color w:val="auto"/>
              </w:rPr>
            </w:pPr>
          </w:p>
        </w:tc>
        <w:tc>
          <w:tcPr>
            <w:tcW w:w="8540" w:type="dxa"/>
            <w:vAlign w:val="bottom"/>
            <w:gridSpan w:val="8"/>
          </w:tcPr>
          <w:p>
            <w:pPr>
              <w:ind w:left="400"/>
              <w:spacing w:after="0"/>
              <w:rPr>
                <w:sz w:val="20"/>
                <w:szCs w:val="20"/>
                <w:color w:val="auto"/>
              </w:rPr>
            </w:pPr>
            <w:r>
              <w:rPr>
                <w:rFonts w:ascii="Arial" w:cs="Arial" w:eastAsia="Arial" w:hAnsi="Arial"/>
                <w:sz w:val="18"/>
                <w:szCs w:val="18"/>
                <w:color w:val="auto"/>
                <w:w w:val="95"/>
              </w:rPr>
              <w:t>The impact from foreign exchange derivative instruments that qualified as cash flow hedges was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24"/>
                <w:szCs w:val="24"/>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recorded in Accumulated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1"/>
        </w:trPr>
        <w:tc>
          <w:tcPr>
            <w:tcW w:w="7880" w:type="dxa"/>
            <w:vAlign w:val="bottom"/>
            <w:gridSpan w:val="7"/>
          </w:tcPr>
          <w:p>
            <w:pPr>
              <w:ind w:left="40"/>
              <w:spacing w:after="0"/>
              <w:rPr>
                <w:sz w:val="20"/>
                <w:szCs w:val="20"/>
                <w:color w:val="auto"/>
              </w:rPr>
            </w:pPr>
            <w:r>
              <w:rPr>
                <w:rFonts w:ascii="Arial" w:cs="Arial" w:eastAsia="Arial" w:hAnsi="Arial"/>
                <w:sz w:val="18"/>
                <w:szCs w:val="18"/>
                <w:color w:val="auto"/>
                <w:w w:val="99"/>
              </w:rPr>
              <w:t>Loss reclassified from Accumulated other comprehensive loss into Product sales (effective portion)</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$95 million pre-tax loss is expected to be reclassified from Accumulated other comprehensive loss into Product sales to reflect the fixed prices obtained from foreign exchange hedging within the next 12 months. At March 31, 2014, all derivative contracts accounted for as cash flow hedges will mature by March 2016.</w:t>
      </w:r>
    </w:p>
    <w:p>
      <w:pPr>
        <w:spacing w:after="0" w:line="181"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recognized gains of $26 million and $32 million in Other income, net on the Condensed Consolidated Statement of Comprehensive Income from foreign exchange contracts not designated as hedging instruments in the quarters ended March 31, 2014 and 2013,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FASB ASC Topic "Fair Value Measurements and Disclosure" establishes a valuation hierarchy for disclosure of the inputs to the valuations used to measure fair value. A financial asset or liability's classification within the hierarchy is determined based on the lowest level input that is significant to the fair value measurement. This hierarchy prioritizes the inputs into three broad levels as follows:</w:t>
      </w:r>
    </w:p>
    <w:p>
      <w:pPr>
        <w:spacing w:after="0" w:line="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based on our own assumptions used to measure assets and liabilities at fair value.</w:t>
      </w:r>
    </w:p>
    <w:p>
      <w:pPr>
        <w:spacing w:after="0" w:line="10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and nonrecurring basis in our Condensed Consolidated Balance Sheet as of March 31, 2014 and December 31, 2013: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2014 (Dollars in millions)</w:t>
            </w:r>
          </w:p>
        </w:tc>
        <w:tc>
          <w:tcPr>
            <w:tcW w:w="3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2013 (Dollars in millions)</w:t>
            </w:r>
          </w:p>
        </w:tc>
        <w:tc>
          <w:tcPr>
            <w:tcW w:w="3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486"/>
        </w:trPr>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During the quarter ended March 31, 2013, we recorded an approximately $38 million net gain from UTC Climate, Controls &amp; Security's ongoing portfolio transformation, primarily due to a gain on the sale of a business in Hong Kong.</w:t>
      </w:r>
    </w:p>
    <w:p>
      <w:pPr>
        <w:spacing w:after="0" w:line="166"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March 31, 2014, there were no significant transfers in and out of Level 1 and Level 2.</w:t>
      </w:r>
    </w:p>
    <w:p>
      <w:pPr>
        <w:spacing w:after="0" w:line="155"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As of March 31, 2014,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2014 and December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March 31,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had commercial aerospace financing and other contractual commitments totaling approximately $11 billion as of March 31, 2014 and December 31, 2013,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these commitments is not readily determinable.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540"/>
        <w:spacing w:after="0" w:line="312" w:lineRule="auto"/>
        <w:rPr>
          <w:sz w:val="20"/>
          <w:szCs w:val="20"/>
          <w:color w:val="auto"/>
        </w:rPr>
      </w:pPr>
      <w:r>
        <w:rPr>
          <w:rFonts w:ascii="Arial" w:cs="Arial" w:eastAsia="Arial" w:hAnsi="Arial"/>
          <w:sz w:val="16"/>
          <w:szCs w:val="16"/>
          <w:color w:val="auto"/>
        </w:rPr>
        <w:t>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540"/>
        <w:spacing w:after="0" w:line="302" w:lineRule="auto"/>
        <w:rPr>
          <w:sz w:val="20"/>
          <w:szCs w:val="20"/>
          <w:color w:val="auto"/>
        </w:rPr>
      </w:pPr>
      <w:r>
        <w:rPr>
          <w:rFonts w:ascii="Arial" w:cs="Arial" w:eastAsia="Arial" w:hAnsi="Arial"/>
          <w:sz w:val="16"/>
          <w:szCs w:val="16"/>
          <w:color w:val="auto"/>
        </w:rPr>
        <w:t>Customer credit ratings range from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8% and 9% of the total long-term receivables reflected in the table above were considered to bear high credit risk as of March 31, 2014 and December 31, 2013, respectively.</w:t>
      </w:r>
    </w:p>
    <w:p>
      <w:pPr>
        <w:spacing w:after="0" w:line="154" w:lineRule="exact"/>
        <w:rPr>
          <w:sz w:val="20"/>
          <w:szCs w:val="20"/>
          <w:color w:val="auto"/>
        </w:rPr>
      </w:pPr>
    </w:p>
    <w:p>
      <w:pPr>
        <w:ind w:right="20" w:firstLine="540"/>
        <w:spacing w:after="0" w:line="279" w:lineRule="auto"/>
        <w:rPr>
          <w:sz w:val="20"/>
          <w:szCs w:val="20"/>
          <w:color w:val="auto"/>
        </w:rPr>
      </w:pPr>
      <w:r>
        <w:rPr>
          <w:rFonts w:ascii="Arial" w:cs="Arial" w:eastAsia="Arial" w:hAnsi="Arial"/>
          <w:sz w:val="17"/>
          <w:szCs w:val="17"/>
          <w:color w:val="auto"/>
        </w:rPr>
        <w:t>For long-term trade accounts receivable, we evaluate credit risk and collectability individually to determine if an allowance is necessary. Our long-term receivables reflected in the table above, which include reserves of $18 million and $49 million as of March 31, 2014 and December 31, 2013, respectively, are individually evaluated for impairment. At both March 31, 2014 and December 31, 2013, we did not have any significant balances that are considered to be delinquent, on non-accrual status, past due 90 days or more, or considered to be impaired.</w:t>
      </w:r>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122" w:right="49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ended March 31, 2014 and 2013 is provided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Quarter Ended March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Share-owners’</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Share-owners’</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9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3"/>
                <w:szCs w:val="13"/>
                <w:color w:val="auto"/>
              </w:rPr>
            </w:pPr>
          </w:p>
        </w:tc>
        <w:tc>
          <w:tcPr>
            <w:tcW w:w="820" w:type="dxa"/>
            <w:vAlign w:val="bottom"/>
          </w:tcPr>
          <w:p>
            <w:pPr>
              <w:jc w:val="right"/>
              <w:ind w:right="23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Comprehensive income for the period:</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Total other comprehensive loss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comprehensive income for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Common Stock issued under employee plans</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on Common Stock</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on ESOP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subsidiary shares from noncontrolling</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Sale of subsidiary shares in noncontrolling interest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in subsidiaries’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earnings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Redeemable noncontrolling interest in total other</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reclassification to</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32,317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33,695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26,194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net of tax for the quarter ended March 31, 2014 are provided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Pension and</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Post-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(Losses) on</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11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retirement</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Available-for-Sale</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58"/>
              <w:spacing w:after="0" w:line="158"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reclassifications, net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Balance at March 31, 2014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17</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Details of the reclassification out of accumulated other comprehensive loss for the quarter ended March 31, 2014 are provided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2"/>
              </w:rPr>
              <w:t>Amount of Income (Expense)</w:t>
            </w: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49"/>
        </w:trPr>
        <w:tc>
          <w:tcPr>
            <w:tcW w:w="7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1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2"/>
              </w:rPr>
              <w:t>Reclassified from Other</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 Comprehensive</w:t>
            </w:r>
          </w:p>
        </w:tc>
        <w:tc>
          <w:tcPr>
            <w:tcW w:w="0" w:type="dxa"/>
            <w:vAlign w:val="bottom"/>
          </w:tcPr>
          <w:p>
            <w:pPr>
              <w:spacing w:after="0"/>
              <w:rPr>
                <w:sz w:val="1"/>
                <w:szCs w:val="1"/>
                <w:color w:val="auto"/>
              </w:rPr>
            </w:pPr>
          </w:p>
        </w:tc>
      </w:tr>
      <w:tr>
        <w:trPr>
          <w:trHeight w:val="158"/>
        </w:trPr>
        <w:tc>
          <w:tcPr>
            <w:tcW w:w="7200" w:type="dxa"/>
            <w:vAlign w:val="bottom"/>
            <w:gridSpan w:val="3"/>
            <w:vMerge w:val="continue"/>
          </w:tcPr>
          <w:p>
            <w:pPr>
              <w:spacing w:after="0"/>
              <w:rPr>
                <w:sz w:val="13"/>
                <w:szCs w:val="13"/>
                <w:color w:val="auto"/>
              </w:rPr>
            </w:pPr>
          </w:p>
        </w:tc>
        <w:tc>
          <w:tcPr>
            <w:tcW w:w="20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Comprehensive Income (Loss)</w:t>
            </w:r>
          </w:p>
        </w:tc>
        <w:tc>
          <w:tcPr>
            <w:tcW w:w="100" w:type="dxa"/>
            <w:vAlign w:val="bottom"/>
          </w:tcPr>
          <w:p>
            <w:pPr>
              <w:spacing w:after="0"/>
              <w:rPr>
                <w:sz w:val="13"/>
                <w:szCs w:val="13"/>
                <w:color w:val="auto"/>
              </w:rPr>
            </w:pPr>
          </w:p>
        </w:tc>
        <w:tc>
          <w:tcPr>
            <w:tcW w:w="2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71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Recognized due to business disposition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Pension and Post-retirement Plans:</w:t>
            </w: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Amortization of prior-service costs and transition obligation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Note (1)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Recognized actuarial net loss</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60" w:type="dxa"/>
            <w:vAlign w:val="bottom"/>
            <w:gridSpan w:val="2"/>
          </w:tcPr>
          <w:p>
            <w:pPr>
              <w:ind w:left="460"/>
              <w:spacing w:after="0"/>
              <w:rPr>
                <w:sz w:val="20"/>
                <w:szCs w:val="20"/>
                <w:color w:val="auto"/>
              </w:rPr>
            </w:pPr>
            <w:r>
              <w:rPr>
                <w:rFonts w:ascii="Arial" w:cs="Arial" w:eastAsia="Arial" w:hAnsi="Arial"/>
                <w:sz w:val="18"/>
                <w:szCs w:val="18"/>
                <w:color w:val="auto"/>
              </w:rPr>
              <w:t>Total before tax</w:t>
            </w:r>
          </w:p>
        </w:tc>
        <w:tc>
          <w:tcPr>
            <w:tcW w:w="1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16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Realized gain on sale of securities, before tax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16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Hedging (Losses) Gains:</w:t>
            </w: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160" w:type="dxa"/>
            <w:vAlign w:val="bottom"/>
            <w:gridSpan w:val="2"/>
          </w:tcPr>
          <w:p>
            <w:pPr>
              <w:ind w:left="460"/>
              <w:spacing w:after="0"/>
              <w:rPr>
                <w:sz w:val="20"/>
                <w:szCs w:val="20"/>
                <w:color w:val="auto"/>
              </w:rPr>
            </w:pPr>
            <w:r>
              <w:rPr>
                <w:rFonts w:ascii="Arial" w:cs="Arial" w:eastAsia="Arial" w:hAnsi="Arial"/>
                <w:sz w:val="18"/>
                <w:szCs w:val="18"/>
                <w:color w:val="auto"/>
              </w:rPr>
              <w:t>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80" w:right="460" w:hanging="566"/>
        <w:spacing w:after="0" w:line="277" w:lineRule="auto"/>
        <w:rPr>
          <w:sz w:val="20"/>
          <w:szCs w:val="20"/>
          <w:color w:val="auto"/>
        </w:rPr>
      </w:pPr>
      <w:r>
        <w:rPr>
          <w:rFonts w:ascii="Arial" w:cs="Arial" w:eastAsia="Arial" w:hAnsi="Arial"/>
          <w:sz w:val="18"/>
          <w:szCs w:val="18"/>
          <w:color w:val="auto"/>
        </w:rPr>
        <w:t>Note (1) These accumulated other comprehensive income components are included in the computation of net periodic pension cost (see Note 7 for additional details).</w:t>
      </w:r>
    </w:p>
    <w:p>
      <w:pPr>
        <w:spacing w:after="0" w:line="27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ended March 31, 2014 and 2013 is provided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translation,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Dividends attributable to noncontrolling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Redeemable noncontrolling interest reclassification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5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pro-forma effect on Net income attributable to common shareowners had they been recorded through net income for the quarters ended March 31, 2014 and 2013 is provided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858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82"/>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1,266</w:t>
            </w: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Transfers to noncontrolling interests: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Increase in common stock for sale of subsidiary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Decrease in common stock for purchase of subsidiary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 after transfers to noncontrolling interests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1,265</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Guarantees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extend a variety of financial, market value and product performance guarantees to third parties. Following the sale of substantially all operations of Rocketdyne on June 14, 2013, certain guarantees of Rocketdyne's performance under then existing contracts remained in place, which resulted in an increase in our performance guarantees of approximately $97 million, with no associated significant carrying amount of a liability as of March 31, 2014. There have been no other material changes to guarantees outstanding since December 31, 2013.</w:t>
      </w:r>
    </w:p>
    <w:p>
      <w:pPr>
        <w:spacing w:after="0" w:line="7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quarters ended March 31, 2014 and 2013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March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2013 Annual Report, incorporated by reference in our 2013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2013 Annual Report, we have accrued for the costs of environmental remediation activities and periodically reassess these amounts. We believe that the likelihood of incurring losses materially in excess of amounts accrued is remote. Additional information pertaining to environmental matters is included in Note 1 to the Consolidated Financial Statements in our 2013 Annual Report.</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Government. </w:t>
      </w:r>
      <w:r>
        <w:rPr>
          <w:rFonts w:ascii="Arial" w:cs="Arial" w:eastAsia="Arial" w:hAnsi="Arial"/>
          <w:sz w:val="18"/>
          <w:szCs w:val="18"/>
          <w:color w:val="auto"/>
        </w:rPr>
        <w:t>We are now, and believe that, in light of the current U.S. Government contracting environment, we will continue to be the subject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92" w:lineRule="exact"/>
        <w:rPr>
          <w:sz w:val="20"/>
          <w:szCs w:val="20"/>
          <w:color w:val="auto"/>
        </w:rPr>
      </w:pPr>
    </w:p>
    <w:p>
      <w:pPr>
        <w:ind w:right="60" w:firstLine="540"/>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On November 18, 2010, the Sixth Circuit affirmed Pratt &amp; Whitney's liability under the False Claims Act, but remanded the case to the trial court for further proceedings on the issues of False Claims Act damages and common law liability and damages.</w:t>
      </w:r>
    </w:p>
    <w:p>
      <w:pPr>
        <w:spacing w:after="0" w:line="1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is entitled to seek damages for events occurring before March 3, 1989, which are not recoverable under the False Claims Act.</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of damages: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8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strongly disagree with the trial court's analysis and conclusions. We filed an appeal from the judgment to the United States Court of Appeals for the Sixth Circuit on August 26, 2013. Based on our analysis, we continue to believe that there is no basis for any common law liability for the inaccurate statements. We also believe that the government suffered no actual damages as a result of the inaccurate statements made in 1983 and, therefore, there is no basis in fact or law for the award of common law damages, prejudgment interest or False Claims Act treble damages. If, contrary to our expectations, all or any portion of the judgment should ultimately be affirmed, we estimate a range of reasonably possible loss from approximately $24 million to $657 million in excess of amounts previously accrued, plus postjudgment interest. The outcome of this matter could result in a material adverse effect on our results of operations in the period in which a liability would be recognized and cash flows for the period in which damages would be paid.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As previously disclosed, in December 2008, the Department of Defense (DOD) issued a contract claim against Sikorsky to recover overpayments the DOD alleges that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$98 million (including interest through March 31, 2014). We believed this claim was without merit and Sikorsky filed an appeal in December 2009 with the U.S. Court of Federal Claims. Trial in the matter concluded in January 2013 and on March 22, 2013, the U.S. Court of Federal Claims issued a written decision in favor of Sikorsky determining that the DOD had failed to prove its claims because Sikorsky's calculation of material overhead complied with the cost accounting standards. The DOD has appealed this decision.</w:t>
      </w:r>
    </w:p>
    <w:p>
      <w:pPr>
        <w:spacing w:after="0" w:line="17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By letter dated December 24, 2013, a Divisional Administrative Contracting Officer of the Unites States Defense Contract Management Agency asserted a claim and demand for payment of $210,968,414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We believe this claim is without merit. On March 18, 2014, Pratt &amp; Whitney filed an appeal to the Armed Services Board of Contract Appeals.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2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German Tax Office Appeal</w:t>
      </w:r>
    </w:p>
    <w:p>
      <w:pPr>
        <w:spacing w:after="0" w:line="225" w:lineRule="exact"/>
        <w:rPr>
          <w:sz w:val="20"/>
          <w:szCs w:val="20"/>
          <w:color w:val="auto"/>
        </w:rPr>
      </w:pPr>
    </w:p>
    <w:p>
      <w:pPr>
        <w:ind w:right="120" w:firstLine="405"/>
        <w:spacing w:after="0" w:line="269" w:lineRule="auto"/>
        <w:rPr>
          <w:sz w:val="20"/>
          <w:szCs w:val="20"/>
          <w:color w:val="auto"/>
        </w:rPr>
      </w:pPr>
      <w:r>
        <w:rPr>
          <w:rFonts w:ascii="Arial" w:cs="Arial" w:eastAsia="Arial" w:hAnsi="Arial"/>
          <w:sz w:val="17"/>
          <w:szCs w:val="17"/>
          <w:color w:val="auto"/>
        </w:rPr>
        <w:t>As previously disclosed, UTC has been involved in administrative review proceedings with the German Tax Office, which concern €203 million (approximately $280 million) of tax benefits that we have claimed related to a 1998 reorganization of the corporate structure of Otis operations in Germany. Upon audit, these tax benefits were disallowed by the German Tax Office. On August 3, 2012, we filed suit in the local German Tax Court (Berlin-Brandenburg). In 2008 the German Federal Tax Court ("FTC") denied benefits to another taxpayer in a case involving a German tax law relevant to our reorganization. The determination of the FTC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FTC for further consideration of certain related issues. In May 2010, the FTC released its decision, in which it resolved certain tax issues that may be relevant to our suit and remanded the case to a lower court for further development. In 2012, the lower court decided in favor of the other taxpayer and the government appealed the findings to the FTC. After consideration of the ECJ decision, the latest FTC decision and the lower court decision, we continue to believe that it is more likely than not that the relevant German tax law is violative of EU principles and we have not accrued for this matter. We intend to litigate vigorously the matter to conclusion.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described in Note 16 to the Consolidated Financial Statements in our 2013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8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229"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March 31, 2014 and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14,565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Accounting Pronouncements</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April 2014, the FASB issued ASU No. 2014-08, "Reporting Discontinued Operations and Disclosures of Disposals of Components of an Entity." This ASU relates to discontinued operations reporting to disposals of components of an entity that represent strategic shifts that have, or will have, a major effect on an entity's operations and financial results. The standard expands the disclosures for discontinued operations and requires new disclosures related to individually material disposals that do not meet the definition of a discontinued operation. The provisions of this ASU are effective for interim and annual periods beginning after December 15, 2014. This ASU is not expected to have an impact on our financial statements or disclosures.</w:t>
      </w: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121"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2014 and 2013, PricewaterhouseCoopers LLP (PricewaterhouseCoopers) reported that it has applied limited procedures in accordance with professional standards for a review of such information. However, its report dated April 25, 2014,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March 31, 2014 and the related condensed consolidated statements of comprehensive income for the three-month periods ended March 31, 2014 and 2013 and the condensed consolidated statement of cash flows for the three-month periods ended March 31, 2014 and 2013. This interim financial information is the responsibility of the Corporation's management.</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previously audited, in accordance with the standards of the Public Company Accounting Oversight Board (United States), the consolidated balance sheet as of December 31, 2013, and the related consolidated statements of operations, of comprehensive income, of cash flows, and of changes in equity for the year then ended (not presented herein), and in our report dated February 6, 2014, we expressed an unqualified opinion on those consolidated financial statements. In our opinion, the information set forth in the accompanying condensed consolidated balance sheet as of December 31, 2013,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 On September 23, 2013, we announced the formation of UTC Building and Industrial Systems, a new organizational structure consisting of Otis and UTC Climate, Controls &amp; Security. This new organizational structure is expected to enhance our ability to deliver more integrated solutions to our customers and accelerate innovation in smart building technologies and sustainable designs. Otis and UTC Climate, Controls &amp; Security each continue to report their financial and operational results as separate segments, which is consistent with how we allocate resources and measure the financial performance of these businesses.</w:t>
      </w:r>
    </w:p>
    <w:p>
      <w:pPr>
        <w:spacing w:after="0" w:line="1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Certain reclassifications have been made to the prior year amounts to conform to the current year presentation. The current status of significant factors affecting our business environment in 2014 is discussed below. For additional discussion, refer to the “Business Overview” section in Management’s Discussion and Analysis of Financial Condition and Results of Operations in our 2013 Annual Report, which is incorporated by reference in our 2013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Growth in emerging markets continues to be led by China, where our sales for the quarter grew 15% over the prior year. Growth in China, along with U.S. economic expansion, is expected to drive global growth throughout 2014. The economic environment in North America has continued to rebound on improving consumer sentiment, lower unemployment rates, and an improving housing market. Although European economic conditions have continued to improve, rising political tensions in Eastern Europe may temper growth if escalation continues. UTC's sales to customers in Russia in 2013 were approximately $500 million, and while Russia is a key supplier of certain commodities, we are taking steps to minimize the potential for disruption to our business. To date, we have not seen any significant signs of disruption, although we continue to closely monitor developments in the region.</w:t>
      </w:r>
    </w:p>
    <w:p>
      <w:pPr>
        <w:spacing w:after="0" w:line="16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U.S. Government deficit reduction measures continue to pressure U.S. Department of Defense spending and adversely affect our military businesses. Total sales to the U.S. Government were $2.1 billion and $2.3 billion, or 14% and 16% of total UTC sales in the first quarter of 2014 and 2013,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Disposition Activity</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previously disclosed, we disposed of a number of businesses in 2013. On February 12, 2013, we completed the disposition of UTC Power to ClearEdge Power, and on June 14, 2013, we completed the sale of substantially all operations of Pratt &amp; Whitney Rocketdyne (Rocketdyne) to GenCorp Inc. The results from these businesses were reclassified to Discontinued Operations in our Condensed Consolidated Statements of Comprehensive Income and Cash Flows. On May 17, 2013, we completed the sale of the Pratt &amp; Whitney Power Systems business to Mitsubishi Heavy Industries (MHI) and entered into a long-term engineering and manufacturing agreement with MHI. Pratt &amp; Whitney Power Systems was not reclassified to Discontinued Operations due to our level of continuing involvement in the business post-sale.</w:t>
      </w:r>
    </w:p>
    <w:p>
      <w:pPr>
        <w:spacing w:after="0" w:line="193"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In connection with regulatory approval of the Goodrich acquisition, regulatory authorities required UTC to dispose of the Goodrich electric power systems and the pumps and engine controls businesses. Pursuant to these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S.A. Combined proceeds from the sales of the two businesses were approximately $600 million.</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quarter ended March 31, 2014, our cash investment in business acquisitions was approximately $17 million and consisted of a number of small acquisitions primarily in our commercial businesses. We expect cash investment in businesses of approximately $1 billion in 2014. However, actual acquisition spending may vary depending upon the timing, availability and value of acquisition opportunities.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420" w:firstLine="432"/>
        <w:spacing w:after="0" w:line="286" w:lineRule="auto"/>
        <w:rPr>
          <w:sz w:val="20"/>
          <w:szCs w:val="20"/>
          <w:color w:val="auto"/>
        </w:rPr>
      </w:pPr>
      <w:r>
        <w:rPr>
          <w:rFonts w:ascii="Arial" w:cs="Arial" w:eastAsia="Arial" w:hAnsi="Arial"/>
          <w:sz w:val="17"/>
          <w:szCs w:val="17"/>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2014. See Part I, Item 1A, “Risk Factors” in our 2013 Form 10-K for further discussion.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2013 Annual Report, incorporated by reference in our 2013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14,745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14,399</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factors contributing to the total percentage change year-over-year in total net sales for the quarter ended March 31, 2014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tcPr>
          <w:p>
            <w:pPr>
              <w:jc w:val="right"/>
              <w:ind w:right="195"/>
              <w:spacing w:after="0"/>
              <w:rPr>
                <w:sz w:val="20"/>
                <w:szCs w:val="20"/>
                <w:color w:val="auto"/>
              </w:rPr>
            </w:pPr>
            <w:r>
              <w:rPr>
                <w:rFonts w:ascii="Arial" w:cs="Arial" w:eastAsia="Arial" w:hAnsi="Arial"/>
                <w:sz w:val="14"/>
                <w:szCs w:val="14"/>
                <w:b w:val="1"/>
                <w:bCs w:val="1"/>
                <w:color w:val="auto"/>
              </w:rPr>
              <w:t>Quarter Ended</w:t>
            </w:r>
          </w:p>
        </w:tc>
      </w:t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During the quarter ended March 31, 2014, all five business segments experienced organic sales growth led by Sikorsky (9%), Otis (6%), and UTC Aerospace Systems (6%). Organic sales growth at Sikorsky was led by higher international military and commercial aircraft sales volume. Organic growth at Otis was primarily due to higher new equipment sales volume in the U.S. and China, while organic growth at UTC Aerospace Systems was due to higher commercial OEM and aftermarket volumes. Organic sales growth was also driven by Pratt &amp; Whitney (4%) and by UTC Climate, Controls &amp; Security (3%). See the Segment Review section of Management's Discussion and Analysis for further discussion of segment performance.</w:t>
      </w:r>
    </w:p>
    <w:p>
      <w:pPr>
        <w:spacing w:after="0" w:line="15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sales decrease from divestitures for the quarter ended March 31, 2014 was primarily a result of the disposition of the Pratt &amp; Whitney Power Systems business and portfolio transformation initiatives at UTC Climate, Controls &amp; Security in 2013.</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8,081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7,848</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2,617</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10,690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10,465</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ended March 31, 2014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tcPr>
          <w:p>
            <w:pPr>
              <w:jc w:val="right"/>
              <w:ind w:right="194"/>
              <w:spacing w:after="0"/>
              <w:rPr>
                <w:sz w:val="20"/>
                <w:szCs w:val="20"/>
                <w:color w:val="auto"/>
              </w:rPr>
            </w:pPr>
            <w:r>
              <w:rPr>
                <w:rFonts w:ascii="Arial" w:cs="Arial" w:eastAsia="Arial" w:hAnsi="Arial"/>
                <w:sz w:val="14"/>
                <w:szCs w:val="14"/>
                <w:b w:val="1"/>
                <w:bCs w:val="1"/>
                <w:color w:val="auto"/>
              </w:rPr>
              <w:t>Quarter Ended</w:t>
            </w:r>
          </w:p>
        </w:tc>
      </w:t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14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organic increase in total cost of products and services sold (4%) in the quarter ended March 31, 2014 was driven by the organic sales increase noted above, partially offset by the benefits of previous restructuring actions and lower commodity costs, particularly within UTC Climate, Controls &amp; Security. The decrease in “Acquisitions and divestitures, net” (2%) is attributable to the disposition of the Pratt &amp; Whitney Power Systems business and portfolio transformation initiatives at UTC Climate, Controls &amp; Security in 2013.</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3,934</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r>
    </w:tbl>
    <w:p>
      <w:pPr>
        <w:spacing w:after="0" w:line="12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20 basis point increase in gross margin as a percentage of sales for the quarter ended March 31, 2014 is due to the benefits of previous restructuring actions and lower commodity costs and productivity gains at UTC Climate, Controls &amp; Security (30 basis points) and the favorable gross margin impact of higher aftermarket sales at Pratt &amp; Whitney (20 basis points) partially offset by higher restructuring costs.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610</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543</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21"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(2%) in the quarter ended March 31, 2014 is primarily related to higher research and development spending within the UTC Aerospace Systems segment on increased spending on several commercial aerospace programs. Customer-funded research and development decreased (4%) due to lower customer-funded spending at UTC Aerospace Systems primarily on U.S. military and space programs (7%) and within U.S. Government programs at Sikorsky (6%), offset by higher customer-funded spending at Pratt &amp; Whitney on U.S. military and commercial programs (10%).</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company-funded research and development for the full year 2014 to remain consistent with 2013 levels.</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1,627</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229"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Selling, general and administrative expenses declined 2% in the quarter ended March 31, 2014 due to the impact of divestitures completed over the preceding twelve months (2%), lower divestiture costs (1%) and the benefit from savings from previous restructuring actions, all of which were partially offset by higher restructuring costs (1%).</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Other income, net includes equity earnings in unconsolidated entities, royalty income, foreign exchange gains and losses as well as other ongoing and non-recurring items. The year-over-year decrease in other income, net in the quarter ended March 31, 2014 (15%) is a result of the absence of a settlement with an engine program partner recognized in the first quarter of 2013 (13%) and net gains related to the UTC Climate, Controls &amp; Security portfolio transformation (12%), which included a net gain in the first quarter of 2013 of $38 million primarily on the sale of a business in Hong Kong. These factors were partially offset by higher licensing income (11%) and normal recurring operational activity as disclosed above.</w:t>
      </w:r>
    </w:p>
    <w:p>
      <w:pPr>
        <w:spacing w:after="0" w:line="266"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decrease in interest expense in the quarter ended March 31, 2014 is a result of lower average debt balances as a result of debt repayments made since March 31, 2013, partially offset by slightly higher average interest expense rates year-over-year.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63"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9"/>
              <w:spacing w:after="0"/>
              <w:rPr>
                <w:sz w:val="20"/>
                <w:szCs w:val="20"/>
                <w:color w:val="auto"/>
              </w:rPr>
            </w:pPr>
            <w:r>
              <w:rPr>
                <w:rFonts w:ascii="Arial" w:cs="Arial" w:eastAsia="Arial" w:hAnsi="Arial"/>
                <w:sz w:val="14"/>
                <w:szCs w:val="14"/>
                <w:b w:val="1"/>
                <w:bCs w:val="1"/>
                <w:color w:val="auto"/>
              </w:rPr>
              <w:t>2013</w:t>
            </w:r>
          </w:p>
        </w:tc>
      </w:tr>
      <w:tr>
        <w:trPr>
          <w:trHeight w:val="243"/>
        </w:trPr>
        <w:tc>
          <w:tcPr>
            <w:tcW w:w="8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0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30.3%</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increase in the effective tax rate for the quarter ended March 31, 2014, primarily reflects the absence of a $95 million tax benefit recorded during the first quarter of 2013, related to the retroactive impact of the legislative corporate tax extenders enacted in January 2013, as part of the American Taxpayer Relief Act of 2012.</w:t>
      </w:r>
    </w:p>
    <w:p>
      <w:pPr>
        <w:spacing w:after="0" w:line="73"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We estimate our full year annual effective income tax rate in 2014 to be approximately 30%, absent one-time adjustments. We anticipate some variability in the tax rate quarter-to-quarter in 2014.</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1,270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1.39</w:t>
            </w:r>
          </w:p>
        </w:tc>
      </w:tr>
    </w:tbl>
    <w:p>
      <w:pPr>
        <w:spacing w:after="0" w:line="12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Net income attributable to common shareowners from continuing operations for the quarter ended March 31, 2014 includes restructuring charges, net of tax benefit, of $83 million. The net effect on diluted earnings per share of restructuring charges was $0.09 per share. The results for the quarter ended March 31, 2013 included a $0.11 per share benefit from non-recurring items net of restructuring charges. The impact of foreign currency translation and hedging generated a favorable effect of $0.01 per diluted share on our operational performance in the quarter ended March 31, 2014.</w:t>
      </w:r>
    </w:p>
    <w:p>
      <w:pPr>
        <w:sectPr>
          <w:pgSz w:w="11900" w:h="16838" w:orient="portrait"/>
          <w:cols w:equalWidth="0" w:num="1">
            <w:col w:w="11420"/>
          </w:cols>
          <w:pgMar w:left="240" w:top="121"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Restructuring actions are an essential component of our operating margin improvement efforts and relate to both existing operations and those recently acquired. We now expect to incur restructuring costs in 2014 of approximately $375 million, including trailing costs related to prior actions associated with our continuing cost reduction efforts and the integration of acquisitions. The expected adverse impact on earnings in 2014 from anticipated additional restructuring costs is expected to be offset by the beneficial impact from gains and other items that are outside the normal operating activities of the Company. Although no specific plans for significant other actions have been finalized at this time, we continue to closely monitor the economic environment and may undertake further restructuring actions to keep our cost structure aligned with the demands of the prevailing market conditions.</w:t>
      </w:r>
    </w:p>
    <w:p>
      <w:pPr>
        <w:spacing w:after="0" w:line="5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described below, the charges incurred in the quarter ended March 31, 2014 primarily relate to actions initiated during 2014 and 2013, while the charges incurred in the quarter ended March 31, 2013 primarily relate to actions initiated during 2013 and 2012.</w:t>
      </w:r>
    </w:p>
    <w:p>
      <w:pPr>
        <w:spacing w:after="0" w:line="5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quarter ended March 31, 2014, we recorded net pre-tax restructuring charges of $90 million relating to ongoing cost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2014. The charges include severance related to workforce reductions and asset write-downs and facility exit and lease termination costs related to the consolidation of field and manufacturing operations.</w:t>
      </w:r>
    </w:p>
    <w:p>
      <w:pPr>
        <w:spacing w:after="0" w:line="18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are targeting the majority of the remaining workforce and facility related cost reduction actions for completion during 2014. Approximately 45% of the total pre-tax charge will require cash payments, which we have funded and expect to continue to fund with cash generated from operations. During the quarter ended March 31, 2014, we had cash outflows of approximately $8 million related to the 2014 actions. We expect to incur additional restructuring and other charges of $58 million to complete these actions. We expect recurring pre-tax savings to increase over the two-year period subsequent to initiating the actions to approximately $140 million annually.</w:t>
      </w:r>
    </w:p>
    <w:p>
      <w:pPr>
        <w:spacing w:after="0" w:line="18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color w:val="auto"/>
        </w:rPr>
        <w:t xml:space="preserve">2013 Actions. </w:t>
      </w:r>
      <w:r>
        <w:rPr>
          <w:rFonts w:ascii="Arial" w:cs="Arial" w:eastAsia="Arial" w:hAnsi="Arial"/>
          <w:sz w:val="17"/>
          <w:szCs w:val="17"/>
          <w:color w:val="auto"/>
        </w:rPr>
        <w:t>During the quarters ended March 31, 2014 and 2013, we recorded net pre-tax restructuring charges of $32 million and $20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for actions initiated in 2013. The 2013 actions relate to ongoing cost reduction efforts, including severance related to workforce reductions and asset write-downs and facility exit and lease termination costs related to the consolidation of field and manufacturing operations.</w:t>
      </w:r>
    </w:p>
    <w:p>
      <w:pPr>
        <w:spacing w:after="0" w:line="162"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are targeting to complete in 2014 the majority of the remaining workforce and all facility related cost reduction actions initiated in 2013. Approximately 75% of the total pre-tax charge will require cash payments, which we have and expect to continue to fund with cash generated from operations. During the quarter ended March 31, 2014, we had cash outflows of approximately $49 million related to the 2013 actions. We expect to incur additional restructuring charges of $34 million to complete these actions. We expect recurring pre-tax savings to increase over the two-year period subsequent to initiating the actions to approximately $425 million annually, of which, approximately $88 million was realized during the quarter ended March 31, 2014.</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8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2014 and 2013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5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Within the UTC Climate, Controls &amp; Security segment, North American residential heating, ventilation, and air conditioning (HVAC) orders increased 19% in the first quarter as the housing market continued to improve and distributors build stock for the summer season. Global commercial HVAC orders increased 2% with increases in Europe (15%) and Asia (4%) partially offset by lower order levels in North America (4%). Within the Otis segment, new equipment orders increased 9% in the first quarter of 2014 with growth in North America (37%) and in China (27%) due, in part, to several large product orders in the quarter. New equipment orders declined in Europe (5%) largely due to fewer large project orders in Russia.</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March 31,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Otis</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jc w:val="right"/>
              <w:ind w:right="737"/>
              <w:spacing w:after="0"/>
              <w:rPr>
                <w:sz w:val="20"/>
                <w:szCs w:val="20"/>
                <w:color w:val="auto"/>
              </w:rPr>
            </w:pPr>
            <w:r>
              <w:rPr>
                <w:rFonts w:ascii="Arial" w:cs="Arial" w:eastAsia="Arial" w:hAnsi="Arial"/>
                <w:sz w:val="14"/>
                <w:szCs w:val="14"/>
                <w:b w:val="1"/>
                <w:bCs w:val="1"/>
                <w:color w:val="auto"/>
              </w:rPr>
              <w:t>UTC Climate, Controls &amp; Security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9"/>
                <w:szCs w:val="19"/>
                <w:color w:val="auto"/>
              </w:rPr>
            </w:pPr>
          </w:p>
        </w:tc>
        <w:tc>
          <w:tcPr>
            <w:tcW w:w="80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3,851</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2,754</w:t>
            </w:r>
          </w:p>
        </w:tc>
        <w:tc>
          <w:tcPr>
            <w:tcW w:w="1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537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gridSpan w:val="3"/>
            <w:vMerge w:val="continue"/>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Otis –</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14"/>
          </w:tcPr>
          <w:p>
            <w:pPr>
              <w:spacing w:after="0"/>
              <w:rPr>
                <w:sz w:val="20"/>
                <w:szCs w:val="20"/>
                <w:color w:val="auto"/>
              </w:rPr>
            </w:pPr>
            <w:r>
              <w:rPr>
                <w:rFonts w:ascii="Arial" w:cs="Arial" w:eastAsia="Arial" w:hAnsi="Arial"/>
                <w:sz w:val="18"/>
                <w:szCs w:val="18"/>
                <w:b w:val="1"/>
                <w:bCs w:val="1"/>
                <w:i w:val="1"/>
                <w:iCs w:val="1"/>
                <w:color w:val="auto"/>
                <w:w w:val="99"/>
              </w:rPr>
              <w:t>Quarter Ended March 31, 2014 Compared with Quarter Ended March 31, 2013</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0"/>
          </w:tcPr>
          <w:p>
            <w:pPr>
              <w:jc w:val="center"/>
              <w:ind w:left="636"/>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5"/>
          </w:tcPr>
          <w:p>
            <w:pPr>
              <w:ind w:left="40"/>
              <w:spacing w:after="0" w:line="153" w:lineRule="exact"/>
              <w:rPr>
                <w:sz w:val="20"/>
                <w:szCs w:val="20"/>
                <w:color w:val="auto"/>
              </w:rPr>
            </w:pPr>
            <w:r>
              <w:rPr>
                <w:rFonts w:ascii="Arial" w:cs="Arial" w:eastAsia="Arial" w:hAnsi="Arial"/>
                <w:sz w:val="14"/>
                <w:szCs w:val="14"/>
                <w:b w:val="1"/>
                <w:bCs w:val="1"/>
                <w:color w:val="auto"/>
              </w:rPr>
              <w:t>Organic /</w:t>
            </w:r>
          </w:p>
        </w:tc>
        <w:tc>
          <w:tcPr>
            <w:tcW w:w="240" w:type="dxa"/>
            <w:vAlign w:val="bottom"/>
          </w:tcPr>
          <w:p>
            <w:pPr>
              <w:spacing w:after="0"/>
              <w:rPr>
                <w:sz w:val="13"/>
                <w:szCs w:val="13"/>
                <w:color w:val="auto"/>
              </w:rPr>
            </w:pPr>
          </w:p>
        </w:tc>
        <w:tc>
          <w:tcPr>
            <w:tcW w:w="1340" w:type="dxa"/>
            <w:vAlign w:val="bottom"/>
            <w:gridSpan w:val="4"/>
          </w:tcPr>
          <w:p>
            <w:pPr>
              <w:ind w:left="360"/>
              <w:spacing w:after="0" w:line="153" w:lineRule="exact"/>
              <w:rPr>
                <w:sz w:val="20"/>
                <w:szCs w:val="20"/>
                <w:color w:val="auto"/>
              </w:rPr>
            </w:pPr>
            <w:r>
              <w:rPr>
                <w:rFonts w:ascii="Arial" w:cs="Arial" w:eastAsia="Arial" w:hAnsi="Arial"/>
                <w:sz w:val="14"/>
                <w:szCs w:val="14"/>
                <w:b w:val="1"/>
                <w:bCs w:val="1"/>
                <w:color w:val="auto"/>
              </w:rPr>
              <w:t>FX</w:t>
            </w:r>
          </w:p>
        </w:tc>
        <w:tc>
          <w:tcPr>
            <w:tcW w:w="1400" w:type="dxa"/>
            <w:vAlign w:val="bottom"/>
            <w:gridSpan w:val="3"/>
          </w:tcPr>
          <w:p>
            <w:pPr>
              <w:jc w:val="center"/>
              <w:ind w:left="57"/>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right"/>
              <w:ind w:right="620"/>
              <w:spacing w:after="0" w:line="153" w:lineRule="exact"/>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3"/>
                <w:szCs w:val="13"/>
                <w:color w:val="auto"/>
              </w:rPr>
            </w:pPr>
          </w:p>
        </w:tc>
        <w:tc>
          <w:tcPr>
            <w:tcW w:w="122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3"/>
          </w:tcPr>
          <w:p>
            <w:pPr>
              <w:jc w:val="center"/>
              <w:ind w:left="57"/>
              <w:spacing w:after="0"/>
              <w:rPr>
                <w:sz w:val="20"/>
                <w:szCs w:val="20"/>
                <w:color w:val="auto"/>
              </w:rPr>
            </w:pPr>
            <w:r>
              <w:rPr>
                <w:rFonts w:ascii="Arial" w:cs="Arial" w:eastAsia="Arial" w:hAnsi="Arial"/>
                <w:sz w:val="14"/>
                <w:szCs w:val="14"/>
                <w:b w:val="1"/>
                <w:bCs w:val="1"/>
                <w:color w:val="auto"/>
                <w:w w:val="89"/>
              </w:rPr>
              <w:t>Divestitures, net</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7"/>
              </w:rPr>
              <w:t>Costs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Organic sales increased in the quarter (6%) due to higher new equipment sales primarily in China (2%), U.S. (2%) and Russia (1%). Service sales were consistent with prior year levels.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operational profit increase in the quarter (3%) was due to higher new equipment volume (5%), partially offset by continued pricing pressure and costs from our North America factory transformation (2%). Service contribution is consistent with prior year levels.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2014 Compared with Quarter Ended March 31, 2013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208"/>
              <w:spacing w:after="0" w:line="153" w:lineRule="exact"/>
              <w:rPr>
                <w:sz w:val="20"/>
                <w:szCs w:val="20"/>
                <w:color w:val="auto"/>
              </w:rPr>
            </w:pPr>
            <w:r>
              <w:rPr>
                <w:rFonts w:ascii="Arial" w:cs="Arial" w:eastAsia="Arial" w:hAnsi="Arial"/>
                <w:sz w:val="14"/>
                <w:szCs w:val="14"/>
                <w:b w:val="1"/>
                <w:bCs w:val="1"/>
                <w:color w:val="auto"/>
              </w:rPr>
              <w:t>FX</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Translation</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67"/>
        </w:trPr>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gridSpan w:val="3"/>
          </w:tcPr>
          <w:p>
            <w:pPr>
              <w:jc w:val="right"/>
              <w:ind w:right="228"/>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Organic sales increased 3% primarily reflecting growth in Americas (2%), driven by the U.S. residential HVAC business, and the transport refrigeration business (1%). An organic sales increase in China (1%) was offset by lower sales in other Asian countries. The decrease in "Acquisitions and divestitures, net" (3%) reflects the year-over-year impact of divestitures completed in the preceding twelve months associated with UTC Climate, Controls &amp; Security's portfolio transformation.</w:t>
      </w:r>
    </w:p>
    <w:p>
      <w:pPr>
        <w:spacing w:after="0" w:line="187"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17% operational profit increase was driven largely by positive volume, mix and pricing (combined 9%), the benefits of restructuring actions and cost productivity (combined 5%) and favorable commodity costs (3%). The 8% decrease in "Other" primarily reflects net year-over-year impact from UTC Climate, Controls &amp; Security's portfolio transformation.</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Pratt &amp; Whitney also serves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87"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Airline traffic, as measured by RPMs, grew over 5% in 2013 and has shown continued growth in 2014. We continue to benefit from a strong airline industry with airlines' profitability forecasted by third party analysts to be almost $19 billion in 2014. Commercial aerospace spares orders at Pratt &amp; Whitney’s large commercial engine business increased 11% in the first quarter of 2014 as compared to the same period of 2013, while UTC Aerospace Systems spares orders increased 9% over the same period. Lower U.S. Government defense spending levels have constrained military sales growth and we expect U.S. Government deficit reduction measures to continue to adversely affect our military aerospace businesses in 2014.</w:t>
      </w:r>
    </w:p>
    <w:p>
      <w:pPr>
        <w:spacing w:after="0" w:line="173"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Accounting Standards Codification. Operating profit included significant changes in aerospace contract estimates of $17 million in the quarter ended March 31, 2014.</w:t>
      </w:r>
    </w:p>
    <w:p>
      <w:pPr>
        <w:spacing w:after="0" w:line="18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As previously reported, Sikorsky is developing the CH-148 derivative of the H-92 helicopter (the "Cyclone"), a military variant of the S-92 helicopter, for the Canadian Government. The Cyclone is being developed under a fixed-price contract that provides for the development and production of 28 helicopters, and a related in-service support contract through March 2028 (collectively, the "Arrangements"). The current contract values of the Arrangements are estimated to be $4.2 billion and are subject to changes in underlying variables such as the timing of deliveries, future flight hours and fluctuations in foreign currency exchange rates. Delivery of the final configuration aircraft, which was scheduled to begin in 2012, has not occurred due to a number of disputes between the Canadian Government and Sikorsky related to contractual requirements and contract performance.</w:t>
      </w:r>
    </w:p>
    <w:p>
      <w:pPr>
        <w:spacing w:after="0" w:line="165"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In December 2013, Sikorsky and the Canadian Government signed a Principles of Agreement, and on April 2, 2014 a second agreement was signed by the parties. Together, these Principles of Agreement (the "POA") establish a framework to restructure the Arrangements while providing a new governance and project structure. Sikorsky is engaging in ongoing formal contract negotiations with the Canadian Government under the POA. The objective of the negotiations is the mutual agreement on contractual amendments that memorialize the key understandings documented in the POA. These amendments are expected to substantially change the timing and scope of the aircraft, while securing Sikorsky's role as the in-service support provider for these aircraft for an extended period of years. As such, the amendments are expected to require us to reassess our current accounting judgments and estimates to reflect the new proposed contractual structure. Based upon the progress of the negotiations to date and the changes envisioned, we anticipate recording a significant charge upon execution of the proposed contractual amendments as they will require us to accelerate our costs and revenue recognition using a cost-to-cost method to recognize our cumulative efforts to date on the aircraft, in addition to higher costs associated with scope changes and a phased-delivery approach that supports the timing of the retirement of the Sea King helicopters beginning in 2015. Any such revenues and losses recorded could have a material impact on the consolidated results of operations in the period recognized. Similarly, failure to reach an agreement with the Canadian Government on the contractual amendments could also lead to a material adverse impact on the consolidated results of operations. However, we do not believe that the amendments, nor failure to reach agreement on the amendments, will result in a material adverse effect on our financial condition.</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March 31,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Pratt &amp; Whitney</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w w:val="90"/>
              </w:rPr>
              <w:t>UTC Aerospace Systems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Sikorsky</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9"/>
                <w:szCs w:val="19"/>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9"/>
                <w:szCs w:val="19"/>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9"/>
                <w:szCs w:val="19"/>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3,329</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1,361</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1,249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2,546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1,039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Operating Expenses and</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388</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86</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Pratt &amp; Whitney –</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19"/>
          </w:tcPr>
          <w:p>
            <w:pPr>
              <w:spacing w:after="0"/>
              <w:rPr>
                <w:sz w:val="20"/>
                <w:szCs w:val="20"/>
                <w:color w:val="auto"/>
              </w:rPr>
            </w:pPr>
            <w:r>
              <w:rPr>
                <w:rFonts w:ascii="Arial" w:cs="Arial" w:eastAsia="Arial" w:hAnsi="Arial"/>
                <w:sz w:val="18"/>
                <w:szCs w:val="18"/>
                <w:b w:val="1"/>
                <w:bCs w:val="1"/>
                <w:i w:val="1"/>
                <w:iCs w:val="1"/>
                <w:color w:val="auto"/>
                <w:w w:val="97"/>
              </w:rPr>
              <w:t>Quarter Ended March 31, 2014 Compared with Quarter Ended March 31, 2013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3"/>
          </w:tcPr>
          <w:p>
            <w:pPr>
              <w:jc w:val="center"/>
              <w:ind w:left="536"/>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jc w:val="right"/>
              <w:ind w:right="640"/>
              <w:spacing w:after="0" w:line="153" w:lineRule="exact"/>
              <w:rPr>
                <w:sz w:val="20"/>
                <w:szCs w:val="20"/>
                <w:color w:val="auto"/>
              </w:rPr>
            </w:pPr>
            <w:r>
              <w:rPr>
                <w:rFonts w:ascii="Arial" w:cs="Arial" w:eastAsia="Arial" w:hAnsi="Arial"/>
                <w:sz w:val="14"/>
                <w:szCs w:val="14"/>
                <w:b w:val="1"/>
                <w:bCs w:val="1"/>
                <w:color w:val="auto"/>
              </w:rPr>
              <w:t>FX</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7"/>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0" w:type="dxa"/>
            <w:vAlign w:val="bottom"/>
          </w:tcPr>
          <w:p>
            <w:pPr>
              <w:spacing w:after="0"/>
              <w:rPr>
                <w:sz w:val="13"/>
                <w:szCs w:val="13"/>
                <w:color w:val="auto"/>
              </w:rPr>
            </w:pPr>
          </w:p>
        </w:tc>
        <w:tc>
          <w:tcPr>
            <w:tcW w:w="1200" w:type="dxa"/>
            <w:vAlign w:val="bottom"/>
            <w:gridSpan w:val="3"/>
          </w:tcPr>
          <w:p>
            <w:pPr>
              <w:jc w:val="right"/>
              <w:ind w:right="248"/>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gridSpan w:val="2"/>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7"/>
              </w:rPr>
              <w:t>Operational</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1"/>
              </w:rPr>
              <w:t>Divestitures, net</w:t>
            </w:r>
          </w:p>
        </w:tc>
        <w:tc>
          <w:tcPr>
            <w:tcW w:w="160" w:type="dxa"/>
            <w:vAlign w:val="bottom"/>
          </w:tcPr>
          <w:p>
            <w:pPr>
              <w:spacing w:after="0"/>
              <w:rPr>
                <w:sz w:val="16"/>
                <w:szCs w:val="16"/>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30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154"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The organic sales increase (4%) was driven by higher commercial aftermarket (6%) and industrial engines (2%) sales, partially offset by lower engines and aftermarket sales in the military business (3%). Sales decreased (6%) as a result of the divestiture of Pratt &amp; Whitney Power Systems in 2013.</w:t>
      </w:r>
    </w:p>
    <w:p>
      <w:pPr>
        <w:spacing w:after="0" w:line="124"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Pratt &amp; Whitney's operating profit benefited from lower pension costs and restructuring savings across its businesses. The operational profit increase (5%) was due to the net volume increase (20%) and favorable military contract performance (6%), partially offset by the absence of a settlement with an engine program partner (10%), higher negative commercial engine margins (7%), and a decline in contract termination benefits (4%). Operating profit decreased (3%) as a result of the divestiture of Pratt &amp; Whitney Power Systems in 2013.</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2014 Compared with Quarter Ended March 31,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Factors contributing to total % Change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14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1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1468"/>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40" w:type="dxa"/>
            <w:vAlign w:val="bottom"/>
            <w:gridSpan w:val="3"/>
          </w:tcPr>
          <w:p>
            <w:pPr>
              <w:jc w:val="right"/>
              <w:ind w:right="1468"/>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240" w:type="dxa"/>
            <w:vAlign w:val="bottom"/>
            <w:gridSpan w:val="13"/>
          </w:tcPr>
          <w:p>
            <w:pPr>
              <w:ind w:left="440"/>
              <w:spacing w:after="0"/>
              <w:rPr>
                <w:sz w:val="20"/>
                <w:szCs w:val="20"/>
                <w:color w:val="auto"/>
              </w:rPr>
            </w:pPr>
            <w:r>
              <w:rPr>
                <w:rFonts w:ascii="Arial" w:cs="Arial" w:eastAsia="Arial" w:hAnsi="Arial"/>
                <w:sz w:val="18"/>
                <w:szCs w:val="18"/>
                <w:color w:val="auto"/>
                <w:w w:val="92"/>
              </w:rPr>
              <w:t>The organic sales growth (6%) is due to an increase in commercial aerospace OEM and commercial aftermarket sales volumes (6%).</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gridSpan w:val="3"/>
          </w:tcPr>
          <w:p>
            <w:pPr>
              <w:jc w:val="right"/>
              <w:ind w:right="268"/>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operational profit increase (17%) primarily reflects the profit contribution from higher commercial aftermarket sales volumes (13%), higher income from licensing agreements (4%), and lower selling, general and administrative expenses (4%) including lower pension expense and the benefit of synergies, partially offset by higher research and development costs (2%) and lower profits on commercial OEM sales (2%) driven by adverse mix.</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2014 Compared with Quarter Ended March 31,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Factors contributing to total % Change</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rPr>
              <w:t>FX</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Restructuring</w:t>
            </w:r>
          </w:p>
        </w:tc>
        <w:tc>
          <w:tcPr>
            <w:tcW w:w="14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Translation</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organic sales increase (9%) reflects increased commercial sales (4%) primarily due to S-92 aircraft volume partially offset by a decrease in S-76 volume, higher international military sales volume (7%) and favorable military aftermarket contract performance (1%). These increases were offset partially by lower U.S. Government sales volume (1%) and lower volume on customer funded development programs (3%).</w:t>
      </w:r>
    </w:p>
    <w:p>
      <w:pPr>
        <w:spacing w:after="0" w:line="166"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operational profit increase (9%) is driven by profitability in military aftermarket (41%) primarily due to favorable contract performance and higher international military aircraft volume (11%). These increases were partially offset by lower profitability on U.S. Government aircraft contracts (17%) due to less favorable contract performance, lower profits from customer funded development programs (22%), and lower commercial aftermarket profitability (4%).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Net Sales</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Profits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March 31,</w:t>
            </w:r>
          </w:p>
        </w:tc>
        <w:tc>
          <w:tcPr>
            <w:tcW w:w="360" w:type="dxa"/>
            <w:vAlign w:val="bottom"/>
          </w:tcPr>
          <w:p>
            <w:pPr>
              <w:spacing w:after="0"/>
              <w:rPr>
                <w:sz w:val="16"/>
                <w:szCs w:val="16"/>
                <w:color w:val="auto"/>
              </w:rPr>
            </w:pPr>
          </w:p>
        </w:tc>
        <w:tc>
          <w:tcPr>
            <w:tcW w:w="270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80"/>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21"/>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ind w:right="516"/>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21"/>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516"/>
              <w:spacing w:after="0" w:line="129" w:lineRule="exact"/>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102"/>
        </w:trPr>
        <w:tc>
          <w:tcPr>
            <w:tcW w:w="40" w:type="dxa"/>
            <w:vAlign w:val="bottom"/>
            <w:tcBorders>
              <w:bottom w:val="single" w:sz="8" w:color="CCEEFF"/>
            </w:tcBorders>
          </w:tcPr>
          <w:p>
            <w:pPr>
              <w:spacing w:after="0"/>
              <w:rPr>
                <w:sz w:val="8"/>
                <w:szCs w:val="8"/>
                <w:color w:val="auto"/>
              </w:rPr>
            </w:pPr>
          </w:p>
        </w:tc>
        <w:tc>
          <w:tcPr>
            <w:tcW w:w="1220" w:type="dxa"/>
            <w:vAlign w:val="bottom"/>
            <w:tcBorders>
              <w:top w:val="single" w:sz="8" w:color="auto"/>
              <w:bottom w:val="single" w:sz="8" w:color="CCEEFF"/>
            </w:tcBorders>
          </w:tcPr>
          <w:p>
            <w:pPr>
              <w:spacing w:after="0"/>
              <w:rPr>
                <w:sz w:val="8"/>
                <w:szCs w:val="8"/>
                <w:color w:val="auto"/>
              </w:rPr>
            </w:pPr>
          </w:p>
        </w:tc>
        <w:tc>
          <w:tcPr>
            <w:tcW w:w="39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change in sales for the quarter ended March 31, 2014, as compared with the same period of 2013, reflects an increase in the amount of inter-segment sales eliminations. The year-over-year change in operating profit for the first quarter of 2014, as compared with the first quarter of 2013, reflects lower divestiture costs in 2014.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8"/>
        </w:trPr>
        <w:tc>
          <w:tcPr>
            <w:tcW w:w="65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20,043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20,241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18,057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33,695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33,219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53,460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50,387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0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49,261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48,841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45,620</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48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37%</w:t>
            </w:r>
          </w:p>
        </w:tc>
        <w:tc>
          <w:tcPr>
            <w:tcW w:w="16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Net debt to net capitalization</w:t>
            </w:r>
          </w:p>
        </w:tc>
        <w:tc>
          <w:tcPr>
            <w:tcW w:w="4860" w:type="dxa"/>
            <w:vAlign w:val="bottom"/>
          </w:tcPr>
          <w:p>
            <w:pPr>
              <w:jc w:val="right"/>
              <w:ind w:right="570"/>
              <w:spacing w:after="0"/>
              <w:rPr>
                <w:sz w:val="20"/>
                <w:szCs w:val="20"/>
                <w:color w:val="auto"/>
              </w:rPr>
            </w:pPr>
            <w:r>
              <w:rPr>
                <w:rFonts w:ascii="Arial" w:cs="Arial" w:eastAsia="Arial" w:hAnsi="Arial"/>
                <w:sz w:val="18"/>
                <w:szCs w:val="18"/>
                <w:color w:val="auto"/>
              </w:rPr>
              <w:t>32%</w:t>
            </w:r>
          </w:p>
        </w:tc>
        <w:tc>
          <w:tcPr>
            <w:tcW w:w="1640" w:type="dxa"/>
            <w:vAlign w:val="bottom"/>
          </w:tcPr>
          <w:p>
            <w:pPr>
              <w:jc w:val="right"/>
              <w:ind w:right="570"/>
              <w:spacing w:after="0"/>
              <w:rPr>
                <w:sz w:val="20"/>
                <w:szCs w:val="20"/>
                <w:color w:val="auto"/>
              </w:rPr>
            </w:pPr>
            <w:r>
              <w:rPr>
                <w:rFonts w:ascii="Arial" w:cs="Arial" w:eastAsia="Arial" w:hAnsi="Arial"/>
                <w:sz w:val="18"/>
                <w:szCs w:val="18"/>
                <w:color w:val="auto"/>
              </w:rPr>
              <w:t>32%</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86"/>
        </w:trPr>
        <w:tc>
          <w:tcPr>
            <w:tcW w:w="3860" w:type="dxa"/>
            <w:vAlign w:val="bottom"/>
          </w:tcPr>
          <w:p>
            <w:pPr>
              <w:spacing w:after="0"/>
              <w:rPr>
                <w:sz w:val="24"/>
                <w:szCs w:val="24"/>
                <w:color w:val="auto"/>
              </w:rPr>
            </w:pPr>
          </w:p>
        </w:tc>
        <w:tc>
          <w:tcPr>
            <w:tcW w:w="4860" w:type="dxa"/>
            <w:vAlign w:val="bottom"/>
          </w:tcPr>
          <w:p>
            <w:pPr>
              <w:jc w:val="right"/>
              <w:ind w:right="2830"/>
              <w:spacing w:after="0"/>
              <w:rPr>
                <w:sz w:val="20"/>
                <w:szCs w:val="20"/>
                <w:color w:val="auto"/>
              </w:rPr>
            </w:pPr>
            <w:r>
              <w:rPr>
                <w:rFonts w:ascii="Arial" w:cs="Arial" w:eastAsia="Arial" w:hAnsi="Arial"/>
                <w:sz w:val="18"/>
                <w:szCs w:val="18"/>
                <w:color w:val="auto"/>
              </w:rPr>
              <w:t>32</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of continuing operations, which, after netting out capital expenditures, we target to equal or exceed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5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global economic environment has been improving. Strengthening air traffic and airline profitability have offset continued weakness in defense spending. In the U.S., the outlook for housing and commercial construction remains encouraging. The economic environment in Europe has been trending positively, with strengthening economic sentiment offsetting continued unemployment concerns, while in China, there has been some slowing of construction starts and property transactions. In light of these circumstances, we continue to assess our current business and closely monitor the impact on our customers and suppliers, and have determined that overall there was not a significant adverse impact on our financial position, results of operations or liquidity during the first quarter of 2014.</w:t>
      </w:r>
    </w:p>
    <w:p>
      <w:pPr>
        <w:spacing w:after="0" w:line="19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domestic pension funds experienced a positive return on assets of 3.65% during the first quarter of 2014. Approximately 89% of these domestic pension plans' funds are invested in readily-liquid investments, including equity, fixed income, asset-backed receivables and structured products. The balance of these domestic pension plans' funds (11%) is invested in less-liquid but market-valued investments, including real estate and private equity. Across our global pension plans, the absence of prior pension investment losses, impact of a higher discount rate, and the positive returns experienced during 2013 are expected to result in decreased pension expense in 2014 of approximately $500 million as compared to 2013.</w:t>
      </w:r>
    </w:p>
    <w:p>
      <w:pPr>
        <w:spacing w:after="0" w:line="173"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Our strong debt ratings and financial position have historically enabled us to issue long-term debt at favorable market rates. Our ability to obtain debt financing at comparable risk-based interest rates is partly a function of our existing debt-to-total-capitalization level as well as our credit standing.</w:t>
      </w:r>
    </w:p>
    <w:p>
      <w:pPr>
        <w:spacing w:after="0" w:line="124" w:lineRule="exact"/>
        <w:rPr>
          <w:sz w:val="20"/>
          <w:szCs w:val="20"/>
          <w:color w:val="auto"/>
        </w:rPr>
      </w:pPr>
    </w:p>
    <w:p>
      <w:pPr>
        <w:ind w:right="700" w:firstLine="405"/>
        <w:spacing w:after="0" w:line="342" w:lineRule="auto"/>
        <w:rPr>
          <w:sz w:val="20"/>
          <w:szCs w:val="20"/>
          <w:color w:val="auto"/>
        </w:rPr>
      </w:pPr>
      <w:r>
        <w:rPr>
          <w:rFonts w:ascii="Arial" w:cs="Arial" w:eastAsia="Arial" w:hAnsi="Arial"/>
          <w:sz w:val="16"/>
          <w:szCs w:val="16"/>
          <w:color w:val="auto"/>
        </w:rPr>
        <w:t>On April 1, 2014, we redeemed all remaining outstanding 2016 Goodrich 6.290% notes, representing approximately $188 million in aggregate principal, under our redemption notice issued on February 28, 2014. We expect full year 2014 debt repayments to be approximately $1 billion.</w:t>
      </w:r>
    </w:p>
    <w:p>
      <w:pPr>
        <w:spacing w:after="0" w:line="12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September 27, 2013, we redeemed all remaining outstanding 2021 Goodrich 3.600% notes, representing $294 million in aggregate principal, under our redemption notice issued on August 28, 2013. On August 23, 2013, we redeemed all remaining outstanding 2019 Goodrich 6.125% notes, representing $202 million in aggregate principal, under our redemption notice issued on July 24, 2013. On June 24, 2013 we redeemed all remaining outstanding 2015 UTC 1.200% Senior Notes, representing $327 million in aggregate principal, under our redemption notice issued on May 24, 2013. On May 7, 2013, we commenced cash tender offers for two series of outstanding notes issued by Goodrich and the 2015 UTC 1.200% Senior Notes. A total of $874 million principal amount of all notes subject to the tender offers, and $36 million of the fair value adjustment related to the notes assumed in the Goodrich acquisition, were repaid, including approximately $103 million principal amount of the 2016 Goodrich 6.290% notes, approximately $98 million principal amount of the 2019 Goodrich 6.125% notes, and approximately $674 million principal amount of the 2015 UTC 1.200% Senior Notes. Total payments under these tender offers were approximately $935 million including principal, premium and interest.</w:t>
      </w:r>
    </w:p>
    <w:p>
      <w:pPr>
        <w:spacing w:after="0" w:line="182"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Tax payments related to discontinued operations, primarily the December 2012 sale of the legacy Hamilton Sundstrand Industrial businesses, were approximately $665 million for the quarter ended March 31, 2013. We do not expect tax payments in 2014 related to these discontinued operations to be significant.</w:t>
      </w:r>
    </w:p>
    <w:p>
      <w:pPr>
        <w:spacing w:after="0" w:line="18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At March 31, 2014, we had revolving credit agreements with various banks permitting aggregate borrowings of up to $4 billion pursuant to a $2 billion revolving credit agreement and a $2 billion multicurrency revolving credit agreement, both of which expire in November 2016. As of March 31, 2014, there were no borrowings under either of these revolving credit agreements. The undrawn portions of our revolving credit agreements are also available to serve as backup facilities for the issuance of commercial paper. As of March 31, 2014, our maximum commercial paper borrowing authority as set by our Board of Directors was $4 billion. We use our commercial paper borrowings for general corporate purposes, including the funding of acquisitions and repurchases of our common stock.</w:t>
      </w:r>
    </w:p>
    <w:p>
      <w:pPr>
        <w:spacing w:after="0" w:line="1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81"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and held outside of the U.S. We manage our worldwide cash requirements by reviewing available funds among the many subsidiaries through</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our international subsidiaries. Our intention is to reinvest these earnings permanently or to repatriate the earnings only when it is tax effective to do so.</w:t>
      </w:r>
    </w:p>
    <w:p>
      <w:pPr>
        <w:spacing w:after="0" w:line="17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March 31, 2014 and December 31, 2013, the amount of such restricted cash was approximately $32 million and $47 million, respectively.</w:t>
      </w:r>
    </w:p>
    <w:p>
      <w:pPr>
        <w:spacing w:after="0" w:line="181"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1,409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Cash generated from operating activities of continuing operations in the quarter ended March 31, 2014 was $74 million lower than the same period in 2013, including lower income from continuing operations of $46 million, offset by higher non-cash charges of $97 million. During the quarter ended March 31, 2014, the net increase in working capital resulted in a cash outflow of $521 million, an increase in cash outflow of $323 million over the quarter ended March 31, 2013. The 2014 cash outflows for working capital were primarily driven by increases in inventory to support deliveries and other contractual commitments across the aerospace businesses, inventory increases to support seasonal demand at UTC Climate, Controls &amp; Security, increases in accounts receivable within our commercial businesses primarily attributable to seasonal maintenance billing cycles, and conversion of customer advances at Pratt &amp; Whitney. These working capital increases were partially offset by increases in accounts payable and accrued liabilities, primarily at Pratt &amp; Whitney, Otis and Sikorsky, an increase in domestic tax accruals, and increases in customer advances at Otis and Sikorsky.</w:t>
      </w:r>
    </w:p>
    <w:p>
      <w:pPr>
        <w:spacing w:after="0" w:line="16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quarters ended March 31, 2014 and 2013 were $84 million and $29 million, respectively. We expect to make total cash contributions of approximately $275 million to our global defined benefit pension plans in 2014. Our domestic pension plans are approximately 95% funded on a projected benefit obligation basis as of March 31, 2014, and we are not required to make additional contributions through the end of 2016. Contributions to our global defined benefit pension plans in 2014 are expected to meet or exceed the current funding requirements.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investing activities of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567"/>
        <w:spacing w:after="0" w:line="297" w:lineRule="auto"/>
        <w:rPr>
          <w:sz w:val="20"/>
          <w:szCs w:val="20"/>
          <w:color w:val="auto"/>
        </w:rPr>
      </w:pPr>
      <w:r>
        <w:rPr>
          <w:rFonts w:ascii="Arial" w:cs="Arial" w:eastAsia="Arial" w:hAnsi="Arial"/>
          <w:sz w:val="16"/>
          <w:szCs w:val="16"/>
          <w:color w:val="auto"/>
        </w:rPr>
        <w:t>Cash flows used in investing activities of continuing operations for the quarter ended March 31, 2014 primarily reflect capital expenditures of approximately $333 million and payments related to our collaboration intangible assets and contractual rights to provide product on new aircraft platforms of approximately $148 million. Cash flows provided by investing activities of continuing operations for the quarter ended March 31, 2013 includes proceeds of approximately $746 million from the disposition of certain businesses, including the sale of the legacy Goodrich pumps and engine controls business to Triumph Group, Inc. on March 18, 2013, the sale of the legacy Goodrich electric power systems business to Safran S.A. on March 26, 2013.</w:t>
      </w:r>
    </w:p>
    <w:p>
      <w:pPr>
        <w:spacing w:after="0" w:line="158" w:lineRule="exact"/>
        <w:rPr>
          <w:sz w:val="20"/>
          <w:szCs w:val="20"/>
          <w:color w:val="auto"/>
        </w:rPr>
      </w:pPr>
    </w:p>
    <w:p>
      <w:pPr>
        <w:ind w:right="100" w:firstLine="540"/>
        <w:spacing w:after="0" w:line="259" w:lineRule="auto"/>
        <w:rPr>
          <w:sz w:val="20"/>
          <w:szCs w:val="20"/>
          <w:color w:val="auto"/>
        </w:rPr>
      </w:pPr>
      <w:r>
        <w:rPr>
          <w:rFonts w:ascii="Arial" w:cs="Arial" w:eastAsia="Arial" w:hAnsi="Arial"/>
          <w:sz w:val="18"/>
          <w:szCs w:val="18"/>
          <w:color w:val="auto"/>
        </w:rPr>
        <w:t>During the quarter ended March 31, 2014, we increased our collaboration intangible assets by approximately $142 million, including net payments of $70 million made under our 2012 agreement to acquire Rolls-Royce's collaboration interest in IAE. Capital expenditures for the quarter ended March 31, 2014 primarily relate to investments in new programs at Pratt &amp; Whitney and UTC Aerospace Systems, as well as continuing Goodrich integration activities at UTC Aerospace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Systems. Investments in businesses in the quarter ended March 31, 2014 included a number of small acquisitions, primarily in our commercial businesses. We expect total cash investments for acquisitions in 2014 to approximate $1 billion, including acquisitions completed during the quarter ended March 31, 2014. However, actual acquisition spending may vary depending upon the timing, availability and appropriate value of acquisition opportunities.</w:t>
      </w:r>
    </w:p>
    <w:p>
      <w:pPr>
        <w:spacing w:after="0" w:line="14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Customer financing activities were a net source of cash of $12 million and $31 million for the quarters ended March 31, 2014 and 2013, respectively. While we expect that 2014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$11 billion at March 31, 2014 related to commercial aircraft and certain contractual rights to provide product on new aircraft platforms, of which up to $1.2 billion may be required to be disbursed during the remainder of 2014. We had commercial aerospace financing and other contractual commitments of approximately $11 billion at December 31, 2013.</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5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(1,019)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had no outstanding commercial paper at March 31, 2014.</w:t>
      </w:r>
    </w:p>
    <w:p>
      <w:pPr>
        <w:spacing w:after="0" w:line="18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At March 31, 2014, management had authority to repurchase approximately 48.3 million shares under the share repurchase program announced on February 4, 2013. Under this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During the quarter ended March 31, 2014, we repurchased approximately 2.9 million shares of our common stock for approximately $335 million. We expect 2014 full year share repurchases to be approximately $1 billion. Our share repurchase levels are influenced by various factors, including the level of other investing activities.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paid dividends on Common Stock of $0.59 per share in the first quarter of 2014 totaling $514 million in the aggregate.</w:t>
      </w:r>
    </w:p>
    <w:p>
      <w:pPr>
        <w:spacing w:after="0" w:line="225"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104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Cash flows used in discontinued operations for the quarter ended March 31, 2013 primarily relate to the completed divestiture of the legacy Hamilton Sundstrand Industrial businesses in December 2012. In connection with this sale, tax payments of approximately $665 million were made during the three months ended March 31, 2013. Net cash flows used in discontinued operations for the three months ended March 31, 2013 also included cash flows from the operating activities of Rocketdyne and of UTC Power, through its date of disposition of February 12, 2013, as well as payments made in settlement of liabilities, transaction costs, and interim funding of UTC Power and of Clipper Windpower, which was divested in 2012. There were no discontinued operations in the quarter ended March 31, 2014.</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In our 2013 Annual Report, incorporated by reference in our 2013 Form 10-K, we disclosed our off-balance sheet arrangements and contractual obligations. As of March 31, 2014, there have been no material changes to these off-balance sheet arrangements and contractual obligations outside the ordinary course of business except as noted below.</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the first quarter of 2014, Sikorsky signed agreements with the Turkish government and certain Turkish aerospace contractors to provide manufacturing kits and licenses that will allow Turkey’s aerospace industry to assemble 109 T-70 helicopters (Turkish variants of Sikorsky’s S-70i International Black Hawk helicopter) for sale to and operation by various Turkish government entities. Under the program, the aircraft will be assembled in Turkey by Turkish Aerospace Industries, Inc. ("TAI") and will include kit components supplied by Sikorsky and other companies. Sikorsky has a purchase commitment of $1.4 billion, which is expected to be fulfilled by the purchase of various Black Hawk parts, components, and services by Sikorsky over a thirty-year period from TAI and other Turkish companies.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121" w:right="4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quarter ended March 31, 2014. For discussion of our exposure to market risk, refer to Part II, Item 7A, “Quantitative and Qualitative Disclosures About Market Risk,” contained in our 2013 Form 10-K.</w:t>
      </w: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&amp; Chief Executive Officer (CEO), the Senior Vice President and Chief Financial Officer (CFO) and the Acting Controller and Assistant Controller, Financial Reporting (Controller), of the effectiveness of the design and operation of our disclosure controls and procedures as of March 31, 2014.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2014,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three months ended March 31, 2014, that has materially affected, or is reasonably likely to materially affect, our internal control over financial reporting.</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15" w:lineRule="exact"/>
        <w:rPr>
          <w:sz w:val="20"/>
          <w:szCs w:val="20"/>
          <w:color w:val="auto"/>
        </w:rPr>
      </w:pPr>
    </w:p>
    <w:p>
      <w:pPr>
        <w:ind w:left="740" w:right="120" w:hanging="327"/>
        <w:spacing w:after="0" w:line="25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34"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and Company directed cost reduction efforts and restructuring costs and savings and other consequences thereof;</w:t>
      </w:r>
    </w:p>
    <w:p>
      <w:pPr>
        <w:spacing w:after="0" w:line="171" w:lineRule="exact"/>
        <w:rPr>
          <w:rFonts w:ascii="Arial" w:cs="Arial" w:eastAsia="Arial" w:hAnsi="Arial"/>
          <w:sz w:val="18"/>
          <w:szCs w:val="18"/>
          <w:color w:val="auto"/>
        </w:rPr>
      </w:pPr>
    </w:p>
    <w:p>
      <w:pPr>
        <w:ind w:left="740" w:right="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194" w:lineRule="exact"/>
        <w:rPr>
          <w:rFonts w:ascii="Arial" w:cs="Arial" w:eastAsia="Arial" w:hAnsi="Arial"/>
          <w:sz w:val="16"/>
          <w:szCs w:val="16"/>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171" w:lineRule="exact"/>
        <w:rPr>
          <w:rFonts w:ascii="Arial" w:cs="Arial" w:eastAsia="Arial" w:hAnsi="Arial"/>
          <w:sz w:val="18"/>
          <w:szCs w:val="18"/>
          <w:color w:val="auto"/>
        </w:rPr>
      </w:pPr>
    </w:p>
    <w:p>
      <w:pPr>
        <w:ind w:left="740" w:right="28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or political conditions in the U.S. and other countries in which we operate or with which we conduct business.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122" w:right="3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“Contingent Liabilities,” the section titled “Management’s Discussion and Analysis of Financial Condition and Results of Operations” under the headings “Business Overview,” “Results of Operations,” “Liquidity and Financial Condition,” and "Critical Accounting Estimates," and the section titled “Risk Factors” in this Form 10-Q and in our 2013 Annual Report. This Form 10-Q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2013 Annual Report in the section titled “Management’s Discussion and Analysis of Financial Condition and Results of Operations” under the headings “Restructuring Costs,”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UTC Fire &amp; Security Americas Corporation, Inc. (UTCFS) has been named as a defendant in three putative class actions that were filed on behalf of purported classes of persons who allege that third-party entities placed “robocalls” and/or placed calls to numbers listed on the “Do Not Call Registry” on behalf of UTCFS in contravention of the Telephone Consumer Protection Act. In each putative class action suit, plaintiffs seek injunctive relief and monetary damages. Each violation under the TCPA provides for $500 in statutory damages or up to $1,500 for any willful violation. We assert that the third-party entities that initiated the calls were not acting on our behalf in making any such calls. We believe that UTCFS has meritorious defenses to these claims. We are presently unable to estimate the damages for which UTCFS could be liable in the event plaintiffs prevail in one or more of these cases.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Sales Representative Investigation</w:t>
      </w:r>
    </w:p>
    <w:p>
      <w:pPr>
        <w:spacing w:after="0" w:line="225" w:lineRule="exact"/>
        <w:rPr>
          <w:sz w:val="20"/>
          <w:szCs w:val="20"/>
          <w:color w:val="auto"/>
        </w:rPr>
      </w:pPr>
    </w:p>
    <w:p>
      <w:pPr>
        <w:ind w:right="280" w:firstLine="405"/>
        <w:spacing w:after="0" w:line="293" w:lineRule="auto"/>
        <w:rPr>
          <w:sz w:val="20"/>
          <w:szCs w:val="20"/>
          <w:color w:val="auto"/>
        </w:rPr>
      </w:pPr>
      <w:r>
        <w:rPr>
          <w:rFonts w:ascii="Arial" w:cs="Arial" w:eastAsia="Arial" w:hAnsi="Arial"/>
          <w:sz w:val="16"/>
          <w:szCs w:val="16"/>
          <w:color w:val="auto"/>
        </w:rPr>
        <w:t>In December 2013 and January 2014, UTC made voluntary disclosures to the United States Department of Justice, the Securities and Exchange Commission Division of Enforcement and the United Kingdom’s Serious Fraud Office to report the status of its internal investigation regarding a non-employee sales representative retained by United Technologies International Operations, Inc. (UTIO) and International Aero Engines (IAE) for the sale of Pratt &amp; Whitney and IAE engines and aftermarket services, respectively, in China. On April 7, 2014, the SEC notified UTC that it is conducting a formal investigation and issued a subpoena to UTC seeking production of documents related to the disclosures. UTC is cooperating fully with the investigation. Because the investigation is at an early stage, we cannot predict its outcome or the consequences thereof at this time.</w:t>
      </w:r>
    </w:p>
    <w:p>
      <w:pPr>
        <w:spacing w:after="0" w:line="16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At the outset of the internal investigation, UTIO and IAE suspended all commission payments to the sales representative, and UTIO and IAE have not resumed making any payments. This led to two claims by the sales representative for unpaid commissions: a civil lawsuit filed against UTIO and UTC and an arbitration claim against IAE. We are contesting the lawsuit and the arbitration claim. We do not believe that the resolution of the lawsuit or the arbitration will have a material adverse effect on our competitive position, results of operations, cash flows or financial condition.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14, Contingent Liabilities, for discussion regarding other legal proceedings.</w:t>
      </w:r>
    </w:p>
    <w:p>
      <w:pPr>
        <w:spacing w:after="0" w:line="225"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a description of previously reported legal proceedings refer to Part I, Item 3, “Legal Proceedings,” of our 2013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2"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March 31, 2014 of equity securities that are registered by us pursuant to Section 12 of the Exchange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a Publicly Announced</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Program</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 (000's)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113.67</w:t>
            </w:r>
          </w:p>
        </w:tc>
        <w:tc>
          <w:tcPr>
            <w:tcW w:w="2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2,948</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48,313</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8"/>
              <w:spacing w:after="0"/>
              <w:rPr>
                <w:sz w:val="20"/>
                <w:szCs w:val="20"/>
                <w:color w:val="auto"/>
              </w:rPr>
            </w:pPr>
            <w:r>
              <w:rPr>
                <w:rFonts w:ascii="Arial" w:cs="Arial" w:eastAsia="Arial" w:hAnsi="Arial"/>
                <w:sz w:val="18"/>
                <w:szCs w:val="18"/>
                <w:color w:val="auto"/>
              </w:rPr>
              <w:t>48,313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116.76</w:t>
            </w:r>
          </w:p>
        </w:tc>
        <w:tc>
          <w:tcPr>
            <w:tcW w:w="2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48,313</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2,951</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113.67</w:t>
            </w:r>
          </w:p>
        </w:tc>
        <w:tc>
          <w:tcPr>
            <w:tcW w:w="200" w:type="dxa"/>
            <w:vAlign w:val="bottom"/>
          </w:tcPr>
          <w:p>
            <w:pPr>
              <w:spacing w:after="0"/>
              <w:rPr>
                <w:sz w:val="20"/>
                <w:szCs w:val="20"/>
                <w:color w:val="auto"/>
              </w:rPr>
            </w:pPr>
          </w:p>
        </w:tc>
        <w:tc>
          <w:tcPr>
            <w:tcW w:w="22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2,948</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repurchase shares under a program announced on February 4, 2013, which authorized the repurchase of up to 60 million shares of our common stock. Under this current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Approximately 3,000 shares were reacquired in transactions outside the program during the quarter ended March 31, 2014.</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3.</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Defaults Upon Senior Securities</w:t>
            </w:r>
          </w:p>
        </w:tc>
        <w:tc>
          <w:tcPr>
            <w:tcW w:w="0" w:type="dxa"/>
            <w:vAlign w:val="bottom"/>
          </w:tcPr>
          <w:p>
            <w:pPr>
              <w:spacing w:after="0"/>
              <w:rPr>
                <w:sz w:val="1"/>
                <w:szCs w:val="1"/>
                <w:color w:val="auto"/>
              </w:rPr>
            </w:pPr>
          </w:p>
        </w:tc>
      </w:tr>
      <w:tr>
        <w:trPr>
          <w:trHeight w:val="432"/>
        </w:trPr>
        <w:tc>
          <w:tcPr>
            <w:tcW w:w="1160" w:type="dxa"/>
            <w:vAlign w:val="bottom"/>
            <w:gridSpan w:val="2"/>
          </w:tcPr>
          <w:p>
            <w:pPr>
              <w:ind w:left="440"/>
              <w:spacing w:after="0"/>
              <w:rPr>
                <w:sz w:val="20"/>
                <w:szCs w:val="20"/>
                <w:color w:val="auto"/>
              </w:rPr>
            </w:pPr>
            <w:r>
              <w:rPr>
                <w:rFonts w:ascii="Arial" w:cs="Arial" w:eastAsia="Arial" w:hAnsi="Arial"/>
                <w:sz w:val="18"/>
                <w:szCs w:val="18"/>
                <w:color w:val="auto"/>
              </w:rPr>
              <w:t>None.</w:t>
            </w: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7"/>
        </w:trPr>
        <w:tc>
          <w:tcPr>
            <w:tcW w:w="1040" w:type="dxa"/>
            <w:vAlign w:val="bottom"/>
            <w:tcBorders>
              <w:top w:val="single" w:sz="8" w:color="auto"/>
            </w:tcBorders>
          </w:tcPr>
          <w:p>
            <w:pPr>
              <w:jc w:val="center"/>
              <w:ind w:right="415"/>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center"/>
              <w:ind w:right="415"/>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ectPr>
          <w:pgSz w:w="11900" w:h="16838" w:orient="portrait"/>
          <w:cols w:equalWidth="0" w:num="1">
            <w:col w:w="11400"/>
          </w:cols>
          <w:pgMar w:left="240" w:top="122"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22" w:right="25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ended March 31, 2014 and 2013, (ii) Condensed Consolidated Balance Sheets as of March 31, 2014 and December 31, 2013, (iii) Condensed Consolidated Statements of Cash Flows for the quarters ended March 31, 2014 and 2013, and (iv) 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240" w:top="122" w:right="51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Gregory J. Hayes</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jc w:val="center"/>
        <w:ind w:left="5340"/>
        <w:spacing w:after="0"/>
        <w:rPr>
          <w:sz w:val="20"/>
          <w:szCs w:val="20"/>
          <w:color w:val="auto"/>
        </w:rPr>
      </w:pPr>
      <w:r>
        <w:rPr>
          <w:rFonts w:ascii="Arial" w:cs="Arial" w:eastAsia="Arial" w:hAnsi="Arial"/>
          <w:sz w:val="16"/>
          <w:szCs w:val="16"/>
          <w:color w:val="auto"/>
        </w:rPr>
        <w:t>(on behalf of the Registrant and as the Registrant’s Principal Financial Officer and</w:t>
      </w:r>
    </w:p>
    <w:p>
      <w:pPr>
        <w:spacing w:after="0" w:line="46"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Principal Accounting Officer)</w:t>
      </w:r>
    </w:p>
    <w:p>
      <w:pPr>
        <w:spacing w:after="0" w:line="346" w:lineRule="exact"/>
        <w:rPr>
          <w:sz w:val="20"/>
          <w:szCs w:val="20"/>
          <w:color w:val="auto"/>
        </w:rPr>
      </w:pPr>
    </w:p>
    <w:p>
      <w:pPr>
        <w:ind w:left="40"/>
        <w:spacing w:after="0"/>
        <w:tabs>
          <w:tab w:leader="none" w:pos="820" w:val="left"/>
          <w:tab w:leader="none" w:pos="4940" w:val="left"/>
          <w:tab w:leader="none" w:pos="75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John E. Stantial</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Acting Controller and Assistant Controller, Financial Reporting</w:t>
      </w:r>
    </w:p>
    <w:p>
      <w:pPr>
        <w:spacing w:after="0" w:line="23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(on behalf of the Registrant)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22" w:right="31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ended March 31, 2014 and 2013, (ii) Condensed Consolidated Balance Sheets as of March 31, 2014 and December 31, 2013, (iii) Condensed Consolidated Statements of Cash Flows for the quarters ended March 31, 2014 and 2013, and (iv) Notes to Condensed Consolidated Financial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00" w:hanging="332"/>
        <w:spacing w:after="0" w:line="262"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Pursuant to the guidance in the Income Taxes Topic of the FASB ASC, interest related to unrecognized tax benefits recorded was approximately $10 million and $8 million for the quarters ended March 31, 2014 and 2013, respectively. The ratio of earnings to fixed charges would have been 7.79 and 7.10 for the quarters ended March 31, 2014 and 2013, respectively, if such interest were excluded from the calculation.</w:t>
      </w:r>
    </w:p>
    <w:p>
      <w:pPr>
        <w:ind w:left="340" w:hanging="332"/>
        <w:spacing w:after="0" w:line="212"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April 25,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color w:val="auto"/>
        </w:rPr>
        <w:t>We are aware that our report dated April 25, 2014 on our review of interim financial information of United Technologies Corporation (the "Corporation") for the three-month periods ending March 31, 2014 and 2013 and included in the Corporation's quarterly report on Form 10-Q for the quarter ended March 31, 2014 is incorporated by reference in its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3 (No. 333-188957) and in the Registration Statements on Form S-8 (Nos. 333-183123, 333-177520, 333-177517, 333-175781, 333-150643, 333-125293, 333-110020, 333-100724, 333-100723, 333-100718, 333-77817 and 033-51385).</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17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40"/>
        <w:spacing w:after="0"/>
        <w:tabs>
          <w:tab w:leader="none" w:pos="70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25, 2014</w:t>
      </w:r>
      <w:r>
        <w:rPr>
          <w:sz w:val="20"/>
          <w:szCs w:val="20"/>
          <w:color w:val="auto"/>
        </w:rPr>
        <w:tab/>
      </w:r>
      <w:r>
        <w:rPr>
          <w:rFonts w:ascii="Arial" w:cs="Arial" w:eastAsia="Arial" w:hAnsi="Arial"/>
          <w:sz w:val="16"/>
          <w:szCs w:val="16"/>
          <w:color w:val="auto"/>
        </w:rPr>
        <w:t>Chairman &amp;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April 25, 2014</w:t>
      </w:r>
      <w:r>
        <w:rPr>
          <w:sz w:val="20"/>
          <w:szCs w:val="20"/>
          <w:color w:val="auto"/>
        </w:rPr>
        <w:tab/>
      </w:r>
      <w:r>
        <w:rPr>
          <w:rFonts w:ascii="Arial" w:cs="Arial" w:eastAsia="Arial" w:hAnsi="Arial"/>
          <w:sz w:val="16"/>
          <w:szCs w:val="16"/>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E. Stantial,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E. S</w:t>
      </w:r>
      <w:r>
        <w:rPr>
          <w:rFonts w:ascii="Arial" w:cs="Arial" w:eastAsia="Arial" w:hAnsi="Arial"/>
          <w:sz w:val="14"/>
          <w:szCs w:val="14"/>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ind w:left="40"/>
        <w:spacing w:after="0"/>
        <w:tabs>
          <w:tab w:leader="none" w:pos="600" w:val="left"/>
          <w:tab w:leader="none" w:pos="5500" w:val="left"/>
        </w:tabs>
        <w:rPr>
          <w:sz w:val="20"/>
          <w:szCs w:val="20"/>
          <w:color w:val="auto"/>
        </w:rPr>
      </w:pPr>
      <w:r>
        <w:rPr>
          <w:rFonts w:ascii="Arial" w:cs="Arial" w:eastAsia="Arial" w:hAnsi="Arial"/>
          <w:sz w:val="18"/>
          <w:szCs w:val="18"/>
          <w:color w:val="auto"/>
        </w:rPr>
        <w:t>Date:</w:t>
        <w:tab/>
        <w:t>April 25, 2014</w:t>
      </w:r>
      <w:r>
        <w:rPr>
          <w:sz w:val="20"/>
          <w:szCs w:val="20"/>
          <w:color w:val="auto"/>
        </w:rPr>
        <w:tab/>
      </w:r>
      <w:r>
        <w:rPr>
          <w:rFonts w:ascii="Arial" w:cs="Arial" w:eastAsia="Arial" w:hAnsi="Arial"/>
          <w:sz w:val="16"/>
          <w:szCs w:val="16"/>
          <w:color w:val="auto"/>
        </w:rPr>
        <w:t>Acting Controller and Assistant Controller, Financial Reporting</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Quarterly Report on Form 10-Q for the quarter ended March 31, 2014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600" w:val="left"/>
          <w:tab w:leader="none" w:pos="5260" w:val="left"/>
        </w:tabs>
        <w:rPr>
          <w:sz w:val="20"/>
          <w:szCs w:val="20"/>
          <w:color w:val="auto"/>
        </w:rPr>
      </w:pPr>
      <w:r>
        <w:rPr>
          <w:rFonts w:ascii="Arial" w:cs="Arial" w:eastAsia="Arial" w:hAnsi="Arial"/>
          <w:sz w:val="18"/>
          <w:szCs w:val="18"/>
          <w:color w:val="auto"/>
        </w:rPr>
        <w:t>Date:</w:t>
        <w:tab/>
        <w:t>April 25, 2014</w:t>
      </w:r>
      <w:r>
        <w:rPr>
          <w:sz w:val="20"/>
          <w:szCs w:val="20"/>
          <w:color w:val="auto"/>
        </w:rPr>
        <w:tab/>
      </w:r>
      <w:r>
        <w:rPr>
          <w:rFonts w:ascii="Arial" w:cs="Arial" w:eastAsia="Arial" w:hAnsi="Arial"/>
          <w:sz w:val="17"/>
          <w:szCs w:val="17"/>
          <w:color w:val="auto"/>
        </w:rPr>
        <w:t>/s/ L</w:t>
      </w:r>
      <w:r>
        <w:rPr>
          <w:rFonts w:ascii="Arial" w:cs="Arial" w:eastAsia="Arial" w:hAnsi="Arial"/>
          <w:sz w:val="13"/>
          <w:szCs w:val="13"/>
          <w:color w:val="auto"/>
        </w:rPr>
        <w:t>OUIS</w:t>
      </w:r>
      <w:r>
        <w:rPr>
          <w:rFonts w:ascii="Arial" w:cs="Arial" w:eastAsia="Arial" w:hAnsi="Arial"/>
          <w:sz w:val="17"/>
          <w:szCs w:val="17"/>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&amp; Chief Executive Officer</w:t>
      </w:r>
    </w:p>
    <w:p>
      <w:pPr>
        <w:spacing w:after="0" w:line="387" w:lineRule="exact"/>
        <w:rPr>
          <w:sz w:val="20"/>
          <w:szCs w:val="20"/>
          <w:color w:val="auto"/>
        </w:rPr>
      </w:pPr>
    </w:p>
    <w:p>
      <w:pPr>
        <w:ind w:left="40"/>
        <w:spacing w:after="0"/>
        <w:tabs>
          <w:tab w:leader="none" w:pos="600" w:val="left"/>
          <w:tab w:leader="none" w:pos="5260" w:val="left"/>
        </w:tabs>
        <w:rPr>
          <w:sz w:val="20"/>
          <w:szCs w:val="20"/>
          <w:color w:val="auto"/>
        </w:rPr>
      </w:pPr>
      <w:r>
        <w:rPr>
          <w:rFonts w:ascii="Arial" w:cs="Arial" w:eastAsia="Arial" w:hAnsi="Arial"/>
          <w:sz w:val="18"/>
          <w:szCs w:val="18"/>
          <w:color w:val="auto"/>
        </w:rPr>
        <w:t>Date:</w:t>
        <w:tab/>
        <w:t>April 25, 2014</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and Chief Financial Officer</w:t>
      </w:r>
    </w:p>
    <w:p>
      <w:pPr>
        <w:spacing w:after="0" w:line="387" w:lineRule="exact"/>
        <w:rPr>
          <w:sz w:val="20"/>
          <w:szCs w:val="20"/>
          <w:color w:val="auto"/>
        </w:rPr>
      </w:pPr>
    </w:p>
    <w:p>
      <w:pPr>
        <w:ind w:left="40"/>
        <w:spacing w:after="0"/>
        <w:tabs>
          <w:tab w:leader="none" w:pos="600" w:val="left"/>
          <w:tab w:leader="none" w:pos="5260" w:val="left"/>
        </w:tabs>
        <w:rPr>
          <w:sz w:val="20"/>
          <w:szCs w:val="20"/>
          <w:color w:val="auto"/>
        </w:rPr>
      </w:pPr>
      <w:r>
        <w:rPr>
          <w:rFonts w:ascii="Arial" w:cs="Arial" w:eastAsia="Arial" w:hAnsi="Arial"/>
          <w:sz w:val="18"/>
          <w:szCs w:val="18"/>
          <w:color w:val="auto"/>
        </w:rPr>
        <w:t>Date:</w:t>
        <w:tab/>
        <w:t>April 25, 2014</w:t>
      </w:r>
      <w:r>
        <w:rPr>
          <w:sz w:val="20"/>
          <w:szCs w:val="20"/>
          <w:color w:val="auto"/>
        </w:rPr>
        <w:tab/>
      </w:r>
      <w:r>
        <w:rPr>
          <w:rFonts w:ascii="Arial" w:cs="Arial" w:eastAsia="Arial" w:hAnsi="Arial"/>
          <w:sz w:val="13"/>
          <w:szCs w:val="13"/>
          <w:color w:val="auto"/>
        </w:rPr>
        <w:t xml:space="preserve">/s/ </w:t>
      </w:r>
      <w:r>
        <w:rPr>
          <w:rFonts w:ascii="Arial" w:cs="Arial" w:eastAsia="Arial" w:hAnsi="Arial"/>
          <w:sz w:val="16"/>
          <w:szCs w:val="16"/>
          <w:color w:val="auto"/>
        </w:rPr>
        <w:t>J</w:t>
      </w:r>
      <w:r>
        <w:rPr>
          <w:rFonts w:ascii="Arial" w:cs="Arial" w:eastAsia="Arial" w:hAnsi="Arial"/>
          <w:sz w:val="13"/>
          <w:szCs w:val="13"/>
          <w:color w:val="auto"/>
        </w:rPr>
        <w:t xml:space="preserve">OHN </w:t>
      </w:r>
      <w:r>
        <w:rPr>
          <w:rFonts w:ascii="Arial" w:cs="Arial" w:eastAsia="Arial" w:hAnsi="Arial"/>
          <w:sz w:val="16"/>
          <w:szCs w:val="16"/>
          <w:color w:val="auto"/>
        </w:rPr>
        <w:t>E</w:t>
      </w:r>
      <w:r>
        <w:rPr>
          <w:rFonts w:ascii="Arial" w:cs="Arial" w:eastAsia="Arial" w:hAnsi="Arial"/>
          <w:sz w:val="13"/>
          <w:szCs w:val="13"/>
          <w:color w:val="auto"/>
        </w:rPr>
        <w:t xml:space="preserve">. </w:t>
      </w:r>
      <w:r>
        <w:rPr>
          <w:rFonts w:ascii="Arial" w:cs="Arial" w:eastAsia="Arial" w:hAnsi="Arial"/>
          <w:sz w:val="16"/>
          <w:szCs w:val="16"/>
          <w:color w:val="auto"/>
        </w:rPr>
        <w:t>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Acting Controller and Assistant Controller, Financial Reporting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3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3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2"/>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2019-12-05T15:43:31Z</dcterms:created>
  <dcterms:modified xsi:type="dcterms:W3CDTF">2019-12-05T15:43:31Z</dcterms:modified>
</cp:coreProperties>
</file>