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20" w:lineRule="exact"/>
        <w:rPr>
          <w:sz w:val="24"/>
          <w:szCs w:val="24"/>
          <w:color w:val="auto"/>
        </w:rPr>
      </w:pPr>
    </w:p>
    <w:p>
      <w:pPr>
        <w:ind w:left="680" w:right="20" w:hanging="641"/>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8"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001-00812</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RAYTHEON TECHNOLOGIES CORPORATION</w:t>
      </w:r>
    </w:p>
    <w:p>
      <w:pPr>
        <w:spacing w:after="0" w:line="50" w:lineRule="exact"/>
        <w:rPr>
          <w:sz w:val="24"/>
          <w:szCs w:val="24"/>
          <w:color w:val="auto"/>
        </w:rPr>
      </w:pPr>
    </w:p>
    <w:tbl>
      <w:tblPr>
        <w:tblLayout w:type="fixed"/>
        <w:tblInd w:w="1420" w:type="dxa"/>
        <w:tblCellMar>
          <w:top w:w="0" w:type="dxa"/>
          <w:left w:w="0" w:type="dxa"/>
          <w:bottom w:w="0" w:type="dxa"/>
          <w:right w:w="0" w:type="dxa"/>
        </w:tblCellMar>
      </w:tblPr>
      <w:tr>
        <w:trPr>
          <w:trHeight w:val="230"/>
        </w:trPr>
        <w:tc>
          <w:tcPr>
            <w:tcW w:w="5920" w:type="dxa"/>
            <w:vAlign w:val="bottom"/>
            <w:gridSpan w:val="3"/>
          </w:tcPr>
          <w:p>
            <w:pPr>
              <w:jc w:val="right"/>
              <w:ind w:right="30"/>
              <w:spacing w:after="0"/>
              <w:rPr>
                <w:sz w:val="20"/>
                <w:szCs w:val="20"/>
                <w:color w:val="auto"/>
              </w:rPr>
            </w:pPr>
            <w:r>
              <w:rPr>
                <w:rFonts w:ascii="Arial" w:cs="Arial" w:eastAsia="Arial" w:hAnsi="Arial"/>
                <w:sz w:val="18"/>
                <w:szCs w:val="18"/>
                <w:color w:val="auto"/>
              </w:rPr>
              <w:t>____________________________________</w:t>
            </w:r>
          </w:p>
        </w:tc>
        <w:tc>
          <w:tcPr>
            <w:tcW w:w="2300" w:type="dxa"/>
            <w:vAlign w:val="bottom"/>
          </w:tcPr>
          <w:p>
            <w:pPr>
              <w:spacing w:after="0"/>
              <w:rPr>
                <w:sz w:val="20"/>
                <w:szCs w:val="20"/>
                <w:color w:val="auto"/>
              </w:rPr>
            </w:pPr>
          </w:p>
        </w:tc>
      </w:tr>
      <w:tr>
        <w:trPr>
          <w:trHeight w:val="339"/>
        </w:trPr>
        <w:tc>
          <w:tcPr>
            <w:tcW w:w="3320" w:type="dxa"/>
            <w:vAlign w:val="bottom"/>
          </w:tcPr>
          <w:p>
            <w:pPr>
              <w:jc w:val="center"/>
              <w:ind w:right="515"/>
              <w:spacing w:after="0"/>
              <w:rPr>
                <w:sz w:val="20"/>
                <w:szCs w:val="20"/>
                <w:color w:val="auto"/>
              </w:rPr>
            </w:pPr>
            <w:r>
              <w:rPr>
                <w:rFonts w:ascii="Arial" w:cs="Arial" w:eastAsia="Arial" w:hAnsi="Arial"/>
                <w:sz w:val="18"/>
                <w:szCs w:val="18"/>
                <w:b w:val="1"/>
                <w:bCs w:val="1"/>
                <w:color w:val="auto"/>
                <w:w w:val="91"/>
              </w:rPr>
              <w:t>Delaware</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00" w:type="dxa"/>
            <w:vAlign w:val="bottom"/>
          </w:tcPr>
          <w:p>
            <w:pPr>
              <w:jc w:val="right"/>
              <w:ind w:right="576"/>
              <w:spacing w:after="0"/>
              <w:rPr>
                <w:sz w:val="20"/>
                <w:szCs w:val="20"/>
                <w:color w:val="auto"/>
              </w:rPr>
            </w:pPr>
            <w:r>
              <w:rPr>
                <w:rFonts w:ascii="Arial" w:cs="Arial" w:eastAsia="Arial" w:hAnsi="Arial"/>
                <w:sz w:val="18"/>
                <w:szCs w:val="18"/>
                <w:b w:val="1"/>
                <w:bCs w:val="1"/>
                <w:color w:val="auto"/>
              </w:rPr>
              <w:t>06-0570975</w:t>
            </w:r>
          </w:p>
        </w:tc>
      </w:tr>
      <w:tr>
        <w:trPr>
          <w:trHeight w:val="186"/>
        </w:trPr>
        <w:tc>
          <w:tcPr>
            <w:tcW w:w="3320" w:type="dxa"/>
            <w:vAlign w:val="bottom"/>
          </w:tcPr>
          <w:p>
            <w:pPr>
              <w:jc w:val="center"/>
              <w:ind w:right="515"/>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300" w:type="dxa"/>
            <w:vAlign w:val="bottom"/>
          </w:tcPr>
          <w:p>
            <w:pPr>
              <w:jc w:val="center"/>
              <w:ind w:left="16"/>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620"/>
        </w:trPr>
        <w:tc>
          <w:tcPr>
            <w:tcW w:w="3320" w:type="dxa"/>
            <w:vAlign w:val="bottom"/>
          </w:tcPr>
          <w:p>
            <w:pPr>
              <w:ind w:left="1700"/>
              <w:spacing w:after="0"/>
              <w:rPr>
                <w:sz w:val="20"/>
                <w:szCs w:val="20"/>
                <w:color w:val="auto"/>
              </w:rPr>
            </w:pPr>
            <w:r>
              <w:rPr>
                <w:rFonts w:ascii="Arial" w:cs="Arial" w:eastAsia="Arial" w:hAnsi="Arial"/>
                <w:sz w:val="18"/>
                <w:szCs w:val="18"/>
                <w:b w:val="1"/>
                <w:bCs w:val="1"/>
                <w:color w:val="auto"/>
              </w:rPr>
              <w:t>870 Winter Street,</w:t>
            </w:r>
          </w:p>
        </w:tc>
        <w:tc>
          <w:tcPr>
            <w:tcW w:w="1100" w:type="dxa"/>
            <w:vAlign w:val="bottom"/>
          </w:tcPr>
          <w:p>
            <w:pPr>
              <w:ind w:left="200"/>
              <w:spacing w:after="0"/>
              <w:rPr>
                <w:sz w:val="20"/>
                <w:szCs w:val="20"/>
                <w:color w:val="auto"/>
              </w:rPr>
            </w:pPr>
            <w:r>
              <w:rPr>
                <w:rFonts w:ascii="Arial" w:cs="Arial" w:eastAsia="Arial" w:hAnsi="Arial"/>
                <w:sz w:val="18"/>
                <w:szCs w:val="18"/>
                <w:b w:val="1"/>
                <w:bCs w:val="1"/>
                <w:color w:val="auto"/>
              </w:rPr>
              <w:t>Waltham,</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Massachusetts</w:t>
            </w:r>
          </w:p>
        </w:tc>
        <w:tc>
          <w:tcPr>
            <w:tcW w:w="2300" w:type="dxa"/>
            <w:vAlign w:val="bottom"/>
          </w:tcPr>
          <w:p>
            <w:pPr>
              <w:jc w:val="right"/>
              <w:ind w:right="1616"/>
              <w:spacing w:after="0"/>
              <w:rPr>
                <w:sz w:val="20"/>
                <w:szCs w:val="20"/>
                <w:color w:val="auto"/>
              </w:rPr>
            </w:pPr>
            <w:r>
              <w:rPr>
                <w:rFonts w:ascii="Arial" w:cs="Arial" w:eastAsia="Arial" w:hAnsi="Arial"/>
                <w:sz w:val="18"/>
                <w:szCs w:val="18"/>
                <w:b w:val="1"/>
                <w:bCs w:val="1"/>
                <w:color w:val="auto"/>
              </w:rPr>
              <w:t>02451</w:t>
            </w:r>
          </w:p>
        </w:tc>
      </w:tr>
    </w:tbl>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522-3000</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6"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86"/>
              </w:rPr>
              <w:t>Title of each class</w:t>
            </w:r>
          </w:p>
        </w:tc>
        <w:tc>
          <w:tcPr>
            <w:tcW w:w="32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41"/>
        </w:trPr>
        <w:tc>
          <w:tcPr>
            <w:tcW w:w="29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RTX</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186"/>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5"/>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32"/>
        </w:trPr>
        <w:tc>
          <w:tcPr>
            <w:tcW w:w="29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2.150% Notes due 2030</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8"/>
              </w:rPr>
              <w:t>RTX 30</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186"/>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8"/>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4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8" w:lineRule="exact"/>
        <w:rPr>
          <w:sz w:val="24"/>
          <w:szCs w:val="24"/>
          <w:color w:val="auto"/>
        </w:rPr>
      </w:pPr>
    </w:p>
    <w:p>
      <w:pPr>
        <w:ind w:right="60" w:firstLine="445"/>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w:t>
      </w:r>
    </w:p>
    <w:p>
      <w:pPr>
        <w:spacing w:after="0" w:line="1" w:lineRule="exact"/>
        <w:rPr>
          <w:sz w:val="24"/>
          <w:szCs w:val="24"/>
          <w:color w:val="auto"/>
        </w:rPr>
      </w:pPr>
    </w:p>
    <w:p>
      <w:pPr>
        <w:spacing w:after="0" w:line="207" w:lineRule="exact"/>
        <w:tabs>
          <w:tab w:leader="none" w:pos="580" w:val="left"/>
          <w:tab w:leader="none" w:pos="132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0"/>
          <w:szCs w:val="20"/>
          <w:color w:val="auto"/>
        </w:rPr>
      </w:pPr>
    </w:p>
    <w:tbl>
      <w:tblPr>
        <w:tblLayout w:type="fixed"/>
        <w:tblInd w:w="1800" w:type="dxa"/>
        <w:tblCellMar>
          <w:top w:w="0" w:type="dxa"/>
          <w:left w:w="0" w:type="dxa"/>
          <w:bottom w:w="0" w:type="dxa"/>
          <w:right w:w="0" w:type="dxa"/>
        </w:tblCellMar>
      </w:tblPr>
      <w:tr>
        <w:trPr>
          <w:trHeight w:val="277"/>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2021 there were 1,515,089,870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10"/>
          </w:tcPr>
          <w:p>
            <w:pPr>
              <w:ind w:left="920"/>
              <w:spacing w:after="0"/>
              <w:rPr>
                <w:sz w:val="20"/>
                <w:szCs w:val="20"/>
                <w:color w:val="auto"/>
              </w:rPr>
            </w:pPr>
            <w:r>
              <w:rPr>
                <w:rFonts w:ascii="Arial" w:cs="Arial" w:eastAsia="Arial" w:hAnsi="Arial"/>
                <w:sz w:val="18"/>
                <w:szCs w:val="18"/>
                <w:b w:val="1"/>
                <w:bCs w:val="1"/>
                <w:color w:val="auto"/>
              </w:rPr>
              <w:t>RAYTHEON TECHNOLOGIES CORPORATION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20" w:type="dxa"/>
            <w:vAlign w:val="bottom"/>
            <w:gridSpan w:val="8"/>
          </w:tcPr>
          <w:p>
            <w:pPr>
              <w:jc w:val="center"/>
              <w:ind w:right="3880"/>
              <w:spacing w:after="0"/>
              <w:rPr>
                <w:sz w:val="20"/>
                <w:szCs w:val="20"/>
                <w:color w:val="auto"/>
              </w:rPr>
            </w:pPr>
            <w:r>
              <w:rPr>
                <w:rFonts w:ascii="Arial" w:cs="Arial" w:eastAsia="Arial" w:hAnsi="Arial"/>
                <w:sz w:val="18"/>
                <w:szCs w:val="18"/>
                <w:b w:val="1"/>
                <w:bCs w:val="1"/>
                <w:color w:val="auto"/>
                <w:w w:val="98"/>
              </w:rPr>
              <w:t>AND SUBSIDIARIES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gridSpan w:val="10"/>
          </w:tcPr>
          <w:p>
            <w:pPr>
              <w:jc w:val="center"/>
              <w:ind w:right="2380"/>
              <w:spacing w:after="0"/>
              <w:rPr>
                <w:sz w:val="20"/>
                <w:szCs w:val="20"/>
                <w:color w:val="auto"/>
              </w:rPr>
            </w:pPr>
            <w:r>
              <w:rPr>
                <w:rFonts w:ascii="Arial" w:cs="Arial" w:eastAsia="Arial" w:hAnsi="Arial"/>
                <w:sz w:val="18"/>
                <w:szCs w:val="18"/>
                <w:b w:val="1"/>
                <w:bCs w:val="1"/>
                <w:color w:val="auto"/>
                <w:w w:val="99"/>
              </w:rPr>
              <w:t>CONTENTS OF QUARTERLY REPORT ON FORM 10-Q</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40" w:type="dxa"/>
            <w:vAlign w:val="bottom"/>
            <w:gridSpan w:val="9"/>
          </w:tcPr>
          <w:p>
            <w:pPr>
              <w:jc w:val="center"/>
              <w:ind w:right="3680"/>
              <w:spacing w:after="0"/>
              <w:rPr>
                <w:sz w:val="20"/>
                <w:szCs w:val="20"/>
                <w:color w:val="auto"/>
              </w:rPr>
            </w:pPr>
            <w:r>
              <w:rPr>
                <w:rFonts w:ascii="Arial" w:cs="Arial" w:eastAsia="Arial" w:hAnsi="Arial"/>
                <w:sz w:val="18"/>
                <w:szCs w:val="18"/>
                <w:b w:val="1"/>
                <w:bCs w:val="1"/>
                <w:color w:val="auto"/>
                <w:w w:val="92"/>
              </w:rPr>
              <w:t>Quarter Ended March 31, 2021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229"/>
        </w:trPr>
        <w:tc>
          <w:tcPr>
            <w:tcW w:w="2980" w:type="dxa"/>
            <w:vAlign w:val="bottom"/>
            <w:gridSpan w:val="9"/>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PART I – FINANCIAL INFORMATION</w:t>
              </w:r>
            </w:hyperlink>
          </w:p>
        </w:tc>
        <w:tc>
          <w:tcPr>
            <w:tcW w:w="7580" w:type="dxa"/>
            <w:vAlign w:val="bottom"/>
            <w:gridSpan w:val="11"/>
          </w:tcPr>
          <w:p>
            <w:pPr>
              <w:spacing w:after="0"/>
              <w:rPr>
                <w:sz w:val="19"/>
                <w:szCs w:val="19"/>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920" w:type="dxa"/>
            <w:vAlign w:val="bottom"/>
            <w:gridSpan w:val="9"/>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Item 1. Unaudited Financial Statements:</w:t>
              </w:r>
            </w:hyperlink>
          </w:p>
        </w:tc>
        <w:tc>
          <w:tcPr>
            <w:tcW w:w="7520" w:type="dxa"/>
            <w:vAlign w:val="bottom"/>
            <w:gridSpan w:val="10"/>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120" w:type="dxa"/>
            <w:vAlign w:val="bottom"/>
            <w:gridSpan w:val="15"/>
          </w:tcPr>
          <w:p>
            <w:pPr>
              <w:ind w:left="20"/>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 of Operations for the quarters ended March 31, 2021 and 2020</w:t>
              </w:r>
            </w:hyperlink>
          </w:p>
        </w:tc>
        <w:tc>
          <w:tcPr>
            <w:tcW w:w="3120" w:type="dxa"/>
            <w:vAlign w:val="bottom"/>
            <w:gridSpan w:val="3"/>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8"/>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 of Comprehensive Income (Loss) for the quarters ended March 31, 2021 and 2020</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40" w:type="dxa"/>
            <w:vAlign w:val="bottom"/>
            <w:gridSpan w:val="17"/>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 at March 31, 2021 and December 31, 2020</w:t>
              </w:r>
            </w:hyperlink>
          </w:p>
        </w:tc>
        <w:tc>
          <w:tcPr>
            <w:tcW w:w="1700" w:type="dxa"/>
            <w:vAlign w:val="bottom"/>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120" w:type="dxa"/>
            <w:vAlign w:val="bottom"/>
            <w:gridSpan w:val="15"/>
          </w:tcPr>
          <w:p>
            <w:pPr>
              <w:ind w:left="20"/>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 of Cash Flows for the quarters ended March 31, 2021 and 2020</w:t>
              </w:r>
            </w:hyperlink>
          </w:p>
        </w:tc>
        <w:tc>
          <w:tcPr>
            <w:tcW w:w="3120" w:type="dxa"/>
            <w:vAlign w:val="bottom"/>
            <w:gridSpan w:val="3"/>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60" w:type="dxa"/>
            <w:vAlign w:val="bottom"/>
            <w:gridSpan w:val="16"/>
          </w:tcPr>
          <w:p>
            <w:pPr>
              <w:ind w:left="20"/>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 of Changes in Equity for the quarters ended March 31, 2021 and 2020</w:t>
              </w:r>
            </w:hyperlink>
          </w:p>
        </w:tc>
        <w:tc>
          <w:tcPr>
            <w:tcW w:w="2580" w:type="dxa"/>
            <w:vAlign w:val="bottom"/>
            <w:gridSpan w:val="2"/>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60" w:type="dxa"/>
            <w:vAlign w:val="bottom"/>
            <w:gridSpan w:val="16"/>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2580" w:type="dxa"/>
            <w:vAlign w:val="bottom"/>
            <w:gridSpan w:val="2"/>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8"/>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Report of Independent Registered Public Accounting Firm</w:t>
              </w:r>
            </w:hyperlink>
          </w:p>
        </w:tc>
        <w:tc>
          <w:tcPr>
            <w:tcW w:w="64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44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2. Management’s Discussion and Analysis of Financial Condition and Results of Operations</w:t>
              </w:r>
            </w:hyperlink>
          </w:p>
        </w:tc>
        <w:tc>
          <w:tcPr>
            <w:tcW w:w="64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492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Item 3. Quantitative and Qualitative Disclosures About Market Risk</w:t>
              </w:r>
            </w:hyperlink>
          </w:p>
        </w:tc>
        <w:tc>
          <w:tcPr>
            <w:tcW w:w="2100" w:type="dxa"/>
            <w:vAlign w:val="bottom"/>
            <w:tcBorders>
              <w:top w:val="single" w:sz="8" w:color="0000FF"/>
            </w:tcBorders>
            <w:gridSpan w:val="2"/>
          </w:tcPr>
          <w:p>
            <w:pPr>
              <w:spacing w:after="0"/>
              <w:rPr>
                <w:sz w:val="22"/>
                <w:szCs w:val="22"/>
                <w:color w:val="auto"/>
              </w:rPr>
            </w:pPr>
          </w:p>
        </w:tc>
        <w:tc>
          <w:tcPr>
            <w:tcW w:w="3420" w:type="dxa"/>
            <w:vAlign w:val="bottom"/>
            <w:gridSpan w:val="4"/>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3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Item 4. Controls and Procedures</w:t>
              </w:r>
            </w:hyperlink>
          </w:p>
        </w:tc>
        <w:tc>
          <w:tcPr>
            <w:tcW w:w="8100" w:type="dxa"/>
            <w:vAlign w:val="bottom"/>
            <w:gridSpan w:val="13"/>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c>
          <w:tcPr>
            <w:tcW w:w="20" w:type="dxa"/>
            <w:vAlign w:val="bottom"/>
          </w:tcPr>
          <w:p>
            <w:pPr>
              <w:spacing w:after="0"/>
              <w:rPr>
                <w:sz w:val="22"/>
                <w:szCs w:val="22"/>
                <w:color w:val="auto"/>
              </w:rPr>
            </w:pPr>
          </w:p>
        </w:tc>
      </w:tr>
      <w:tr>
        <w:trPr>
          <w:trHeight w:val="263"/>
        </w:trPr>
        <w:tc>
          <w:tcPr>
            <w:tcW w:w="10560" w:type="dxa"/>
            <w:vAlign w:val="bottom"/>
            <w:gridSpan w:val="20"/>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PART II – OTHER INFORMATION</w:t>
              </w:r>
            </w:hyperlink>
          </w:p>
        </w:tc>
        <w:tc>
          <w:tcPr>
            <w:tcW w:w="64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22"/>
                <w:szCs w:val="22"/>
                <w:color w:val="auto"/>
              </w:rPr>
            </w:pPr>
          </w:p>
        </w:tc>
      </w:tr>
      <w:tr>
        <w:trPr>
          <w:trHeight w:val="263"/>
        </w:trPr>
        <w:tc>
          <w:tcPr>
            <w:tcW w:w="120" w:type="dxa"/>
            <w:vAlign w:val="bottom"/>
            <w:tcBorders>
              <w:top w:val="single" w:sz="8" w:color="0000FF"/>
            </w:tcBorders>
          </w:tcPr>
          <w:p>
            <w:pPr>
              <w:spacing w:after="0"/>
              <w:rPr>
                <w:sz w:val="22"/>
                <w:szCs w:val="22"/>
                <w:color w:val="auto"/>
              </w:rPr>
            </w:pPr>
          </w:p>
        </w:tc>
        <w:tc>
          <w:tcPr>
            <w:tcW w:w="19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Item 1. Legal Proceedings</w:t>
              </w:r>
            </w:hyperlink>
          </w:p>
        </w:tc>
        <w:tc>
          <w:tcPr>
            <w:tcW w:w="640" w:type="dxa"/>
            <w:vAlign w:val="bottom"/>
            <w:tcBorders>
              <w:top w:val="single" w:sz="8" w:color="0000FF"/>
            </w:tcBorders>
            <w:gridSpan w:val="2"/>
          </w:tcPr>
          <w:p>
            <w:pPr>
              <w:spacing w:after="0"/>
              <w:rPr>
                <w:sz w:val="22"/>
                <w:szCs w:val="22"/>
                <w:color w:val="auto"/>
              </w:rPr>
            </w:pPr>
          </w:p>
        </w:tc>
        <w:tc>
          <w:tcPr>
            <w:tcW w:w="7900" w:type="dxa"/>
            <w:vAlign w:val="bottom"/>
            <w:gridSpan w:val="12"/>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16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Item 1A. Risk Factors</w:t>
              </w:r>
            </w:hyperlink>
          </w:p>
        </w:tc>
        <w:tc>
          <w:tcPr>
            <w:tcW w:w="8840" w:type="dxa"/>
            <w:vAlign w:val="bottom"/>
            <w:gridSpan w:val="15"/>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10440" w:type="dxa"/>
            <w:vAlign w:val="bottom"/>
            <w:gridSpan w:val="1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2. Unregistered Sales of Equity Securities and Use of Proceeds</w:t>
              </w:r>
            </w:hyperlink>
          </w:p>
        </w:tc>
        <w:tc>
          <w:tcPr>
            <w:tcW w:w="64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4900" w:type="dxa"/>
            <w:vAlign w:val="bottom"/>
            <w:tcBorders>
              <w:top w:val="single" w:sz="8" w:color="0000FF"/>
            </w:tcBorders>
            <w:gridSpan w:val="1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6. Exhibits</w:t>
              </w:r>
            </w:hyperlink>
          </w:p>
        </w:tc>
        <w:tc>
          <w:tcPr>
            <w:tcW w:w="5540" w:type="dxa"/>
            <w:vAlign w:val="bottom"/>
            <w:gridSpan w:val="7"/>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57</w:t>
              </w:r>
            </w:hyperlink>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8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60" w:type="dxa"/>
            <w:vAlign w:val="bottom"/>
            <w:gridSpan w:val="20"/>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SIGNATURES</w:t>
              </w:r>
            </w:hyperlink>
          </w:p>
        </w:tc>
        <w:tc>
          <w:tcPr>
            <w:tcW w:w="64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c>
          <w:tcPr>
            <w:tcW w:w="20" w:type="dxa"/>
            <w:vAlign w:val="bottom"/>
          </w:tcPr>
          <w:p>
            <w:pPr>
              <w:spacing w:after="0"/>
              <w:rPr>
                <w:sz w:val="22"/>
                <w:szCs w:val="22"/>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Raytheon Technologies Corporation and its subsidiaries’ names, abbreviations thereof, logos, and product and service designators are all either the registered or unregistered trademarks or tradenames of Raytheon Technologies Corporation and its subsidiaries. Names, abbreviations of names, logos, and products and service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11"/>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7"/>
                <w:szCs w:val="17"/>
                <w:color w:val="auto"/>
              </w:rPr>
              <w:t>Product sales</w:t>
            </w:r>
          </w:p>
        </w:tc>
        <w:tc>
          <w:tcPr>
            <w:tcW w:w="320" w:type="dxa"/>
            <w:vAlign w:val="bottom"/>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11,664</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8,165</w:t>
            </w:r>
          </w:p>
        </w:tc>
      </w:tr>
      <w:tr>
        <w:trPr>
          <w:trHeight w:val="216"/>
        </w:trPr>
        <w:tc>
          <w:tcPr>
            <w:tcW w:w="8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Service sales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3,587</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3,195</w:t>
            </w:r>
          </w:p>
        </w:tc>
      </w:tr>
      <w:tr>
        <w:trPr>
          <w:trHeight w:val="209"/>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Sales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15,251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11,360</w:t>
            </w: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7"/>
                <w:szCs w:val="17"/>
                <w:color w:val="auto"/>
              </w:rPr>
              <w:t>Cost of sales - products</w:t>
            </w:r>
          </w:p>
        </w:tc>
        <w:tc>
          <w:tcPr>
            <w:tcW w:w="32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9,974</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6,629</w:t>
            </w: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of sales - services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2,563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w:t>
            </w:r>
          </w:p>
        </w:tc>
      </w:tr>
      <w:tr>
        <w:trPr>
          <w:trHeight w:val="216"/>
        </w:trPr>
        <w:tc>
          <w:tcPr>
            <w:tcW w:w="850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589</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535</w:t>
            </w:r>
          </w:p>
        </w:tc>
      </w:tr>
      <w:tr>
        <w:trPr>
          <w:trHeight w:val="216"/>
        </w:trPr>
        <w:tc>
          <w:tcPr>
            <w:tcW w:w="8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1,220</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w:t>
            </w:r>
          </w:p>
        </w:tc>
      </w:tr>
      <w:tr>
        <w:trPr>
          <w:trHeight w:val="209"/>
        </w:trPr>
        <w:tc>
          <w:tcPr>
            <w:tcW w:w="8500" w:type="dxa"/>
            <w:vAlign w:val="bottom"/>
          </w:tcPr>
          <w:p>
            <w:pPr>
              <w:ind w:left="20"/>
              <w:spacing w:after="0"/>
              <w:rPr>
                <w:sz w:val="20"/>
                <w:szCs w:val="20"/>
                <w:color w:val="auto"/>
              </w:rPr>
            </w:pPr>
            <w:r>
              <w:rPr>
                <w:rFonts w:ascii="Arial" w:cs="Arial" w:eastAsia="Arial" w:hAnsi="Arial"/>
                <w:sz w:val="17"/>
                <w:szCs w:val="17"/>
                <w:color w:val="auto"/>
              </w:rPr>
              <w:t>Total Costs and Expenses</w:t>
            </w:r>
          </w:p>
        </w:tc>
        <w:tc>
          <w:tcPr>
            <w:tcW w:w="32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14,346</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10,084</w:t>
            </w:r>
          </w:p>
        </w:tc>
      </w:tr>
      <w:tr>
        <w:trPr>
          <w:trHeight w:val="216"/>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108</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09"/>
        </w:trPr>
        <w:tc>
          <w:tcPr>
            <w:tcW w:w="8500" w:type="dxa"/>
            <w:vAlign w:val="bottom"/>
          </w:tcPr>
          <w:p>
            <w:pPr>
              <w:ind w:left="20"/>
              <w:spacing w:after="0"/>
              <w:rPr>
                <w:sz w:val="20"/>
                <w:szCs w:val="20"/>
                <w:color w:val="auto"/>
              </w:rPr>
            </w:pPr>
            <w:r>
              <w:rPr>
                <w:rFonts w:ascii="Arial" w:cs="Arial" w:eastAsia="Arial" w:hAnsi="Arial"/>
                <w:sz w:val="17"/>
                <w:szCs w:val="17"/>
                <w:color w:val="auto"/>
              </w:rPr>
              <w:t>Operating profit</w:t>
            </w:r>
          </w:p>
        </w:tc>
        <w:tc>
          <w:tcPr>
            <w:tcW w:w="32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1,013</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1,295</w:t>
            </w: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Non-operating expense (income),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7"/>
                <w:szCs w:val="17"/>
                <w:color w:val="auto"/>
              </w:rPr>
              <w:t>Non-service pension benefit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(491)</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16"/>
        </w:trPr>
        <w:tc>
          <w:tcPr>
            <w:tcW w:w="8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346</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09"/>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non-operating expense (income), net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 before 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1,158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w:t>
            </w:r>
          </w:p>
        </w:tc>
      </w:tr>
      <w:tr>
        <w:trPr>
          <w:trHeight w:val="216"/>
        </w:trPr>
        <w:tc>
          <w:tcPr>
            <w:tcW w:w="85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345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w:t>
            </w: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from continuing operations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813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w:t>
            </w:r>
          </w:p>
        </w:tc>
      </w:tr>
      <w:tr>
        <w:trPr>
          <w:trHeight w:val="216"/>
        </w:trPr>
        <w:tc>
          <w:tcPr>
            <w:tcW w:w="85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Less: Noncontrolling interest in subsidiaries’ earnings from continuing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 attributable to common shareowners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772</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w:t>
            </w:r>
          </w:p>
        </w:tc>
      </w:tr>
      <w:tr>
        <w:trPr>
          <w:trHeight w:val="210"/>
        </w:trPr>
        <w:tc>
          <w:tcPr>
            <w:tcW w:w="8500" w:type="dxa"/>
            <w:vAlign w:val="bottom"/>
          </w:tcPr>
          <w:p>
            <w:pPr>
              <w:ind w:left="20"/>
              <w:spacing w:after="0"/>
              <w:rPr>
                <w:sz w:val="20"/>
                <w:szCs w:val="20"/>
                <w:color w:val="auto"/>
              </w:rPr>
            </w:pPr>
            <w:r>
              <w:rPr>
                <w:rFonts w:ascii="Arial" w:cs="Arial" w:eastAsia="Arial" w:hAnsi="Arial"/>
                <w:sz w:val="17"/>
                <w:szCs w:val="17"/>
                <w:color w:val="auto"/>
              </w:rPr>
              <w:t>Discontinued operations (Note 3):</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 before tax</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16"/>
        </w:trPr>
        <w:tc>
          <w:tcPr>
            <w:tcW w:w="85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Income tax (benefit) expense from discontinued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w:t>
            </w: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from discontinued operations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r>
      <w:tr>
        <w:trPr>
          <w:trHeight w:val="216"/>
        </w:trPr>
        <w:tc>
          <w:tcPr>
            <w:tcW w:w="85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Less: Noncontrolling interest in subsidiaries’ earnings from discontinued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210"/>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attributable to common shareowners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r>
      <w:tr>
        <w:trPr>
          <w:trHeight w:val="262"/>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 attributable to common shareowners</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753</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r>
      <w:tr>
        <w:trPr>
          <w:trHeight w:val="216"/>
        </w:trPr>
        <w:tc>
          <w:tcPr>
            <w:tcW w:w="850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Earnings (loss) Per Share attributable to common shareowners - Basic:</w:t>
            </w: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from continuing operations</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0.51</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r>
      <w:tr>
        <w:trPr>
          <w:trHeight w:val="216"/>
        </w:trPr>
        <w:tc>
          <w:tcPr>
            <w:tcW w:w="85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Loss from discontinued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(0.61)</w:t>
            </w:r>
          </w:p>
        </w:tc>
      </w:tr>
      <w:tr>
        <w:trPr>
          <w:trHeight w:val="217"/>
        </w:trPr>
        <w:tc>
          <w:tcPr>
            <w:tcW w:w="8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income (loss) attributable to common shareowners</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0.50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(0.10)</w:t>
            </w:r>
          </w:p>
        </w:tc>
      </w:tr>
      <w:tr>
        <w:trPr>
          <w:trHeight w:val="216"/>
        </w:trPr>
        <w:tc>
          <w:tcPr>
            <w:tcW w:w="8500" w:type="dxa"/>
            <w:vAlign w:val="bottom"/>
          </w:tcPr>
          <w:p>
            <w:pPr>
              <w:ind w:left="20"/>
              <w:spacing w:after="0"/>
              <w:rPr>
                <w:sz w:val="20"/>
                <w:szCs w:val="20"/>
                <w:color w:val="auto"/>
              </w:rPr>
            </w:pPr>
            <w:r>
              <w:rPr>
                <w:rFonts w:ascii="Arial" w:cs="Arial" w:eastAsia="Arial" w:hAnsi="Arial"/>
                <w:sz w:val="17"/>
                <w:szCs w:val="17"/>
                <w:color w:val="auto"/>
              </w:rPr>
              <w:t>Earnings (loss) Per Share attributable to common shareowners - Diluted: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from continuing operations</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0.51</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r>
      <w:tr>
        <w:trPr>
          <w:trHeight w:val="216"/>
        </w:trPr>
        <w:tc>
          <w:tcPr>
            <w:tcW w:w="85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Loss from discontinued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(0.60)</w:t>
            </w:r>
          </w:p>
        </w:tc>
      </w:tr>
      <w:tr>
        <w:trPr>
          <w:trHeight w:val="216"/>
        </w:trPr>
        <w:tc>
          <w:tcPr>
            <w:tcW w:w="8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income (loss) attributable to common shareowners</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0.50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(0.10)</w:t>
            </w: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from continuing and discontinued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794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r>
      <w:tr>
        <w:trPr>
          <w:trHeight w:val="229"/>
        </w:trPr>
        <w:tc>
          <w:tcPr>
            <w:tcW w:w="8720" w:type="dxa"/>
            <w:vAlign w:val="bottom"/>
          </w:tcPr>
          <w:p>
            <w:pPr>
              <w:ind w:left="220"/>
              <w:spacing w:after="0"/>
              <w:rPr>
                <w:sz w:val="20"/>
                <w:szCs w:val="20"/>
                <w:color w:val="auto"/>
              </w:rPr>
            </w:pPr>
            <w:r>
              <w:rPr>
                <w:rFonts w:ascii="Arial" w:cs="Arial" w:eastAsia="Arial" w:hAnsi="Arial"/>
                <w:sz w:val="18"/>
                <w:szCs w:val="18"/>
                <w:color w:val="auto"/>
              </w:rPr>
              <w:t>Pension and postretirement benefit plans adjustments</w:t>
            </w: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54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8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unrealized cash flow hedging</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 related to items of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607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30"/>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common shareowners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566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2020</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7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8,579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8,802</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Accounts receivable, net</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10,037</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9,254</w:t>
            </w: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Contract assets</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10,238</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9,931</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Inventory, net</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9,498</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9,411</w:t>
            </w:r>
          </w:p>
        </w:tc>
      </w:tr>
      <w:tr>
        <w:trPr>
          <w:trHeight w:val="216"/>
        </w:trPr>
        <w:tc>
          <w:tcPr>
            <w:tcW w:w="6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assets, current</w:t>
            </w:r>
          </w:p>
        </w:tc>
        <w:tc>
          <w:tcPr>
            <w:tcW w:w="17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4,200</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5,978</w:t>
            </w:r>
          </w:p>
        </w:tc>
      </w:tr>
      <w:tr>
        <w:trPr>
          <w:trHeight w:val="209"/>
        </w:trPr>
        <w:tc>
          <w:tcPr>
            <w:tcW w:w="6340" w:type="dxa"/>
            <w:vAlign w:val="bottom"/>
          </w:tcPr>
          <w:p>
            <w:pPr>
              <w:ind w:left="680"/>
              <w:spacing w:after="0"/>
              <w:rPr>
                <w:sz w:val="20"/>
                <w:szCs w:val="20"/>
                <w:color w:val="auto"/>
              </w:rPr>
            </w:pPr>
            <w:r>
              <w:rPr>
                <w:rFonts w:ascii="Arial" w:cs="Arial" w:eastAsia="Arial" w:hAnsi="Arial"/>
                <w:sz w:val="17"/>
                <w:szCs w:val="17"/>
                <w:color w:val="auto"/>
              </w:rPr>
              <w:t>Total Current Assets</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42,552</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43,376</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financing assets</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3,079</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Fixed assets</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26,554</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26,346</w:t>
            </w:r>
          </w:p>
        </w:tc>
      </w:tr>
      <w:tr>
        <w:trPr>
          <w:trHeight w:val="216"/>
        </w:trPr>
        <w:tc>
          <w:tcPr>
            <w:tcW w:w="6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Accumulated depreciation</w:t>
            </w:r>
          </w:p>
        </w:tc>
        <w:tc>
          <w:tcPr>
            <w:tcW w:w="17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(11,812)</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(11,384)</w:t>
            </w:r>
          </w:p>
        </w:tc>
      </w:tr>
      <w:tr>
        <w:trPr>
          <w:trHeight w:val="209"/>
        </w:trPr>
        <w:tc>
          <w:tcPr>
            <w:tcW w:w="6340" w:type="dxa"/>
            <w:vAlign w:val="bottom"/>
          </w:tcPr>
          <w:p>
            <w:pPr>
              <w:ind w:left="680"/>
              <w:spacing w:after="0"/>
              <w:rPr>
                <w:sz w:val="20"/>
                <w:szCs w:val="20"/>
                <w:color w:val="auto"/>
              </w:rPr>
            </w:pPr>
            <w:r>
              <w:rPr>
                <w:rFonts w:ascii="Arial" w:cs="Arial" w:eastAsia="Arial" w:hAnsi="Arial"/>
                <w:sz w:val="17"/>
                <w:szCs w:val="17"/>
                <w:color w:val="auto"/>
              </w:rPr>
              <w:t>Fixed assets, net</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14,742</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14,962</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1,913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54,265</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54,285</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39,999</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40,539</w:t>
            </w:r>
          </w:p>
        </w:tc>
      </w:tr>
      <w:tr>
        <w:trPr>
          <w:trHeight w:val="216"/>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assets</w:t>
            </w:r>
          </w:p>
        </w:tc>
        <w:tc>
          <w:tcPr>
            <w:tcW w:w="1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4,058</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3,967</w:t>
            </w:r>
          </w:p>
        </w:tc>
      </w:tr>
      <w:tr>
        <w:trPr>
          <w:trHeight w:val="217"/>
        </w:trPr>
        <w:tc>
          <w:tcPr>
            <w:tcW w:w="6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1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160,608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162,153</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Liabilities, Redeemable Noncontrolling Interest and Equity</w:t>
            </w: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Short-term borrowings</w:t>
            </w:r>
          </w:p>
        </w:tc>
        <w:tc>
          <w:tcPr>
            <w:tcW w:w="17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234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9,182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8,639</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Accrued employee compensation</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2,511</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3,006</w:t>
            </w: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accrued liabilities</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10,184</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10,517</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Contract liabilities</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12,879</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12,889</w:t>
            </w:r>
          </w:p>
        </w:tc>
      </w:tr>
      <w:tr>
        <w:trPr>
          <w:trHeight w:val="216"/>
        </w:trPr>
        <w:tc>
          <w:tcPr>
            <w:tcW w:w="6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Long-term debt currently due</w:t>
            </w:r>
          </w:p>
        </w:tc>
        <w:tc>
          <w:tcPr>
            <w:tcW w:w="17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1,369</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w:t>
            </w:r>
          </w:p>
        </w:tc>
      </w:tr>
      <w:tr>
        <w:trPr>
          <w:trHeight w:val="210"/>
        </w:trPr>
        <w:tc>
          <w:tcPr>
            <w:tcW w:w="6340" w:type="dxa"/>
            <w:vAlign w:val="bottom"/>
          </w:tcPr>
          <w:p>
            <w:pPr>
              <w:ind w:left="680"/>
              <w:spacing w:after="0"/>
              <w:rPr>
                <w:sz w:val="20"/>
                <w:szCs w:val="20"/>
                <w:color w:val="auto"/>
              </w:rPr>
            </w:pPr>
            <w:r>
              <w:rPr>
                <w:rFonts w:ascii="Arial" w:cs="Arial" w:eastAsia="Arial" w:hAnsi="Arial"/>
                <w:sz w:val="17"/>
                <w:szCs w:val="17"/>
                <w:color w:val="auto"/>
              </w:rPr>
              <w:t>Total Current Liabilities</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36,359</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35,848</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29,935</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31,026</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1,552</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1,516</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Future pension and postretirement benefit obligations</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9,808</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10,342</w:t>
            </w:r>
          </w:p>
        </w:tc>
      </w:tr>
      <w:tr>
        <w:trPr>
          <w:trHeight w:val="216"/>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long-term liabilities</w:t>
            </w:r>
          </w:p>
        </w:tc>
        <w:tc>
          <w:tcPr>
            <w:tcW w:w="1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9,612</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9,537</w:t>
            </w:r>
          </w:p>
        </w:tc>
      </w:tr>
      <w:tr>
        <w:trPr>
          <w:trHeight w:val="209"/>
        </w:trPr>
        <w:tc>
          <w:tcPr>
            <w:tcW w:w="6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17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87,266</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88,269</w:t>
            </w:r>
          </w:p>
        </w:tc>
      </w:tr>
      <w:tr>
        <w:trPr>
          <w:trHeight w:val="210"/>
        </w:trPr>
        <w:tc>
          <w:tcPr>
            <w:tcW w:w="6340" w:type="dxa"/>
            <w:vAlign w:val="bottom"/>
          </w:tcPr>
          <w:p>
            <w:pPr>
              <w:ind w:left="20"/>
              <w:spacing w:after="0"/>
              <w:rPr>
                <w:sz w:val="20"/>
                <w:szCs w:val="20"/>
                <w:color w:val="auto"/>
              </w:rPr>
            </w:pPr>
            <w:r>
              <w:rPr>
                <w:rFonts w:ascii="Arial" w:cs="Arial" w:eastAsia="Arial" w:hAnsi="Arial"/>
                <w:sz w:val="17"/>
                <w:szCs w:val="17"/>
                <w:color w:val="auto"/>
              </w:rPr>
              <w:t>Commitments and contingencies (Note 17)</w:t>
            </w: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noncontrolling interest</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34</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Shareowners’ Equity:</w:t>
            </w: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Common Stock</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36,997</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36,930</w:t>
            </w:r>
          </w:p>
        </w:tc>
      </w:tr>
      <w:tr>
        <w:trPr>
          <w:trHeight w:val="216"/>
        </w:trPr>
        <w:tc>
          <w:tcPr>
            <w:tcW w:w="6340" w:type="dxa"/>
            <w:vAlign w:val="bottom"/>
          </w:tcPr>
          <w:p>
            <w:pPr>
              <w:ind w:left="680"/>
              <w:spacing w:after="0"/>
              <w:rPr>
                <w:sz w:val="20"/>
                <w:szCs w:val="20"/>
                <w:color w:val="auto"/>
              </w:rPr>
            </w:pPr>
            <w:r>
              <w:rPr>
                <w:rFonts w:ascii="Arial" w:cs="Arial" w:eastAsia="Arial" w:hAnsi="Arial"/>
                <w:sz w:val="17"/>
                <w:szCs w:val="17"/>
                <w:color w:val="auto"/>
              </w:rPr>
              <w:t>Treasury Stock</w:t>
            </w:r>
          </w:p>
        </w:tc>
        <w:tc>
          <w:tcPr>
            <w:tcW w:w="17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(10,780)</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(10,407)</w:t>
            </w:r>
          </w:p>
        </w:tc>
      </w:tr>
      <w:tr>
        <w:trPr>
          <w:trHeight w:val="216"/>
        </w:trPr>
        <w:tc>
          <w:tcPr>
            <w:tcW w:w="6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Retained earnings</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49,460</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49,423</w:t>
            </w:r>
          </w:p>
        </w:tc>
      </w:tr>
      <w:tr>
        <w:trPr>
          <w:trHeight w:val="216"/>
        </w:trPr>
        <w:tc>
          <w:tcPr>
            <w:tcW w:w="6340" w:type="dxa"/>
            <w:vAlign w:val="bottom"/>
          </w:tcPr>
          <w:p>
            <w:pPr>
              <w:ind w:left="680"/>
              <w:spacing w:after="0"/>
              <w:rPr>
                <w:sz w:val="20"/>
                <w:szCs w:val="20"/>
                <w:color w:val="auto"/>
              </w:rPr>
            </w:pPr>
            <w:r>
              <w:rPr>
                <w:rFonts w:ascii="Arial" w:cs="Arial" w:eastAsia="Arial" w:hAnsi="Arial"/>
                <w:sz w:val="17"/>
                <w:szCs w:val="17"/>
                <w:color w:val="auto"/>
              </w:rPr>
              <w:t>Unearned ESOP shares</w:t>
            </w:r>
          </w:p>
        </w:tc>
        <w:tc>
          <w:tcPr>
            <w:tcW w:w="17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(46)</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6"/>
        </w:trPr>
        <w:tc>
          <w:tcPr>
            <w:tcW w:w="6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17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(3,921)</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(3,734)</w:t>
            </w:r>
          </w:p>
        </w:tc>
      </w:tr>
      <w:tr>
        <w:trPr>
          <w:trHeight w:val="209"/>
        </w:trPr>
        <w:tc>
          <w:tcPr>
            <w:tcW w:w="6340" w:type="dxa"/>
            <w:vAlign w:val="bottom"/>
          </w:tcPr>
          <w:p>
            <w:pPr>
              <w:ind w:left="1120"/>
              <w:spacing w:after="0"/>
              <w:rPr>
                <w:sz w:val="20"/>
                <w:szCs w:val="20"/>
                <w:color w:val="auto"/>
              </w:rPr>
            </w:pPr>
            <w:r>
              <w:rPr>
                <w:rFonts w:ascii="Arial" w:cs="Arial" w:eastAsia="Arial" w:hAnsi="Arial"/>
                <w:sz w:val="17"/>
                <w:szCs w:val="17"/>
                <w:color w:val="auto"/>
              </w:rPr>
              <w:t>Total Shareowners’ Equity</w:t>
            </w:r>
          </w:p>
        </w:tc>
        <w:tc>
          <w:tcPr>
            <w:tcW w:w="17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71,710</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72,163</w:t>
            </w:r>
          </w:p>
        </w:tc>
      </w:tr>
      <w:tr>
        <w:trPr>
          <w:trHeight w:val="216"/>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17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1,598</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1,689</w:t>
            </w:r>
          </w:p>
        </w:tc>
      </w:tr>
      <w:tr>
        <w:trPr>
          <w:trHeight w:val="209"/>
        </w:trPr>
        <w:tc>
          <w:tcPr>
            <w:tcW w:w="634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Total Equity</w:t>
            </w:r>
          </w:p>
        </w:tc>
        <w:tc>
          <w:tcPr>
            <w:tcW w:w="1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73,308</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73,852</w:t>
            </w:r>
          </w:p>
        </w:tc>
      </w:tr>
      <w:tr>
        <w:trPr>
          <w:trHeight w:val="217"/>
        </w:trPr>
        <w:tc>
          <w:tcPr>
            <w:tcW w:w="6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Liabilities, Redeemable Noncontrolling Interest and Equity</w:t>
            </w:r>
          </w:p>
        </w:tc>
        <w:tc>
          <w:tcPr>
            <w:tcW w:w="1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160,608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162,153</w:t>
            </w: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11"/>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Net income from continuing operations</w:t>
            </w:r>
          </w:p>
        </w:tc>
        <w:tc>
          <w:tcPr>
            <w:tcW w:w="320" w:type="dxa"/>
            <w:vAlign w:val="bottom"/>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813</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492</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4"/>
              </w:rPr>
              <w:t>Adjustments to reconcile net income from continuing operations to net cash flows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1,123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Deferred income tax provision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153</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Stock compensation cost</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84</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Net periodic pension and other postretirement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(358)</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16"/>
        </w:trPr>
        <w:tc>
          <w:tcPr>
            <w:tcW w:w="8460" w:type="dxa"/>
            <w:vAlign w:val="bottom"/>
          </w:tcPr>
          <w:p>
            <w:pPr>
              <w:ind w:left="680"/>
              <w:spacing w:after="0"/>
              <w:rPr>
                <w:sz w:val="20"/>
                <w:szCs w:val="20"/>
                <w:color w:val="auto"/>
              </w:rPr>
            </w:pPr>
            <w:r>
              <w:rPr>
                <w:rFonts w:ascii="Arial" w:cs="Arial" w:eastAsia="Arial" w:hAnsi="Arial"/>
                <w:sz w:val="17"/>
                <w:szCs w:val="17"/>
                <w:color w:val="auto"/>
              </w:rPr>
              <w:t>Change in: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Accounts receivable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(799)</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Contract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(311)</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(349)</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Inventory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(113)</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Other current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(193)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(208)</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Accounts payable and accrued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538</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Contract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(56)</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Global pension contributions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84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Other operating activities,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r>
      <w:tr>
        <w:trPr>
          <w:trHeight w:val="209"/>
        </w:trPr>
        <w:tc>
          <w:tcPr>
            <w:tcW w:w="84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Net cash flows provided by operating activities from continuing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723</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1,132</w:t>
            </w:r>
          </w:p>
        </w:tc>
      </w:tr>
      <w:tr>
        <w:trPr>
          <w:trHeight w:val="209"/>
        </w:trPr>
        <w:tc>
          <w:tcPr>
            <w:tcW w:w="8460" w:type="dxa"/>
            <w:vAlign w:val="bottom"/>
          </w:tcPr>
          <w:p>
            <w:pPr>
              <w:ind w:left="20"/>
              <w:spacing w:after="0"/>
              <w:rPr>
                <w:sz w:val="20"/>
                <w:szCs w:val="20"/>
                <w:color w:val="auto"/>
              </w:rPr>
            </w:pPr>
            <w:r>
              <w:rPr>
                <w:rFonts w:ascii="Arial" w:cs="Arial" w:eastAsia="Arial" w:hAnsi="Arial"/>
                <w:sz w:val="17"/>
                <w:szCs w:val="17"/>
                <w:color w:val="auto"/>
              </w:rPr>
              <w:t>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Capital expenditures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(387)</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Investments in businesses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Dispositions of businesses, net of cash transferred (Note 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1,049</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Increase in customer financing assets,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(81)</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Increase in collaboration intangible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Receipts (payments) from settlements of derivative contracts, net</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49</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(524)</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Other investing activities,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84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Net cash flows provided by (used in) investing activities from continuing operations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582</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Distribution from discontinued operations</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17,207</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Repayment of long-term debt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(13,810)</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Decrease in short-term borrowings,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(663)</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Common Stock issued under employee stock plans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Dividends paid on Common Stock</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(705)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(614)</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 of Common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(375)</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Net transfers to discontinued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(1,016)</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Other financing activities,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(161)</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09"/>
        </w:trPr>
        <w:tc>
          <w:tcPr>
            <w:tcW w:w="84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Net cash flows (used in) provided by financing activities from continuing operations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(1,544)</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Discontinued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Net cash used in operating activities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(472)</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r>
      <w:tr>
        <w:trPr>
          <w:trHeight w:val="216"/>
        </w:trPr>
        <w:tc>
          <w:tcPr>
            <w:tcW w:w="84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w:t>
            </w:r>
          </w:p>
        </w:tc>
      </w:tr>
      <w:tr>
        <w:trPr>
          <w:trHeight w:val="210"/>
        </w:trPr>
        <w:tc>
          <w:tcPr>
            <w:tcW w:w="84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Net cash used in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r>
      <w:tr>
        <w:trPr>
          <w:trHeight w:val="210"/>
        </w:trPr>
        <w:tc>
          <w:tcPr>
            <w:tcW w:w="8460" w:type="dxa"/>
            <w:vAlign w:val="bottom"/>
          </w:tcPr>
          <w:p>
            <w:pPr>
              <w:ind w:left="20"/>
              <w:spacing w:after="0"/>
              <w:rPr>
                <w:sz w:val="20"/>
                <w:szCs w:val="20"/>
                <w:color w:val="auto"/>
              </w:rPr>
            </w:pPr>
            <w:r>
              <w:rPr>
                <w:rFonts w:ascii="Arial" w:cs="Arial" w:eastAsia="Arial" w:hAnsi="Arial"/>
                <w:sz w:val="17"/>
                <w:szCs w:val="17"/>
                <w:color w:val="auto"/>
              </w:rPr>
              <w:t>Effect of foreign exchange rate changes on cash and cash equivalents from continuing operations</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foreign exchange rate changes on cash and cash equivalents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0"/>
        </w:trPr>
        <w:tc>
          <w:tcPr>
            <w:tcW w:w="8460" w:type="dxa"/>
            <w:vAlign w:val="bottom"/>
          </w:tcPr>
          <w:p>
            <w:pPr>
              <w:ind w:left="68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(216)</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646</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8,832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4,961</w:t>
            </w:r>
          </w:p>
        </w:tc>
      </w:tr>
      <w:tr>
        <w:trPr>
          <w:trHeight w:val="216"/>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and restricted cash within assets related to discontinued operations, beginning of period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2,459</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8,616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8,066</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Less: Restricted cash, included in Other assets</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37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Less: Cash, cash equivalents and restricted cash for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1,993</w:t>
            </w:r>
          </w:p>
        </w:tc>
      </w:tr>
      <w:tr>
        <w:trPr>
          <w:trHeight w:val="216"/>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8,579</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6,025</w:t>
            </w: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11"/>
        </w:trPr>
        <w:tc>
          <w:tcPr>
            <w:tcW w:w="8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beginning balance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73,852</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44,231</w:t>
            </w:r>
          </w:p>
        </w:tc>
      </w:tr>
      <w:tr>
        <w:trPr>
          <w:trHeight w:val="209"/>
        </w:trPr>
        <w:tc>
          <w:tcPr>
            <w:tcW w:w="8740" w:type="dxa"/>
            <w:vAlign w:val="bottom"/>
          </w:tcPr>
          <w:p>
            <w:pPr>
              <w:ind w:left="140"/>
              <w:spacing w:after="0"/>
              <w:rPr>
                <w:sz w:val="20"/>
                <w:szCs w:val="20"/>
                <w:color w:val="auto"/>
              </w:rPr>
            </w:pPr>
            <w:r>
              <w:rPr>
                <w:rFonts w:ascii="Arial" w:cs="Arial" w:eastAsia="Arial" w:hAnsi="Arial"/>
                <w:sz w:val="17"/>
                <w:szCs w:val="17"/>
                <w:b w:val="1"/>
                <w:bCs w:val="1"/>
                <w:color w:val="auto"/>
              </w:rPr>
              <w:t>Common Stock</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36,930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23,019</w:t>
            </w:r>
          </w:p>
        </w:tc>
      </w:tr>
      <w:tr>
        <w:trPr>
          <w:trHeight w:val="216"/>
        </w:trPr>
        <w:tc>
          <w:tcPr>
            <w:tcW w:w="8740" w:type="dxa"/>
            <w:vAlign w:val="bottom"/>
          </w:tcPr>
          <w:p>
            <w:pPr>
              <w:ind w:left="220"/>
              <w:spacing w:after="0"/>
              <w:rPr>
                <w:sz w:val="20"/>
                <w:szCs w:val="20"/>
                <w:color w:val="auto"/>
              </w:rPr>
            </w:pPr>
            <w:r>
              <w:rPr>
                <w:rFonts w:ascii="Arial" w:cs="Arial" w:eastAsia="Arial" w:hAnsi="Arial"/>
                <w:sz w:val="17"/>
                <w:szCs w:val="17"/>
                <w:color w:val="auto"/>
              </w:rPr>
              <w:t>Common Stock plans activity</w:t>
            </w:r>
          </w:p>
        </w:tc>
        <w:tc>
          <w:tcPr>
            <w:tcW w:w="28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auto"/>
              </w:rPr>
              <w:t>67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16"/>
        </w:trPr>
        <w:tc>
          <w:tcPr>
            <w:tcW w:w="8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Purchase of subsidiary shares from noncontrolling interest, net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9"/>
        </w:trPr>
        <w:tc>
          <w:tcPr>
            <w:tcW w:w="8740" w:type="dxa"/>
            <w:vAlign w:val="bottom"/>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auto"/>
              </w:rPr>
              <w:t>36,997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23,099</w:t>
            </w: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Treasury Stock</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(10,407)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(32,626)</w:t>
            </w: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plans activity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8740" w:type="dxa"/>
            <w:vAlign w:val="bottom"/>
          </w:tcPr>
          <w:p>
            <w:pPr>
              <w:ind w:left="220"/>
              <w:spacing w:after="0"/>
              <w:rPr>
                <w:sz w:val="20"/>
                <w:szCs w:val="20"/>
                <w:color w:val="auto"/>
              </w:rPr>
            </w:pPr>
            <w:r>
              <w:rPr>
                <w:rFonts w:ascii="Arial" w:cs="Arial" w:eastAsia="Arial" w:hAnsi="Arial"/>
                <w:sz w:val="17"/>
                <w:szCs w:val="17"/>
                <w:color w:val="auto"/>
              </w:rPr>
              <w:t>Common Stock repurchased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(375)</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6"/>
        </w:trPr>
        <w:tc>
          <w:tcPr>
            <w:tcW w:w="8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(10,780)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(32,665)</w:t>
            </w:r>
          </w:p>
        </w:tc>
      </w:tr>
      <w:tr>
        <w:trPr>
          <w:trHeight w:val="210"/>
        </w:trPr>
        <w:tc>
          <w:tcPr>
            <w:tcW w:w="87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Retained Earnings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auto"/>
              </w:rPr>
              <w:t>49,423</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61,594</w:t>
            </w: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753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6"/>
        </w:trPr>
        <w:tc>
          <w:tcPr>
            <w:tcW w:w="874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(705)</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(614)</w:t>
            </w: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ESOP Common Stock</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8740" w:type="dxa"/>
            <w:vAlign w:val="bottom"/>
          </w:tcPr>
          <w:p>
            <w:pPr>
              <w:ind w:left="220"/>
              <w:spacing w:after="0"/>
              <w:rPr>
                <w:sz w:val="20"/>
                <w:szCs w:val="20"/>
                <w:color w:val="auto"/>
              </w:rPr>
            </w:pPr>
            <w:r>
              <w:rPr>
                <w:rFonts w:ascii="Arial" w:cs="Arial" w:eastAsia="Arial" w:hAnsi="Arial"/>
                <w:sz w:val="17"/>
                <w:szCs w:val="17"/>
                <w:color w:val="auto"/>
              </w:rPr>
              <w:t>Redeemable noncontrolling interest fair value adjustment</w:t>
            </w:r>
          </w:p>
        </w:tc>
        <w:tc>
          <w:tcPr>
            <w:tcW w:w="28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8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including the adoption impact of ASU 2016-13 (Note 21)</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10"/>
        </w:trPr>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49,460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60,826</w:t>
            </w:r>
          </w:p>
        </w:tc>
      </w:tr>
      <w:tr>
        <w:trPr>
          <w:trHeight w:val="209"/>
        </w:trPr>
        <w:tc>
          <w:tcPr>
            <w:tcW w:w="87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Unearned ESOP Shares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(49)</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16"/>
        </w:trPr>
        <w:tc>
          <w:tcPr>
            <w:tcW w:w="8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Common Stock plans activity</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r>
      <w:tr>
        <w:trPr>
          <w:trHeight w:val="210"/>
        </w:trPr>
        <w:tc>
          <w:tcPr>
            <w:tcW w:w="87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Accumulated Other Comprehensive Income (Loss)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(3,734)</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(10,149)</w:t>
            </w:r>
          </w:p>
        </w:tc>
      </w:tr>
      <w:tr>
        <w:trPr>
          <w:trHeight w:val="216"/>
        </w:trPr>
        <w:tc>
          <w:tcPr>
            <w:tcW w:w="8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(187)</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(1,639)</w:t>
            </w:r>
          </w:p>
        </w:tc>
      </w:tr>
      <w:tr>
        <w:trPr>
          <w:trHeight w:val="210"/>
        </w:trPr>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(3,921)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(11,788)</w:t>
            </w:r>
          </w:p>
        </w:tc>
      </w:tr>
      <w:tr>
        <w:trPr>
          <w:trHeight w:val="210"/>
        </w:trPr>
        <w:tc>
          <w:tcPr>
            <w:tcW w:w="87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Noncontrolling Interest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auto"/>
              </w:rPr>
              <w:t>1,689</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2,457</w:t>
            </w: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16"/>
        </w:trPr>
        <w:tc>
          <w:tcPr>
            <w:tcW w:w="8740" w:type="dxa"/>
            <w:vAlign w:val="bottom"/>
          </w:tcPr>
          <w:p>
            <w:pPr>
              <w:ind w:left="220"/>
              <w:spacing w:after="0"/>
              <w:rPr>
                <w:sz w:val="20"/>
                <w:szCs w:val="20"/>
                <w:color w:val="auto"/>
              </w:rPr>
            </w:pPr>
            <w:r>
              <w:rPr>
                <w:rFonts w:ascii="Arial" w:cs="Arial" w:eastAsia="Arial" w:hAnsi="Arial"/>
                <w:sz w:val="17"/>
                <w:szCs w:val="17"/>
                <w:color w:val="auto"/>
              </w:rPr>
              <w:t>Less: Redeemable noncontrolling interest 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8740" w:type="dxa"/>
            <w:vAlign w:val="bottom"/>
          </w:tcPr>
          <w:p>
            <w:pPr>
              <w:ind w:left="220"/>
              <w:spacing w:after="0"/>
              <w:rPr>
                <w:sz w:val="20"/>
                <w:szCs w:val="20"/>
                <w:color w:val="auto"/>
              </w:rPr>
            </w:pPr>
            <w:r>
              <w:rPr>
                <w:rFonts w:ascii="Arial" w:cs="Arial" w:eastAsia="Arial" w:hAnsi="Arial"/>
                <w:sz w:val="17"/>
                <w:szCs w:val="17"/>
                <w:color w:val="auto"/>
              </w:rPr>
              <w:t>Dividends attributable to noncontrolling interest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(130)</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6"/>
        </w:trPr>
        <w:tc>
          <w:tcPr>
            <w:tcW w:w="8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Capital contributions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0"/>
        </w:trPr>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1,598</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2,524</w:t>
            </w:r>
          </w:p>
        </w:tc>
      </w:tr>
      <w:tr>
        <w:trPr>
          <w:trHeight w:val="216"/>
        </w:trPr>
        <w:tc>
          <w:tcPr>
            <w:tcW w:w="8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at March 31</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73,308</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41,935</w:t>
            </w:r>
          </w:p>
        </w:tc>
      </w:tr>
      <w:tr>
        <w:trPr>
          <w:trHeight w:val="216"/>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Supplemental share information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Common Stock issued under employee plans,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1,043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w:t>
            </w:r>
          </w:p>
        </w:tc>
      </w:tr>
      <w:tr>
        <w:trPr>
          <w:trHeight w:val="216"/>
        </w:trPr>
        <w:tc>
          <w:tcPr>
            <w:tcW w:w="8740" w:type="dxa"/>
            <w:vAlign w:val="bottom"/>
          </w:tcPr>
          <w:p>
            <w:pPr>
              <w:ind w:left="20"/>
              <w:spacing w:after="0"/>
              <w:rPr>
                <w:sz w:val="20"/>
                <w:szCs w:val="20"/>
                <w:color w:val="auto"/>
              </w:rPr>
            </w:pPr>
            <w:r>
              <w:rPr>
                <w:rFonts w:ascii="Arial" w:cs="Arial" w:eastAsia="Arial" w:hAnsi="Arial"/>
                <w:sz w:val="17"/>
                <w:szCs w:val="17"/>
                <w:color w:val="auto"/>
              </w:rPr>
              <w:t>Shares of Common Stock repurchased</w:t>
            </w:r>
          </w:p>
        </w:tc>
        <w:tc>
          <w:tcPr>
            <w:tcW w:w="28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auto"/>
              </w:rPr>
              <w:t>5,197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330</w:t>
            </w:r>
          </w:p>
        </w:tc>
      </w:tr>
      <w:tr>
        <w:trPr>
          <w:trHeight w:val="223"/>
        </w:trPr>
        <w:tc>
          <w:tcPr>
            <w:tcW w:w="8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Dividends per share of Common Stock</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0.475</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0.735</w:t>
            </w:r>
          </w:p>
        </w:tc>
      </w:tr>
    </w:tbl>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Condensed Consolidated Financial Statements at March 31, 2021 and for the quarters ended March 31, 2021 and 2020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2020 Annual Report on Form 10-K. In addition, we reclassified certain amounts to conform to our current period presentation.</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Separation Transactions, Distributions and Raytheon Merger. </w:t>
      </w:r>
      <w:r>
        <w:rPr>
          <w:rFonts w:ascii="Arial" w:cs="Arial" w:eastAsia="Arial" w:hAnsi="Arial"/>
          <w:sz w:val="18"/>
          <w:szCs w:val="18"/>
          <w:color w:val="auto"/>
        </w:rPr>
        <w:t>On April 3, 2020, United Technologies Corporation (UTC) completed the separation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into three independent, publicly traded companies – UTC, Carrier Global Corporation (Carrier) and Otis Worldwide Corporation (Otis)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effective at 12:01 a.m., Eastern Time, on April 3, 2020. Immediately following the Separation Transactions and Distributions, on April 3, 2020, UTC and Raytheon Company completed their all-stock merger of equals transaction (the Raytheon Merger), pursuant to which Raytheon Company became a wholly-owned subsidiary of UTC and UTC was renamed Raytheon Technologies Corporation. As a result of these transactions, we now operate in four principal business segments: Collins Aerospace Systems (Collins Aerospace), Pratt &amp; Whitney, Raytheon Intelligence &amp; Space (RIS) and Raytheon Missiles &amp; Defense (RMD).</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UTC was determined to be the accounting acquirer in the Raytheon Merger, and, as a result, the financial statements of Raytheon Technologies include Raytheon Company’s financial position and results of operations for all periods subsequent to the completion of the Raytheon Merger on April 3, 2020. RIS and RMD follow a 4-4-5 fiscal calendar with a quarter end of April 4, 2021 while Collins Aerospace and Pratt &amp; Whitney continue to use a quarter calendar end of March 31, 2021. Throughout this Quarterly Report on Form 10-Q, when we refer to the quarter ended March 31 with respect to RIS or RMD, we are referring to their April 4, 2021 fiscal quarter end. The historical results of Carrier and Otis are presented as discontinued operations and, as such, have been excluded from both continuing operations and segment results for all periods presented. Throughout this Quarterly Report on Form 10-Q, unless otherwise indicated, amounts and activity are presented on a continuing operations basis.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or “Raytheon” mean Raytheon Company and its subsidiaries prior to the Raytheon Merger.</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In 2020, the coronavirus disease 2019 (COVID-19) negatively impacted both the U.S. and global economy and our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the industries in which we operate. The continued disruption to air travel and commercial activities and the significant restrictions and limitations on businesses, particularly within the aerospace and commercial airline industries, have negatively impacted global supply, demand and distribution capabilities. In particular, the unprecedented decrease in air travel resulting from the COVID-19 pandemic has adversely affected our airline and airframer customers, and their demand for the products and services of our Collins Aerospace and Pratt &amp; Whitney businesses. We continue to monitor these trends and are working closely with our customers to actively mitigate costs and adjust production schedules to accommodate these declines in demand. Our RIS and RMD businesses, although experiencing minor impacts, have not experienced significant business disruptions as a result of the COVID-19 pandemic.</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Given the significant reduction in business and leisure passenger air travel, the number of planes temporarily grounded, and continued travel restrictions that have resulted from the ongoing COVID-19 pandemic, and the resulting impacts on our customers and their business activities, we expect our future operating results, particularly those of our Collins Aerospace and Pratt &amp; Whitney businesses, to continue to be negatively impacted when compared to pre-COVID-19 results. Our expectations regarding the COVID-19 pandemic and its potential financial impact are based on available information and assumptions that we believe are reasonable at this time; however, the actual financial impact is highly uncertain and subject to a wide range of factors and future developments. While we believe that the long-term outlook for the aerospace industry remains positive due to the fundamental drivers of air travel demand, there is significant uncertainty with respect to the point at which commercial air traffic capacity will return to and/or exceed pre-COVID-19 levels. While we have begun to see some indications that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commercial air travel is recovering in certain areas of demand, other areas continue to lag. As a result, we continue to estimate that a full recovery may occur in 2023 or 2024. New information may emerge concerning the scope, severity and duration of the COVID-19 pandemic, as well as any worsening of the pandemic, the effect of mutating strains and whether additional outbreaks of the pandemic will continue to occur, actions to contain the pandemic’s spread or treat its impact, continued availability of vaccines, and their distribution, acceptance and efficacy, and governmental, business and individual personal actions taken in response to the pandemic (including restrictions and limitations on travel and transportation, and changes in leisure and business travel patterns and work environments) among others. Some of these actions and related impacts may be trends that continue in the future even after the pandemic no longer poses a significant public health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Dispositions, Goodwill and Intangible Assets</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Business Acquisitions. </w:t>
      </w:r>
      <w:r>
        <w:rPr>
          <w:rFonts w:ascii="Arial" w:cs="Arial" w:eastAsia="Arial" w:hAnsi="Arial"/>
          <w:sz w:val="16"/>
          <w:szCs w:val="16"/>
          <w:color w:val="auto"/>
        </w:rPr>
        <w:t>As described above, on April 3, 2020, pursuant to the Agreement and Plan of Merger dated June 9, 2019, as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Raytheon Merger Agreement) UTC and Raytheon Company completed their previously announced all-stock merger of equals, following the completion by UTC of the Separation Transactions and Distributions. Raytheon Company (previously New York Stock Exchange (NYSE): RTN) shares ceased trading prior to the market open on April 3, 2020, and each share of Raytheon common stock was converted in the merger into the right to receive 2.3348 shares of UTC common stock previously traded on the NYSE under the ticker symbol “UTX.” Upon closing of the Raytheon Merger, UTC’s name was changed to “Raytheon Technologies Corporation,” and its shares of common stock began trading as of April 3, 2020 on the NYSE under the ticker symbol “RTX.”</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 is calculated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Fair value of RTC common stock issued for Raytheon Company outstanding common stock and vested equity awards</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33,067</w:t>
            </w:r>
          </w:p>
        </w:tc>
      </w:tr>
      <w:tr>
        <w:trPr>
          <w:trHeight w:val="229"/>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attributable to pre-merger service for replacement equity awards</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merger consideration</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RTC common stock issued for Raytheon Company outstanding common stock and vested equity awards is calculated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and shares, in millions, except per share amounts and exchange ratio)</w:t>
            </w: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Raytheon Company common shares outstanding as of April 3, 2020</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30"/>
        </w:trPr>
        <w:tc>
          <w:tcPr>
            <w:tcW w:w="92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Number of Raytheon Company stock awards vested as a result of the Raytheon Merger </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outstanding shares of Raytheon Company common stock and equity awards entitled to merger consideration</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30"/>
        </w:trPr>
        <w:tc>
          <w:tcPr>
            <w:tcW w:w="92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Exchange ratio </w:t>
            </w:r>
            <w:r>
              <w:rPr>
                <w:rFonts w:ascii="Arial" w:cs="Arial" w:eastAsia="Arial" w:hAnsi="Arial"/>
                <w:sz w:val="23"/>
                <w:szCs w:val="23"/>
                <w:color w:val="auto"/>
                <w:vertAlign w:val="superscript"/>
              </w:rPr>
              <w:t>(2)</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RTC common stock issued for Raytheon Company outstanding common stock and vested equity awards</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r>
      <w:tr>
        <w:trPr>
          <w:trHeight w:val="230"/>
        </w:trPr>
        <w:tc>
          <w:tcPr>
            <w:tcW w:w="92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Price per share of RTC common stock </w:t>
            </w:r>
            <w:r>
              <w:rPr>
                <w:rFonts w:ascii="Arial" w:cs="Arial" w:eastAsia="Arial" w:hAnsi="Arial"/>
                <w:sz w:val="23"/>
                <w:szCs w:val="23"/>
                <w:color w:val="auto"/>
                <w:vertAlign w:val="superscript"/>
              </w:rPr>
              <w:t>(3)</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r>
      <w:tr>
        <w:trPr>
          <w:trHeight w:val="230"/>
        </w:trPr>
        <w:tc>
          <w:tcPr>
            <w:tcW w:w="9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Fair value of RTC common stock issued for Raytheon Company outstanding common stock and vested equity awards</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33,067</w:t>
            </w:r>
          </w:p>
        </w:tc>
      </w:tr>
    </w:tbl>
    <w:p>
      <w:pPr>
        <w:spacing w:after="0" w:line="89" w:lineRule="exact"/>
        <w:rPr>
          <w:sz w:val="20"/>
          <w:szCs w:val="20"/>
          <w:color w:val="auto"/>
        </w:rPr>
      </w:pPr>
    </w:p>
    <w:p>
      <w:pPr>
        <w:jc w:val="both"/>
        <w:ind w:left="340" w:hanging="332"/>
        <w:spacing w:after="0" w:line="245" w:lineRule="auto"/>
        <w:tabs>
          <w:tab w:leader="none" w:pos="383"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Raytheon Company stock awards that vested as a result of the Raytheon Merger, which is considered a “change in control” for purposes of the Raytheon 2010 Stock Plan. Certain Raytheon Company restricted stock awards and Raytheon Company restricted stock unit (RSU) awards, issued under the Raytheon 2010 Stock Plan vested on an accelerated basis as a result of the Raytheon Merger. Such vested awards were converted into the right to receive RTC common stock determined as the product of (1) the number of vested awards, and (2) the exchange ratio.</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exchange ratio is equal to 2.3348 shares of UTC common stock for each share of Raytheon Company common stock in accordance with the Raytheon Merger Agreement.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price per share of RTC common stock is based on the RTC opening stock price as of April 3, 2020.</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Allocation of Consideration Transferred to Net Assets Acquired. </w:t>
      </w:r>
      <w:r>
        <w:rPr>
          <w:rFonts w:ascii="Arial" w:cs="Arial" w:eastAsia="Arial" w:hAnsi="Arial"/>
          <w:sz w:val="18"/>
          <w:szCs w:val="18"/>
          <w:color w:val="auto"/>
        </w:rPr>
        <w:t>We accounted for the Raytheon Merger under the acquisition method and are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identifiable assets acquired and liabilities assumed of the acquiree (Raytheon Company) at the fair values on the closing date. During the first quarter of 2021, based on the finalization of our valuation and internal reviews, we completed the purchase price allocation which resulted in a net increase to goodwill of $61 million during the quarter.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final purchase price allocation, net of cash acquired, for the acquisition was as follows: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6,023</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current</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4,745</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19,130</w:t>
            </w:r>
          </w:p>
        </w:tc>
      </w:tr>
      <w:tr>
        <w:trPr>
          <w:trHeight w:val="229"/>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r>
      <w:tr>
        <w:trPr>
          <w:trHeight w:val="229"/>
        </w:trPr>
        <w:tc>
          <w:tcPr>
            <w:tcW w:w="6860" w:type="dxa"/>
            <w:vAlign w:val="bottom"/>
          </w:tcPr>
          <w:p>
            <w:pPr>
              <w:ind w:left="240"/>
              <w:spacing w:after="0"/>
              <w:rPr>
                <w:sz w:val="20"/>
                <w:szCs w:val="20"/>
                <w:color w:val="auto"/>
              </w:rPr>
            </w:pPr>
            <w:r>
              <w:rPr>
                <w:rFonts w:ascii="Arial" w:cs="Arial" w:eastAsia="Arial" w:hAnsi="Arial"/>
                <w:sz w:val="18"/>
                <w:szCs w:val="18"/>
                <w:color w:val="auto"/>
              </w:rPr>
              <w:t>Tradenames/trademarks</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5,430</w:t>
            </w:r>
          </w:p>
        </w:tc>
      </w:tr>
      <w:tr>
        <w:trPr>
          <w:trHeight w:val="230"/>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Developed technology</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3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assets acquired</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38,916</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1,477</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 compensation</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 portion</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Future pension and postretirement benefit obligation</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11,607</w:t>
            </w:r>
          </w:p>
        </w:tc>
      </w:tr>
      <w:tr>
        <w:trPr>
          <w:trHeight w:val="230"/>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23"/>
        </w:trPr>
        <w:tc>
          <w:tcPr>
            <w:tcW w:w="6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 liabilities acquired</w:t>
            </w:r>
          </w:p>
        </w:tc>
        <w:tc>
          <w:tcPr>
            <w:tcW w:w="3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27,305</w:t>
            </w:r>
          </w:p>
        </w:tc>
      </w:tr>
      <w:tr>
        <w:trPr>
          <w:trHeight w:val="223"/>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identifiable net assets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21,589</w:t>
            </w:r>
          </w:p>
        </w:tc>
      </w:tr>
      <w:tr>
        <w:trPr>
          <w:trHeight w:val="229"/>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3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 consideration transferred</w:t>
            </w:r>
          </w:p>
        </w:tc>
        <w:tc>
          <w:tcPr>
            <w:tcW w:w="3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33,166</w:t>
            </w: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adjustments to Raytheon Company’s identified assets and liabilities included an increase in fixed assets of $1.1 billion and an increase to future pension and postretirement benefit obligations of $3.6 billion, primarily related to remeasurement of the liability based on market conditions on the Raytheon Merger closing date. For further information, see “Note 10: Employee Benefit Plans.” In determining the fair value of identifiable assets acquired and liabilities assumed, a review was conducted for any significant contingent assets or liabilities existing as of the closing date. The assessment did not note any material contingencies related to existing legal or government action.</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fair values of the customer relationship intangible assets were determined by using a discounted cash flow valuation method, which is a form of the income approach. Under this approach, the estimated future cash flows attributable to the asset are adjusted to exclude the future cash flows that can be attributed to supporting assets, such as trade names or fixed assets. Both the amount and the duration of the cash flows are considered from a market participant perspective. Our estimates of market participant future cash flows, which require significant management judgement, included forecasted revenue growth rates, remaining developmental effort, operational performance including company specific synergies, program life cycles, material and labor pricing, and other relevant customer, contractual and market factors. Where appropriate, the net cash flows are probability-adjusted to reflect the uncertainties associated with the underlying assumptions, including cancellation rates related to backlog, government demand for sole-source and recompete contracts and win rates for recompete contracts, as well as the risk profile of the net cash flows utilized in the valuation. The probability-adjusted future cash flows are then discounted to present value, using an appropriate discount rate that requires significant judgment by management. The customer relationship intangible assets are being amortized based on the pattern of economic benefits we expect to realize over the estimated economic life of the underlying programs. The fair value of the tradename intangible assets were determined utilizing the relief from royalty method which is a form of the income approach. Under this method, a royalty rate based on observed market royalties is applied to projected revenue supporting the tradename and discounted to present value, using forecasted revenue growth rate projections and a discount rate, respectively, that requires significant judgment by management. The tradename intangible assets have been determined to have an indefinite life. The developed technology intangible assets are being amortized based on the pattern of economic benefits.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included above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Useful Life</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customer relationships</w:t>
            </w:r>
          </w:p>
        </w:tc>
        <w:tc>
          <w:tcPr>
            <w:tcW w:w="3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12,900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years</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Acquired tradenames</w:t>
            </w:r>
          </w:p>
        </w:tc>
        <w:tc>
          <w:tcPr>
            <w:tcW w:w="32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5,430</w:t>
            </w:r>
          </w:p>
        </w:tc>
        <w:tc>
          <w:tcPr>
            <w:tcW w:w="122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30"/>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3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800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to 7 years</w:t>
            </w:r>
          </w:p>
        </w:tc>
      </w:tr>
      <w:tr>
        <w:trPr>
          <w:trHeight w:val="23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identifiable intangible assets</w:t>
            </w:r>
          </w:p>
        </w:tc>
        <w:tc>
          <w:tcPr>
            <w:tcW w:w="3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19,130</w:t>
            </w:r>
          </w:p>
        </w:tc>
        <w:tc>
          <w:tcPr>
            <w:tcW w:w="1220" w:type="dxa"/>
            <w:vAlign w:val="bottom"/>
            <w:tcBorders>
              <w:bottom w:val="single" w:sz="8" w:color="auto"/>
            </w:tcBorders>
          </w:tcPr>
          <w:p>
            <w:pPr>
              <w:spacing w:after="0"/>
              <w:rPr>
                <w:sz w:val="20"/>
                <w:szCs w:val="20"/>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identified customer contractual obligations on loss making programs and recorded liabilities of $222 million related to these programs based on the difference between the actual expected operating loss and a normalized operating profit. These liabilities will be liquidated based on the expected pattern of expenses incurred on these contracts.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recorded $21.6 billion of goodwill as a result of the Raytheon Merger which primarily relates to expected synergies from combining operations and the value of the existing workforce. The goodwill generated as a result of the Raytheon Merger is nondeductible for tax purposes.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Merger-Related Costs. </w:t>
      </w:r>
      <w:r>
        <w:rPr>
          <w:rFonts w:ascii="Arial" w:cs="Arial" w:eastAsia="Arial" w:hAnsi="Arial"/>
          <w:sz w:val="18"/>
          <w:szCs w:val="18"/>
          <w:color w:val="auto"/>
        </w:rPr>
        <w:t>Merger-related costs have been expensed as incurred. In the quarters ended March 31, 2021 and 2020, we recorded $17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$29 million, respectively, of transaction and integration costs, which are included in Selling, general and administrative expenses within the Condensed Consolidated Statement of Operations.</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Supplemental Pro-Forma Data. </w:t>
      </w:r>
      <w:r>
        <w:rPr>
          <w:rFonts w:ascii="Arial" w:cs="Arial" w:eastAsia="Arial" w:hAnsi="Arial"/>
          <w:sz w:val="16"/>
          <w:szCs w:val="16"/>
          <w:color w:val="auto"/>
        </w:rPr>
        <w:t>Raytheon Company’s results of operations have been included in RTC’s financial statements for the period subsequent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completion of the Raytheon Merger on April 3, 2020. The following unaudited supplemental pro-forma data presents consolidated information as if the Raytheon Merger had been completed on January 1, 2019. The pro-forma results were calculated by combining the results of Raytheon Technologies with the stand-alone results of Raytheon Company for the pre-acquisition periods, which were adjusted to account for certain costs that would have been incurred during this pre-acquisition period. The results below reflect Raytheon Technologies on a continuing operations basis, in order to more accurately represent the structure of Raytheon Technologies after completion of the Separation Transactions, the Distributions and the Raytheon Merger.</w:t>
      </w:r>
    </w:p>
    <w:tbl>
      <w:tblPr>
        <w:tblLayout w:type="fixed"/>
        <w:tblInd w:w="0" w:type="dxa"/>
        <w:tblCellMar>
          <w:top w:w="0" w:type="dxa"/>
          <w:left w:w="0" w:type="dxa"/>
          <w:bottom w:w="0" w:type="dxa"/>
          <w:right w:w="0" w:type="dxa"/>
        </w:tblCellMar>
      </w:tblPr>
      <w:tr>
        <w:trPr>
          <w:trHeight w:val="148"/>
        </w:trPr>
        <w:tc>
          <w:tcPr>
            <w:tcW w:w="7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w w:val="98"/>
              </w:rPr>
              <w:t>Quarter Ended</w:t>
            </w:r>
          </w:p>
        </w:tc>
      </w:tr>
      <w:tr>
        <w:trPr>
          <w:trHeight w:val="180"/>
        </w:trPr>
        <w:tc>
          <w:tcPr>
            <w:tcW w:w="7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jc w:val="right"/>
              <w:ind w:right="338"/>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2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1,239</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of common stock from continuing operations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36"/>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share of common stock from continuing operations</w:t>
            </w:r>
          </w:p>
        </w:tc>
        <w:tc>
          <w:tcPr>
            <w:tcW w:w="2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r>
    </w:tbl>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unaudited supplemental pro-forma data above includes the following significant adjustments made to account for certain costs which would have been incurred if the acquisition had been completed on January 1, 2019, as adjusted for the applicable tax impact.</w:t>
      </w:r>
    </w:p>
    <w:tbl>
      <w:tblPr>
        <w:tblLayout w:type="fixed"/>
        <w:tblInd w:w="0" w:type="dxa"/>
        <w:tblCellMar>
          <w:top w:w="0" w:type="dxa"/>
          <w:left w:w="0" w:type="dxa"/>
          <w:bottom w:w="0" w:type="dxa"/>
          <w:right w:w="0" w:type="dxa"/>
        </w:tblCellMar>
      </w:tblPr>
      <w:tr>
        <w:trPr>
          <w:trHeight w:val="144"/>
        </w:trPr>
        <w:tc>
          <w:tcPr>
            <w:tcW w:w="74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40" w:type="dxa"/>
            <w:vAlign w:val="bottom"/>
          </w:tcPr>
          <w:p>
            <w:pPr>
              <w:jc w:val="right"/>
              <w:ind w:right="175"/>
              <w:spacing w:after="0" w:line="145" w:lineRule="exact"/>
              <w:rPr>
                <w:sz w:val="20"/>
                <w:szCs w:val="20"/>
                <w:color w:val="auto"/>
              </w:rPr>
            </w:pPr>
            <w:r>
              <w:rPr>
                <w:rFonts w:ascii="Arial" w:cs="Arial" w:eastAsia="Arial" w:hAnsi="Arial"/>
                <w:sz w:val="14"/>
                <w:szCs w:val="14"/>
                <w:b w:val="1"/>
                <w:bCs w:val="1"/>
                <w:color w:val="auto"/>
                <w:w w:val="98"/>
              </w:rPr>
              <w:t>Quarter Ended</w:t>
            </w:r>
          </w:p>
        </w:tc>
      </w:tr>
      <w:tr>
        <w:trPr>
          <w:trHeight w:val="180"/>
        </w:trPr>
        <w:tc>
          <w:tcPr>
            <w:tcW w:w="7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4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9"/>
        </w:trPr>
        <w:tc>
          <w:tcPr>
            <w:tcW w:w="746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Amortization of acquired Raytheon Company intangible assets, net </w:t>
            </w:r>
            <w:r>
              <w:rPr>
                <w:rFonts w:ascii="Arial" w:cs="Arial" w:eastAsia="Arial" w:hAnsi="Arial"/>
                <w:sz w:val="23"/>
                <w:szCs w:val="23"/>
                <w:color w:val="auto"/>
                <w:vertAlign w:val="superscript"/>
              </w:rPr>
              <w:t>(1)</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7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fixed asset fair value adjustment </w:t>
            </w:r>
            <w:r>
              <w:rPr>
                <w:rFonts w:ascii="Arial" w:cs="Arial" w:eastAsia="Arial" w:hAnsi="Arial"/>
                <w:sz w:val="23"/>
                <w:szCs w:val="23"/>
                <w:color w:val="auto"/>
                <w:vertAlign w:val="superscript"/>
              </w:rPr>
              <w:t>(2)</w:t>
            </w:r>
          </w:p>
        </w:tc>
        <w:tc>
          <w:tcPr>
            <w:tcW w:w="2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Utilization of contractual customer obligation </w:t>
            </w:r>
            <w:r>
              <w:rPr>
                <w:rFonts w:ascii="Arial" w:cs="Arial" w:eastAsia="Arial" w:hAnsi="Arial"/>
                <w:sz w:val="23"/>
                <w:szCs w:val="23"/>
                <w:color w:val="auto"/>
                <w:vertAlign w:val="superscript"/>
              </w:rPr>
              <w:t>(3)</w:t>
            </w:r>
          </w:p>
        </w:tc>
        <w:tc>
          <w:tcPr>
            <w:tcW w:w="2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Deferred revenue fair value adjustment </w:t>
            </w:r>
            <w:r>
              <w:rPr>
                <w:rFonts w:ascii="Arial" w:cs="Arial" w:eastAsia="Arial" w:hAnsi="Arial"/>
                <w:sz w:val="23"/>
                <w:szCs w:val="23"/>
                <w:color w:val="auto"/>
                <w:vertAlign w:val="superscript"/>
              </w:rPr>
              <w:t>(4)</w:t>
            </w:r>
          </w:p>
        </w:tc>
        <w:tc>
          <w:tcPr>
            <w:tcW w:w="2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 to non-service pension (income) expense </w:t>
            </w:r>
            <w:r>
              <w:rPr>
                <w:rFonts w:ascii="Arial" w:cs="Arial" w:eastAsia="Arial" w:hAnsi="Arial"/>
                <w:sz w:val="23"/>
                <w:szCs w:val="23"/>
                <w:color w:val="auto"/>
                <w:vertAlign w:val="superscript"/>
              </w:rPr>
              <w:t>(5)</w:t>
            </w:r>
          </w:p>
        </w:tc>
        <w:tc>
          <w:tcPr>
            <w:tcW w:w="2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7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RTC/Raytheon fees for advisory, legal, accounting services </w:t>
            </w:r>
            <w:r>
              <w:rPr>
                <w:rFonts w:ascii="Arial" w:cs="Arial" w:eastAsia="Arial" w:hAnsi="Arial"/>
                <w:sz w:val="23"/>
                <w:szCs w:val="23"/>
                <w:color w:val="auto"/>
                <w:vertAlign w:val="superscript"/>
              </w:rPr>
              <w:t>(6)</w:t>
            </w:r>
          </w:p>
        </w:tc>
        <w:tc>
          <w:tcPr>
            <w:tcW w:w="2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 to interest expense related to the Raytheon Merger, net </w:t>
            </w:r>
            <w:r>
              <w:rPr>
                <w:rFonts w:ascii="Arial" w:cs="Arial" w:eastAsia="Arial" w:hAnsi="Arial"/>
                <w:sz w:val="23"/>
                <w:szCs w:val="23"/>
                <w:color w:val="auto"/>
                <w:vertAlign w:val="superscript"/>
              </w:rPr>
              <w:t>(7)</w:t>
            </w:r>
          </w:p>
        </w:tc>
        <w:tc>
          <w:tcPr>
            <w:tcW w:w="2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4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Elimination of deferred commission amortization </w:t>
            </w:r>
            <w:r>
              <w:rPr>
                <w:rFonts w:ascii="Arial" w:cs="Arial" w:eastAsia="Arial" w:hAnsi="Arial"/>
                <w:sz w:val="23"/>
                <w:szCs w:val="23"/>
                <w:color w:val="auto"/>
                <w:vertAlign w:val="superscript"/>
              </w:rPr>
              <w:t>(8)</w:t>
            </w:r>
          </w:p>
        </w:tc>
        <w:tc>
          <w:tcPr>
            <w:tcW w:w="2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460" w:type="dxa"/>
            <w:vAlign w:val="bottom"/>
            <w:tcBorders>
              <w:bottom w:val="single" w:sz="8" w:color="auto"/>
            </w:tcBorders>
            <w:shd w:val="clear" w:color="auto" w:fill="CCEEFF"/>
          </w:tcPr>
          <w:p>
            <w:pPr>
              <w:spacing w:after="0"/>
              <w:rPr>
                <w:sz w:val="20"/>
                <w:szCs w:val="20"/>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89" w:lineRule="exact"/>
        <w:rPr>
          <w:sz w:val="20"/>
          <w:szCs w:val="20"/>
          <w:color w:val="auto"/>
        </w:rPr>
      </w:pPr>
    </w:p>
    <w:p>
      <w:pPr>
        <w:ind w:left="340" w:hanging="332"/>
        <w:spacing w:after="0" w:line="250" w:lineRule="auto"/>
        <w:tabs>
          <w:tab w:leader="none" w:pos="344"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additional amortization of the acquired Raytheon Company’s intangible assets recognized at fair value in purchase accounting and eliminates the historical Raytheon Company intangible asset amortization expense.</w:t>
      </w: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amortization of the fixed asset fair value adjustment as of the acquisition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additional amortization of liabilities recognized for certain acquired loss making contracts as of the acquisition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difference between prepayments related to extended arrangements and the fair value of the assumed performance obligations as they are satisfied.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elimination of unamortized prior service costs and actuarial losses, as a result of fair value purchase accounting.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hanging="332"/>
        <w:spacing w:after="0" w:line="250" w:lineRule="auto"/>
        <w:tabs>
          <w:tab w:leader="none" w:pos="352"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the elimination of transaction-related fees incurred by RTC and Raytheon Company in connection with the Raytheon Merger and assumes all of the fees were incurred during the first quarter of 2019.</w:t>
      </w: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the amortization of the fair market value adjustment related to Raytheon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the elimination of amortization recognized on deferred commissions that are eliminated in purchase accounting.</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supplemental pro-forma financial information does not reflect the potential realization of cost savings related to the integration of the two companies. Further, the pro-forma data should not be considered indicative of the results that would have occurred if the acquisition had been consummated on January 1, 2019, nor are they indicative of future results.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As discussed further in “Note 3: Discontinued Operations,” on April 2, 2020, Carrier and Otis entered into a Separation and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UTC (since renamed Raytheon Technologies Corporation), pursuant to which, among other things, UTC agreed to separate into three independent, publicly traded companies – UTC, Carrier and Otis and distribute all of the outstanding common stock of Carrier and Otis to UTC shareowners who held shares of UTC common stock as of the close of business on March 19, 2020. UTC distributed 866,158,910 and 433,079,455 shares of common stock of Carrier and Otis, respectively in the Distributions. As a result of the Distributions, Carrier and Otis are now independent publicly traded companies.</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2020, we entered into a definitive agreement to sell our Forcepoint business, which we completed on January 8, 2021, for proceeds of $1.0 billion, net of cash transferred. At December 31, 2020, the related assets of approximately $1.9 billion and liabilities of approximately $855 million were accounted for as held for sale at fair value less cost to sell; however, Forcepoint did not qualify for presentation as discontinued operations. These held for sale assets and liabilities are presented in Other assets, current and Other accrued liabilities, respectively, on our December 31, 2020 Condensed Consolidated Balance Sheet. Assets held for sale included $1.4 billion of goodwill and intangible assets. A further breakout of major classes of assets and liabilities has not been provided as the assets and liabilities held for sale are not material. We did not recognize a pre-tax gain or loss within the Condensed Consolidated Statement of Operations related to the sale of Forcepoint. The results of Forcepoint were included in Eliminations and other in our segment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quarter ended March 31, 2021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38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Balance as of</w:t>
            </w:r>
          </w:p>
        </w:tc>
        <w:tc>
          <w:tcPr>
            <w:tcW w:w="26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4"/>
                <w:szCs w:val="14"/>
                <w:b w:val="1"/>
                <w:bCs w:val="1"/>
                <w:color w:val="auto"/>
              </w:rPr>
              <w:t>Acquisitions and</w:t>
            </w:r>
          </w:p>
        </w:tc>
        <w:tc>
          <w:tcPr>
            <w:tcW w:w="240" w:type="dxa"/>
            <w:vAlign w:val="bottom"/>
          </w:tcPr>
          <w:p>
            <w:pPr>
              <w:spacing w:after="0"/>
              <w:rPr>
                <w:sz w:val="14"/>
                <w:szCs w:val="14"/>
                <w:color w:val="auto"/>
              </w:rPr>
            </w:pPr>
          </w:p>
        </w:tc>
        <w:tc>
          <w:tcPr>
            <w:tcW w:w="1420" w:type="dxa"/>
            <w:vAlign w:val="bottom"/>
          </w:tcPr>
          <w:p>
            <w:pPr>
              <w:jc w:val="right"/>
              <w:ind w:right="172"/>
              <w:spacing w:after="0"/>
              <w:rPr>
                <w:sz w:val="20"/>
                <w:szCs w:val="20"/>
                <w:color w:val="auto"/>
              </w:rPr>
            </w:pPr>
            <w:r>
              <w:rPr>
                <w:rFonts w:ascii="Arial" w:cs="Arial" w:eastAsia="Arial" w:hAnsi="Arial"/>
                <w:sz w:val="14"/>
                <w:szCs w:val="14"/>
                <w:b w:val="1"/>
                <w:bCs w:val="1"/>
                <w:color w:val="auto"/>
                <w:w w:val="97"/>
              </w:rPr>
              <w:t>Foreign Currency</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w w:val="93"/>
              </w:rPr>
              <w:t>Balance as of March 31,</w:t>
            </w:r>
          </w:p>
        </w:tc>
        <w:tc>
          <w:tcPr>
            <w:tcW w:w="0" w:type="dxa"/>
            <w:vAlign w:val="bottom"/>
          </w:tcPr>
          <w:p>
            <w:pPr>
              <w:spacing w:after="0"/>
              <w:rPr>
                <w:sz w:val="1"/>
                <w:szCs w:val="1"/>
                <w:color w:val="auto"/>
              </w:rPr>
            </w:pPr>
          </w:p>
        </w:tc>
      </w:tr>
      <w:tr>
        <w:trPr>
          <w:trHeight w:val="188"/>
        </w:trPr>
        <w:tc>
          <w:tcPr>
            <w:tcW w:w="36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January 1, 2021</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Divestitures</w:t>
            </w:r>
          </w:p>
        </w:tc>
        <w:tc>
          <w:tcPr>
            <w:tcW w:w="16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Translation and Other</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31,571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31,473</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13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1,563</w:t>
            </w:r>
          </w:p>
        </w:tc>
        <w:tc>
          <w:tcPr>
            <w:tcW w:w="260" w:type="dxa"/>
            <w:vAlign w:val="bottom"/>
          </w:tcPr>
          <w:p>
            <w:pPr>
              <w:spacing w:after="0"/>
              <w:rPr>
                <w:sz w:val="19"/>
                <w:szCs w:val="19"/>
                <w:color w:val="auto"/>
              </w:rPr>
            </w:pPr>
          </w:p>
        </w:tc>
        <w:tc>
          <w:tcPr>
            <w:tcW w:w="1360" w:type="dxa"/>
            <w:vAlign w:val="bottom"/>
          </w:tcPr>
          <w:p>
            <w:pPr>
              <w:ind w:left="10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1,563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Raytheon Intelligence &amp; Space</w:t>
            </w:r>
            <w:r>
              <w:rPr>
                <w:rFonts w:ascii="Arial" w:cs="Arial" w:eastAsia="Arial" w:hAnsi="Arial"/>
                <w:sz w:val="23"/>
                <w:szCs w:val="23"/>
                <w:color w:val="auto"/>
                <w:vertAlign w:val="superscript"/>
              </w:rPr>
              <w:t>(1)</w:t>
            </w:r>
          </w:p>
        </w:tc>
        <w:tc>
          <w:tcPr>
            <w:tcW w:w="1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9,522</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9,552</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Raytheon Missiles &amp; Defense</w:t>
            </w:r>
            <w:r>
              <w:rPr>
                <w:rFonts w:ascii="Arial" w:cs="Arial" w:eastAsia="Arial" w:hAnsi="Arial"/>
                <w:sz w:val="23"/>
                <w:szCs w:val="23"/>
                <w:color w:val="auto"/>
                <w:vertAlign w:val="superscript"/>
              </w:rPr>
              <w:t>(1)</w:t>
            </w:r>
          </w:p>
        </w:tc>
        <w:tc>
          <w:tcPr>
            <w:tcW w:w="1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11,608</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52</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11,660</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Segments</w:t>
            </w:r>
          </w:p>
        </w:tc>
        <w:tc>
          <w:tcPr>
            <w:tcW w:w="1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54,264</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82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54,248</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1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54,285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54,265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line="273"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connection with the previously announced January 1, 2021 reorganization of RIS and RMD, goodwill of $282 million was allocated from RMD to RIS on a relative fair value basis and is reflected in the revised balances at January 1, 2021.</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reviews goodwill for impairment annually or more frequently if events or changes in circumstances indicate the asset might be impaired.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2020, the company considered the deterioration in general economic and market conditions due to the COVID-19 pandemic to be a triggering event requiring us to reassess our goodwill and intangibles valuations as well as significant assumptions of future income from our underlying assets and potential changes in our liabilities, which resulted in no impairment to our goodwill at that time. We did not have a triggering event in the first quarter of 2021.</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continuously monitors for events and circumstances that could negatively impact the key assumptions in determining the fair value of goodwill, including long-term revenue growth projections, profitability, discount rates, including changes to U.S. treasury rates and equity risk premiums, recent market valuations from transactions by comparable companies, volatility in the Company’s market capitalization, and general industry, market and macro-economic conditions. It is possible that future changes in such circumstances, including significant future negative developments in the COVID-19 pandemic, or future changes in the variables associated with the judgments, assumptions and estimates used in assessing the fair value of our reporting units, including the expected long-term recovery of airline travel to pre-COVID-19 levels, would require the Company to record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ind w:left="96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6"/>
                <w:szCs w:val="16"/>
                <w:color w:val="auto"/>
              </w:rPr>
            </w:pPr>
          </w:p>
        </w:tc>
        <w:tc>
          <w:tcPr>
            <w:tcW w:w="3120" w:type="dxa"/>
            <w:vAlign w:val="bottom"/>
            <w:gridSpan w:val="3"/>
          </w:tcPr>
          <w:p>
            <w:pPr>
              <w:jc w:val="right"/>
              <w:ind w:right="101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Gross Amount</w:t>
            </w:r>
          </w:p>
        </w:tc>
        <w:tc>
          <w:tcPr>
            <w:tcW w:w="3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334"/>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Gross Amount</w:t>
            </w:r>
          </w:p>
        </w:tc>
        <w:tc>
          <w:tcPr>
            <w:tcW w:w="3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314"/>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Arial" w:cs="Arial" w:eastAsia="Arial" w:hAnsi="Arial"/>
                <w:sz w:val="18"/>
                <w:szCs w:val="18"/>
                <w:color w:val="auto"/>
              </w:rPr>
              <w:t>Patents and trademarks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Collaboration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5,047</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5,021</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Arial" w:cs="Arial" w:eastAsia="Arial" w:hAnsi="Arial"/>
                <w:sz w:val="18"/>
                <w:szCs w:val="18"/>
                <w:color w:val="auto"/>
              </w:rPr>
              <w:t>Exclusivity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2,581</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2,541</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 and other</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906</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30,237</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30,241</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38,841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38,757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Unamortized:</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Trademarks and 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8,709</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8,714</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47,550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47,471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Intangible assets are tested for impairment when events occur that indicate that the net book value may not be recovered from future cash flows. Given the deterioration in general economic and market conditions primarily due to the COVID-19 pandemic, we performed an assessment of our unamortized intangible assets in the first quarter of 2020 and recorded a charge of $40 million related to the impairment of a Collins Aerospace indefinite-lived tradename intangible assets. We will continue to evaluate the impact on our customers and our business in future periods which may result in a different conclusion.</w:t>
      </w:r>
    </w:p>
    <w:p>
      <w:pPr>
        <w:spacing w:after="0" w:line="8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Amortization of intangible assets for the quarters ended March 31, 2021 and 2020 were $596 million and $307 million, respectively. The following is the expected amortization of intangible assets for the years 2021 through 2026.</w:t>
      </w: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Remaining 2021</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2026</w:t>
            </w:r>
          </w:p>
        </w:tc>
      </w:tr>
      <w:tr>
        <w:trPr>
          <w:trHeight w:val="236"/>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6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1,953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2,078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2,139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2,034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discussed above, on April 2, 2020, Carrier and Otis entered into a Separation and Distribution Agreement with UTC (since renamed Raytheon Technologies Corporation), pursuant to which, among other things, UTC agreed to separate into three independent, publicly traded companies – UTC, Carrier and Otis and distribute all of the outstanding common stock of Carrier and Otis to UTC shareowners who held shares of UTC common stock as of the close of business on March 19, 2020. The Separation Transactions and Distributions were completed on April 3, 2020.</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Carrier and Otis are presented as discontinued operations and, as such, have been excluded from both continuing operations and segment results for all periods presented. Loss from discontinued operations attributable to common shareowners is as follows:</w:t>
      </w: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center"/>
              <w:ind w:left="596"/>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6"/>
              </w:rPr>
              <w:t>187</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Carrier</w:t>
            </w:r>
          </w:p>
        </w:tc>
        <w:tc>
          <w:tcPr>
            <w:tcW w:w="320" w:type="dxa"/>
            <w:vAlign w:val="bottom"/>
          </w:tcPr>
          <w:p>
            <w:pPr>
              <w:spacing w:after="0"/>
              <w:rPr>
                <w:sz w:val="19"/>
                <w:szCs w:val="19"/>
                <w:color w:val="auto"/>
              </w:rPr>
            </w:pPr>
          </w:p>
        </w:tc>
        <w:tc>
          <w:tcPr>
            <w:tcW w:w="1100" w:type="dxa"/>
            <w:vAlign w:val="bottom"/>
          </w:tcPr>
          <w:p>
            <w:pPr>
              <w:jc w:val="center"/>
              <w:ind w:left="59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spacing w:after="0"/>
              <w:rPr>
                <w:sz w:val="19"/>
                <w:szCs w:val="19"/>
                <w:color w:val="auto"/>
              </w:rPr>
            </w:pPr>
          </w:p>
        </w:tc>
        <w:tc>
          <w:tcPr>
            <w:tcW w:w="1040" w:type="dxa"/>
            <w:vAlign w:val="bottom"/>
          </w:tcPr>
          <w:p>
            <w:pPr>
              <w:jc w:val="center"/>
              <w:ind w:left="534"/>
              <w:spacing w:after="0"/>
              <w:rPr>
                <w:sz w:val="20"/>
                <w:szCs w:val="20"/>
                <w:color w:val="auto"/>
              </w:rPr>
            </w:pPr>
            <w:r>
              <w:rPr>
                <w:rFonts w:ascii="Arial" w:cs="Arial" w:eastAsia="Arial" w:hAnsi="Arial"/>
                <w:sz w:val="18"/>
                <w:szCs w:val="18"/>
                <w:color w:val="auto"/>
                <w:w w:val="86"/>
              </w:rPr>
              <w:t>196</w:t>
            </w:r>
          </w:p>
        </w:tc>
      </w:tr>
      <w:tr>
        <w:trPr>
          <w:trHeight w:val="230"/>
        </w:trPr>
        <w:tc>
          <w:tcPr>
            <w:tcW w:w="840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Separation related transactions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56"/>
              <w:spacing w:after="0"/>
              <w:rPr>
                <w:sz w:val="20"/>
                <w:szCs w:val="20"/>
                <w:color w:val="auto"/>
              </w:rPr>
            </w:pPr>
            <w:r>
              <w:rPr>
                <w:rFonts w:ascii="Arial" w:cs="Arial" w:eastAsia="Arial" w:hAnsi="Arial"/>
                <w:sz w:val="18"/>
                <w:szCs w:val="18"/>
                <w:b w:val="1"/>
                <w:bCs w:val="1"/>
                <w:color w:val="auto"/>
                <w:w w:val="93"/>
              </w:rPr>
              <w:t>(19)</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5"/>
              </w:rPr>
              <w:t>(904)</w:t>
            </w:r>
          </w:p>
        </w:tc>
      </w:tr>
      <w:tr>
        <w:trPr>
          <w:trHeight w:val="230"/>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attributable to common shareowners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center"/>
              <w:ind w:left="556"/>
              <w:spacing w:after="0"/>
              <w:rPr>
                <w:sz w:val="20"/>
                <w:szCs w:val="20"/>
                <w:color w:val="auto"/>
              </w:rPr>
            </w:pPr>
            <w:r>
              <w:rPr>
                <w:rFonts w:ascii="Arial" w:cs="Arial" w:eastAsia="Arial" w:hAnsi="Arial"/>
                <w:sz w:val="18"/>
                <w:szCs w:val="18"/>
                <w:b w:val="1"/>
                <w:bCs w:val="1"/>
                <w:color w:val="auto"/>
                <w:w w:val="93"/>
              </w:rPr>
              <w:t>(19)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ind w:left="514"/>
              <w:spacing w:after="0"/>
              <w:rPr>
                <w:sz w:val="20"/>
                <w:szCs w:val="20"/>
                <w:color w:val="auto"/>
              </w:rPr>
            </w:pPr>
            <w:r>
              <w:rPr>
                <w:rFonts w:ascii="Arial" w:cs="Arial" w:eastAsia="Arial" w:hAnsi="Arial"/>
                <w:sz w:val="18"/>
                <w:szCs w:val="18"/>
                <w:color w:val="auto"/>
                <w:w w:val="95"/>
              </w:rPr>
              <w:t>(521)</w:t>
            </w:r>
          </w:p>
        </w:tc>
      </w:tr>
    </w:tbl>
    <w:p>
      <w:pPr>
        <w:spacing w:after="0" w:line="35" w:lineRule="exact"/>
        <w:rPr>
          <w:sz w:val="20"/>
          <w:szCs w:val="20"/>
          <w:color w:val="auto"/>
        </w:rPr>
      </w:pPr>
    </w:p>
    <w:p>
      <w:pPr>
        <w:jc w:val="both"/>
        <w:ind w:left="340" w:hanging="332"/>
        <w:spacing w:after="0" w:line="252" w:lineRule="auto"/>
        <w:tabs>
          <w:tab w:leader="none" w:pos="389"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debt extinguishment costs in the quarter ended March 31, 2020 related to the Company’s paydown of debt to not exceed the maximum applicable net indebtedness under the Raytheon Merger Agreement, and unallocable transaction costs incurred by the Company primarily related to professional services costs pertaining to the Separation Transactions and the establishment of Carrier and Otis as stand-alone public companies, facility relocation costs, costs to separate information systems, costs of retention bonuses and tax charges and benefits related to separation activities.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summarized financial information related to discontinued operations has been reclassified from Income from continuing operations attributable to common shareowners and included in Loss from discontinued operations attributable to common shareowners:</w:t>
      </w: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24"/>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2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1,123</w:t>
            </w:r>
          </w:p>
        </w:tc>
      </w:tr>
      <w:tr>
        <w:trPr>
          <w:trHeight w:val="229"/>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 sales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29"/>
        </w:trPr>
        <w:tc>
          <w:tcPr>
            <w:tcW w:w="8420" w:type="dxa"/>
            <w:vAlign w:val="bottom"/>
          </w:tcPr>
          <w:p>
            <w:pPr>
              <w:ind w:left="240"/>
              <w:spacing w:after="0"/>
              <w:rPr>
                <w:sz w:val="20"/>
                <w:szCs w:val="20"/>
                <w:color w:val="auto"/>
              </w:rPr>
            </w:pPr>
            <w:r>
              <w:rPr>
                <w:rFonts w:ascii="Arial" w:cs="Arial" w:eastAsia="Arial" w:hAnsi="Arial"/>
                <w:sz w:val="18"/>
                <w:szCs w:val="18"/>
                <w:color w:val="auto"/>
              </w:rPr>
              <w:t>Cost of products sold</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30"/>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services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9"/>
        </w:trPr>
        <w:tc>
          <w:tcPr>
            <w:tcW w:w="84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84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8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Non-operating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420" w:type="dxa"/>
            <w:vAlign w:val="bottom"/>
          </w:tcPr>
          <w:p>
            <w:pPr>
              <w:ind w:left="240"/>
              <w:spacing w:after="0"/>
              <w:rPr>
                <w:sz w:val="20"/>
                <w:szCs w:val="20"/>
                <w:color w:val="auto"/>
              </w:rPr>
            </w:pPr>
            <w:r>
              <w:rPr>
                <w:rFonts w:ascii="Arial" w:cs="Arial" w:eastAsia="Arial" w:hAnsi="Arial"/>
                <w:sz w:val="18"/>
                <w:szCs w:val="18"/>
                <w:color w:val="auto"/>
              </w:rPr>
              <w:t>Income from discontinued operations, before tax</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8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tax expense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8420" w:type="dxa"/>
            <w:vAlign w:val="bottom"/>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8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Income from discontinued operations attributable to common shareowners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2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3,143</w:t>
            </w:r>
          </w:p>
        </w:tc>
      </w:tr>
      <w:tr>
        <w:trPr>
          <w:trHeight w:val="229"/>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 sales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8420" w:type="dxa"/>
            <w:vAlign w:val="bottom"/>
          </w:tcPr>
          <w:p>
            <w:pPr>
              <w:ind w:left="240"/>
              <w:spacing w:after="0"/>
              <w:rPr>
                <w:sz w:val="20"/>
                <w:szCs w:val="20"/>
                <w:color w:val="auto"/>
              </w:rPr>
            </w:pPr>
            <w:r>
              <w:rPr>
                <w:rFonts w:ascii="Arial" w:cs="Arial" w:eastAsia="Arial" w:hAnsi="Arial"/>
                <w:sz w:val="18"/>
                <w:szCs w:val="18"/>
                <w:color w:val="auto"/>
              </w:rPr>
              <w:t>Cost of products sold</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2,239</w:t>
            </w:r>
          </w:p>
        </w:tc>
      </w:tr>
      <w:tr>
        <w:trPr>
          <w:trHeight w:val="229"/>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services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30"/>
        </w:trPr>
        <w:tc>
          <w:tcPr>
            <w:tcW w:w="84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29"/>
        </w:trPr>
        <w:tc>
          <w:tcPr>
            <w:tcW w:w="84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Non-operating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420" w:type="dxa"/>
            <w:vAlign w:val="bottom"/>
          </w:tcPr>
          <w:p>
            <w:pPr>
              <w:ind w:left="240"/>
              <w:spacing w:after="0"/>
              <w:rPr>
                <w:sz w:val="20"/>
                <w:szCs w:val="20"/>
                <w:color w:val="auto"/>
              </w:rPr>
            </w:pPr>
            <w:r>
              <w:rPr>
                <w:rFonts w:ascii="Arial" w:cs="Arial" w:eastAsia="Arial" w:hAnsi="Arial"/>
                <w:sz w:val="18"/>
                <w:szCs w:val="18"/>
                <w:color w:val="auto"/>
              </w:rPr>
              <w:t>Income from discontinued operations, before tax</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8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tax expense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8420" w:type="dxa"/>
            <w:vAlign w:val="bottom"/>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8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Income from discontinued operations attributable to common shareowners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8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Separation related transactions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2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8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Non-operating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3"/>
        </w:trPr>
        <w:tc>
          <w:tcPr>
            <w:tcW w:w="8420" w:type="dxa"/>
            <w:vAlign w:val="bottom"/>
          </w:tcPr>
          <w:p>
            <w:pPr>
              <w:ind w:left="240"/>
              <w:spacing w:after="0"/>
              <w:rPr>
                <w:sz w:val="20"/>
                <w:szCs w:val="20"/>
                <w:color w:val="auto"/>
              </w:rPr>
            </w:pPr>
            <w:r>
              <w:rPr>
                <w:rFonts w:ascii="Arial" w:cs="Arial" w:eastAsia="Arial" w:hAnsi="Arial"/>
                <w:sz w:val="18"/>
                <w:szCs w:val="18"/>
                <w:color w:val="auto"/>
              </w:rPr>
              <w:t>Loss from discontinued operations, before tax</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30"/>
        </w:trPr>
        <w:tc>
          <w:tcPr>
            <w:tcW w:w="8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tax (benefit) expense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8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loss from discontinued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r>
      <w:tr>
        <w:trPr>
          <w:trHeight w:val="230"/>
        </w:trPr>
        <w:tc>
          <w:tcPr>
            <w:tcW w:w="84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loss from discontinued operations attributable to common shareowners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bl>
    <w:p>
      <w:pPr>
        <w:spacing w:after="0" w:line="89" w:lineRule="exact"/>
        <w:rPr>
          <w:sz w:val="20"/>
          <w:szCs w:val="20"/>
          <w:color w:val="auto"/>
        </w:rPr>
      </w:pPr>
    </w:p>
    <w:p>
      <w:pPr>
        <w:jc w:val="both"/>
        <w:ind w:left="340" w:hanging="332"/>
        <w:spacing w:after="0" w:line="252" w:lineRule="auto"/>
        <w:tabs>
          <w:tab w:leader="none" w:pos="389"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debt extinguishment costs in the quarter ended March 31, 2020 related to the Company’s paydown of debt to not exceed the maximum applicable net indebtedness under the Raytheon Merger Agreement, and unallocable transaction costs incurred by the Company primarily related to professional services costs pertaining to the Separation Transactions and the establishment of Carrier and Otis as stand-alone public companies, facility relocation costs, costs to separate information systems, costs of retention bonuses and tax charges and benefits related to separation activities.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related to cash flows from discontinued operations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675"/>
              <w:spacing w:after="0"/>
              <w:rPr>
                <w:sz w:val="20"/>
                <w:szCs w:val="20"/>
                <w:color w:val="auto"/>
              </w:rPr>
            </w:pPr>
            <w:r>
              <w:rPr>
                <w:rFonts w:ascii="Arial" w:cs="Arial" w:eastAsia="Arial" w:hAnsi="Arial"/>
                <w:sz w:val="18"/>
                <w:szCs w:val="18"/>
                <w:color w:val="auto"/>
                <w:w w:val="95"/>
              </w:rPr>
              <w:t>(472)</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200" w:type="dxa"/>
            <w:vAlign w:val="bottom"/>
          </w:tcPr>
          <w:p>
            <w:pPr>
              <w:jc w:val="center"/>
              <w:ind w:left="675"/>
              <w:spacing w:after="0"/>
              <w:rPr>
                <w:sz w:val="20"/>
                <w:szCs w:val="20"/>
                <w:color w:val="auto"/>
              </w:rPr>
            </w:pPr>
            <w:r>
              <w:rPr>
                <w:rFonts w:ascii="Arial" w:cs="Arial" w:eastAsia="Arial" w:hAnsi="Arial"/>
                <w:sz w:val="18"/>
                <w:szCs w:val="18"/>
                <w:color w:val="auto"/>
                <w:w w:val="95"/>
              </w:rPr>
              <w:t>(241)</w:t>
            </w:r>
          </w:p>
        </w:tc>
      </w:tr>
      <w:tr>
        <w:trPr>
          <w:trHeight w:val="236"/>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w:t>
            </w: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86"/>
              </w:rPr>
              <w:t>322</w:t>
            </w:r>
          </w:p>
        </w:tc>
      </w:tr>
    </w:tbl>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used in operating activities for the three months ended March 31, 2020 includes the net operating cash flows of Carrier and Otis prior to the Separation Transactions, as well as costs incurred by the Company primarily related to professional services costs pertaining to the Separation Transactions and the establishment of Carrier and Otis as stand-alone public companies, facility relocation costs, costs to separate information systems, costs of retention bonuses and tax charges related to separation activities. Net cash provided by financing activities for the three months ended March 31, 2020 primarily consists of net transfer activity, partially offset by debt extinguishment costs related to the early repayment of debt.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24"/>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772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8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753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1,511.1</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w:t>
            </w:r>
          </w:p>
        </w:tc>
      </w:tr>
      <w:tr>
        <w:trPr>
          <w:trHeight w:val="22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 awards and equity units (share equivalent)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3.0</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1,514.1</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Earnings (Loss) Per Share attributable to common shareowners - Basic:</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0.51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83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r>
      <w:tr>
        <w:trPr>
          <w:trHeight w:val="230"/>
        </w:trPr>
        <w:tc>
          <w:tcPr>
            <w:tcW w:w="83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0.50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Earnings (Loss) Per Share attributable to common shareowners - Diluted: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0.51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83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r>
      <w:tr>
        <w:trPr>
          <w:trHeight w:val="230"/>
        </w:trPr>
        <w:tc>
          <w:tcPr>
            <w:tcW w:w="83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0.50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may not be possible to recalculate earnings per share (EPS) attributable to common shareowners by adjusting EPS from continuing operations by EPS from discontinued operations as each amount is calculated independently.</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computation of diluted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exercise of stock awards when the awards’ assumed proceeds exceed the average market price of the common shares during the period. For the quarters ended March 31, 2021 and 2020, the number of stock awards excluded from the computation was 26.7 million and 9.3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Changes in Contract Estimates at Completion</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review our Estimates at Completion (EACs) on significant contracts on a periodic basis and for others, no less than annually or when a change in circumstances warrant a modification to a previous estimate.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Management’s judgment related to these considerations has become increasingly more significant given the current economic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environment primarily caused by the COVID-19 pandemic. Management must make assumptions and estimates regarding contract revenue and costs, including estimates of labor productivity and availability, the complexity and scope of the work to be performed, the availability and cost of materials,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Cost estimates may also include the estimated cost of satisfying our industrial cooperation agreements, sometimes in the form of either offset obligations or in-country industrial participation (ICIP) agreements, required under certain contracts primarily within our RIS and RMD segments. These obligations may or may not be distinct depending on their nature. If cash is paid to a customer to satisfy our offset obligations it is recorded as a reduction in the transaction price.</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loss provisions for our contracts accounted for on a percentage of completion basis.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EAC adjustments had the following impact on our operating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24"/>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Income from continuing operations attributable to common shareowners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87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Diluted earnings per share from continuing operations attributable to common shareholders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bl>
    <w:p>
      <w:pPr>
        <w:spacing w:after="0" w:line="8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reflect a U.S. statutory tax rate of 21%, which approximates our tax rate on our EAC adjustments.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quarters ended March 31, 2021 and 2020, revenue was increased by $52 million and $17 million, respectively, for performance obligations satisfied (or partially satisfied) in previous periods. This primarily relates to EAC adjustments that impacted revenue.</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Raytheon Merger, Raytheon Company’s contracts accounted for on a percentage of completion basis were reset to zero percent complete as of the date of completion of the Raytheon Merger, since only the unperformed portion of the contract at such date represents the obligation of the Company. For additional information related to the Raytheon Merger, see “Note 2: Acquisitions, Dispositions, Goodwill and Intangible Assets.”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10,557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expected credit losses</w:t>
            </w:r>
          </w:p>
        </w:tc>
        <w:tc>
          <w:tcPr>
            <w:tcW w:w="2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2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10,037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r>
    </w:tbl>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various factoring agreements with third-party financial institutions to sell certain of its receivables. Under these arrangements, the Company factored receivables of $1.6 billion and $2.7 billion during the quarters ended March 31, 2021 and 2020, respectively. The cash received from these arrangements is reflected as cash provided by operating activities in the Condensed Consolidated Statement of Cash Flows. In certain of these factoring arrangements, for ease of administration, the Company will collect customer payments related to the factored receivables, which it then remits to the financial institutions. At March 31, 2021 and December 31, 2020, the Company had $16 million and $10 million, respectively, that was collected on behalf of the financial institutions and recorded as restricted cash and accrued liabilities. The net cash flows relating to these collections are reported as financing activities in the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expected credit losses related to Accounts receivable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8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Current period provision for expected credit losses, net of recoveries </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 for expected credit losses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0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520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bl>
    <w:p>
      <w:pPr>
        <w:spacing w:after="0" w:line="89" w:lineRule="exact"/>
        <w:rPr>
          <w:sz w:val="20"/>
          <w:szCs w:val="20"/>
          <w:color w:val="auto"/>
        </w:rPr>
      </w:pPr>
    </w:p>
    <w:p>
      <w:pPr>
        <w:ind w:left="340" w:hanging="332"/>
        <w:spacing w:after="0" w:line="250" w:lineRule="auto"/>
        <w:tabs>
          <w:tab w:leader="none" w:pos="358"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current provision for expected credit losses for the quarter ended March 31, 2020 includes $38 million of reserves driven by customer bankruptcies and additional reserves for credit losses primarily due to the current economic environment primarily caused by the COVID-19 pandemic.</w:t>
      </w:r>
    </w:p>
    <w:p>
      <w:pPr>
        <w:ind w:left="340" w:hanging="332"/>
        <w:spacing w:after="0" w:line="255" w:lineRule="auto"/>
        <w:tabs>
          <w:tab w:leader="none" w:pos="34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net for the quarter ended March 31, 2020 includes a $34 million impact related to the January 1, 2020 adoption of ASU 2016-13, Financial Instruments - Credit Losses (Topic 326): Measurement of Credit Losses on Financial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Contract Assets and Liabilities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as of March 31, 2021 and December 31, 2020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10,238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r>
      <w:tr>
        <w:trPr>
          <w:trHeight w:val="22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3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(12,879)</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(12,889)</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3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increased $307 million during the quarter ended March 31, 2021 primarily due to the timing of billings on certain long-term maintenance contracts. Contract liabilities were relatively consistent during the quarter ended March 31, 2021 compared to the quarter ended March 31, 2020. We recognized revenue of $1,705 million during the quarter ended March 31, 2021, related to contract liabilities as of January 1, 2021 and $1,183 million during the quarter ended March 31, 2020, related to contract liabilities as of January 1, 2020.</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our contract liabilities include approximately $440 million of advance payments received from a certain Middle East customer on contracts for which we no longer believe we will be able to execute on or obtain required regulatory approvals. These advance payments may become refundable to the customer if the contracts are ultimately terminated.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Contract assets include an allowance for credit losses of $222 million and $177 million as of March 31, 2021 and December 31,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were not material for the quarters ended March 31,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Inventory,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420" w:type="dxa"/>
            <w:vAlign w:val="bottom"/>
          </w:tcPr>
          <w:p>
            <w:pPr>
              <w:spacing w:after="0"/>
              <w:rPr>
                <w:sz w:val="19"/>
                <w:szCs w:val="19"/>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b w:val="1"/>
                <w:bCs w:val="1"/>
                <w:color w:val="auto"/>
              </w:rPr>
              <w:t>3,240</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2,924</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3,263</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r>
      <w:tr>
        <w:trPr>
          <w:trHeight w:val="23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inventory, net</w:t>
            </w:r>
          </w:p>
        </w:tc>
        <w:tc>
          <w:tcPr>
            <w:tcW w:w="3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9,498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9,411</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Raw materials, work-in-process and finished goods are net of total valuation reserves of $1,842 million and $1,788 million as of March 31, 2021 and December 31,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 and Lines of Credit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borrowings</w:t>
            </w:r>
          </w:p>
        </w:tc>
        <w:tc>
          <w:tcPr>
            <w:tcW w:w="3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74</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3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234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our maximum commercial paper borrowing limit was $5.0 billion as the commercial paper is backed by our $5.0 billion revolving credit agreement. We use our commercial paper borrowings for general corporate purposes, including the funding of potential acquisitions, pension contributions, debt refinancing, dividend payments and repurchases of our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The commercial paper notes outstanding have original maturities of not more than 90 days from the date of issuance.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we had revolving credit agreements with various banks permitting aggregate borrowings of up to $7.0 billion consisting of a $5.0 billion revolving credit agreement that became available upon completion of the Raytheon Merger on April 3, 2020, and a $2.0 billion revolving credit agreement that we entered into in May 2020 and there were no borrowings outstanding under these agreements.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did not issue long-term debt during the quarter ended March 31, 2021.</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preparation for and in anticipation of the Separation Transactions and Distributions, the Company, Carrier and Otis issued and the Company repaid long-term debt in the quarter ended March 31, 2020, which are included in the tables below.</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the following issuances of long-term debt during the quarter ended March 31, 2020, which is inclusive of issuances made by Carrier and Otis prior to the Distributions, the proceeds of which were primarily used by the Company to extinguish Raytheon Technologies short-term and long-term debt, and therefore, these issuances were treated as a distribution from discontinued operations within financing activities from continuing operations on our Condensed Consolidated Statement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Issuance Date</w:t>
            </w:r>
          </w:p>
        </w:tc>
        <w:tc>
          <w:tcPr>
            <w:tcW w:w="542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Description of Notes</w:t>
            </w:r>
          </w:p>
        </w:tc>
        <w:tc>
          <w:tcPr>
            <w:tcW w:w="1420" w:type="dxa"/>
            <w:vAlign w:val="bottom"/>
          </w:tcPr>
          <w:p>
            <w:pPr>
              <w:spacing w:after="0"/>
              <w:rPr>
                <w:sz w:val="14"/>
                <w:szCs w:val="14"/>
                <w:color w:val="auto"/>
              </w:rPr>
            </w:pPr>
          </w:p>
        </w:tc>
        <w:tc>
          <w:tcPr>
            <w:tcW w:w="226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Aggregate Principal Balance (in</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auto"/>
            </w:tcBorders>
            <w:vMerge w:val="continue"/>
          </w:tcPr>
          <w:p>
            <w:pPr>
              <w:spacing w:after="0"/>
              <w:rPr>
                <w:sz w:val="16"/>
                <w:szCs w:val="16"/>
                <w:color w:val="auto"/>
              </w:rPr>
            </w:pPr>
          </w:p>
        </w:tc>
        <w:tc>
          <w:tcPr>
            <w:tcW w:w="54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27, 2020</w:t>
            </w:r>
          </w:p>
        </w:tc>
        <w:tc>
          <w:tcPr>
            <w:tcW w:w="542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 xml:space="preserve">Term Loan due 2023 (Otis)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Term Loan due 2023 (Carrier)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27, 2020</w:t>
            </w: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1.923% notes due 2023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LIBOR plus 0.450% floating rate notes due 2023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2.056% notes due 2025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2.242% notes due 2025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2.293% notes due 2027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2.493% notes due 2027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2.565% notes due 2030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2.722% notes due 2030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3.112% notes due 2040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3.377% notes due 2040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3.362% notes due 2050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7"/>
        </w:trPr>
        <w:tc>
          <w:tcPr>
            <w:tcW w:w="214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ind w:left="420"/>
              <w:spacing w:after="0" w:line="230" w:lineRule="exact"/>
              <w:rPr>
                <w:sz w:val="20"/>
                <w:szCs w:val="20"/>
                <w:color w:val="auto"/>
              </w:rPr>
            </w:pPr>
            <w:r>
              <w:rPr>
                <w:rFonts w:ascii="Arial" w:cs="Arial" w:eastAsia="Arial" w:hAnsi="Arial"/>
                <w:sz w:val="18"/>
                <w:szCs w:val="18"/>
                <w:color w:val="auto"/>
              </w:rPr>
              <w:t xml:space="preserve">3.577% notes due 2050 </w:t>
            </w:r>
            <w:r>
              <w:rPr>
                <w:rFonts w:ascii="Arial" w:cs="Arial" w:eastAsia="Arial" w:hAnsi="Arial"/>
                <w:sz w:val="23"/>
                <w:szCs w:val="23"/>
                <w:color w:val="auto"/>
                <w:vertAlign w:val="superscript"/>
              </w:rPr>
              <w:t>(1)</w:t>
            </w:r>
          </w:p>
        </w:tc>
        <w:tc>
          <w:tcPr>
            <w:tcW w:w="1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73" w:lineRule="auto"/>
        <w:tabs>
          <w:tab w:leader="none" w:pos="325"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debt issuances and term loan draws reflect debt incurred by Carrier and Otis. The net proceeds of these issuances were primarily utilized to extinguish Raytheon Technologies short-term and long-term debt in order to not exceed the maximum applicable net indebtedness required by the Raytheon Merger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repayments of long-term debt during the quarters ended March 31, 2021 and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Repayment Date</w:t>
            </w:r>
          </w:p>
        </w:tc>
        <w:tc>
          <w:tcPr>
            <w:tcW w:w="5620" w:type="dxa"/>
            <w:vAlign w:val="bottom"/>
            <w:vMerge w:val="restart"/>
          </w:tcPr>
          <w:p>
            <w:pPr>
              <w:ind w:left="2880"/>
              <w:spacing w:after="0"/>
              <w:rPr>
                <w:sz w:val="20"/>
                <w:szCs w:val="20"/>
                <w:color w:val="auto"/>
              </w:rPr>
            </w:pPr>
            <w:r>
              <w:rPr>
                <w:rFonts w:ascii="Arial" w:cs="Arial" w:eastAsia="Arial" w:hAnsi="Arial"/>
                <w:sz w:val="14"/>
                <w:szCs w:val="14"/>
                <w:b w:val="1"/>
                <w:bCs w:val="1"/>
                <w:color w:val="auto"/>
              </w:rPr>
              <w:t>Description of Notes</w:t>
            </w:r>
          </w:p>
        </w:tc>
        <w:tc>
          <w:tcPr>
            <w:tcW w:w="1180" w:type="dxa"/>
            <w:vAlign w:val="bottom"/>
          </w:tcPr>
          <w:p>
            <w:pPr>
              <w:spacing w:after="0"/>
              <w:rPr>
                <w:sz w:val="14"/>
                <w:szCs w:val="14"/>
                <w:color w:val="auto"/>
              </w:rPr>
            </w:pPr>
          </w:p>
        </w:tc>
        <w:tc>
          <w:tcPr>
            <w:tcW w:w="226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Aggregate Principal Balance (in</w:t>
            </w:r>
          </w:p>
        </w:tc>
        <w:tc>
          <w:tcPr>
            <w:tcW w:w="0" w:type="dxa"/>
            <w:vAlign w:val="bottom"/>
          </w:tcPr>
          <w:p>
            <w:pPr>
              <w:spacing w:after="0"/>
              <w:rPr>
                <w:sz w:val="1"/>
                <w:szCs w:val="1"/>
                <w:color w:val="auto"/>
              </w:rPr>
            </w:pPr>
          </w:p>
        </w:tc>
      </w:tr>
      <w:tr>
        <w:trPr>
          <w:trHeight w:val="188"/>
        </w:trPr>
        <w:tc>
          <w:tcPr>
            <w:tcW w:w="2180" w:type="dxa"/>
            <w:vAlign w:val="bottom"/>
            <w:tcBorders>
              <w:bottom w:val="single" w:sz="8" w:color="auto"/>
            </w:tcBorders>
            <w:vMerge w:val="continue"/>
          </w:tcPr>
          <w:p>
            <w:pPr>
              <w:spacing w:after="0"/>
              <w:rPr>
                <w:sz w:val="16"/>
                <w:szCs w:val="16"/>
                <w:color w:val="auto"/>
              </w:rPr>
            </w:pPr>
          </w:p>
        </w:tc>
        <w:tc>
          <w:tcPr>
            <w:tcW w:w="56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w:t>
            </w:r>
          </w:p>
        </w:tc>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8.750% notes due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March 29, 2020</w:t>
            </w: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1.150% notes due 2024 (€750 million principal value)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 2020</w:t>
            </w: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3.350% notes due 2021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19"/>
                <w:szCs w:val="19"/>
                <w:color w:val="auto"/>
              </w:rPr>
            </w:pP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March 2, 2020</w:t>
            </w: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28, 2020</w:t>
            </w: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380"/>
              <w:spacing w:after="0" w:line="23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(1)(2)</w:t>
            </w:r>
          </w:p>
        </w:tc>
        <w:tc>
          <w:tcPr>
            <w:tcW w:w="1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69" w:lineRule="auto"/>
        <w:tabs>
          <w:tab w:leader="none" w:pos="328"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connection with the early repayment of outstanding principal, Raytheon Technologies recorded debt extinguishment costs of $660 million for the quarter ended March 31, 2020, which are classified as discontinued operations in our Condensed Consolidated Statement of Operations as we would not have had to redeem the debt, except for the Separation Transactions.</w:t>
      </w: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Extinguishment of Raytheon Technologies short-term and long-term debt in order to not exceed the maximum net indebtedness required by the Raytheon Merger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March 31, 2021</w:t>
            </w: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8.750% notes due 2021</w:t>
            </w:r>
          </w:p>
        </w:tc>
        <w:tc>
          <w:tcPr>
            <w:tcW w:w="3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3.100% notes due 2021</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250</w:t>
            </w:r>
          </w:p>
        </w:tc>
        <w:tc>
          <w:tcPr>
            <w:tcW w:w="14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2.800% notes due 2022</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1,100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2.500% notes due 2022 </w:t>
            </w:r>
            <w:r>
              <w:rPr>
                <w:rFonts w:ascii="Arial" w:cs="Arial" w:eastAsia="Arial" w:hAnsi="Arial"/>
                <w:sz w:val="23"/>
                <w:szCs w:val="23"/>
                <w:color w:val="auto"/>
                <w:vertAlign w:val="superscript"/>
              </w:rPr>
              <w:t>(2)</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1,100</w:t>
            </w:r>
          </w:p>
        </w:tc>
        <w:tc>
          <w:tcPr>
            <w:tcW w:w="14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171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3.700% notes due 2023</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400</w:t>
            </w: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3.200% notes due 2024</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950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3.150% notes due 2024 </w:t>
            </w:r>
            <w:r>
              <w:rPr>
                <w:rFonts w:ascii="Arial" w:cs="Arial" w:eastAsia="Arial" w:hAnsi="Arial"/>
                <w:sz w:val="23"/>
                <w:szCs w:val="23"/>
                <w:color w:val="auto"/>
                <w:vertAlign w:val="superscript"/>
              </w:rPr>
              <w:t>(2)</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300</w:t>
            </w:r>
          </w:p>
        </w:tc>
        <w:tc>
          <w:tcPr>
            <w:tcW w:w="14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3.950% notes due 2025 </w:t>
            </w:r>
            <w:r>
              <w:rPr>
                <w:rFonts w:ascii="Arial" w:cs="Arial" w:eastAsia="Arial" w:hAnsi="Arial"/>
                <w:sz w:val="23"/>
                <w:szCs w:val="23"/>
                <w:color w:val="auto"/>
                <w:vertAlign w:val="superscript"/>
              </w:rPr>
              <w:t>(1)</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1,500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719</w:t>
            </w:r>
          </w:p>
        </w:tc>
        <w:tc>
          <w:tcPr>
            <w:tcW w:w="14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3"/>
                <w:szCs w:val="23"/>
                <w:color w:val="auto"/>
                <w:vertAlign w:val="superscript"/>
              </w:rPr>
              <w:t>(1)</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1,100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3.500% notes due 2027</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1,300</w:t>
            </w:r>
          </w:p>
        </w:tc>
        <w:tc>
          <w:tcPr>
            <w:tcW w:w="146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7.200% notes due 2027 </w:t>
            </w:r>
            <w:r>
              <w:rPr>
                <w:rFonts w:ascii="Arial" w:cs="Arial" w:eastAsia="Arial" w:hAnsi="Arial"/>
                <w:sz w:val="23"/>
                <w:szCs w:val="23"/>
                <w:color w:val="auto"/>
                <w:vertAlign w:val="superscript"/>
              </w:rPr>
              <w:t>(2)</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382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7.100% notes due 2027</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141</w:t>
            </w: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6.700% notes due 2028</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400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7.000% notes due 2028 </w:t>
            </w:r>
            <w:r>
              <w:rPr>
                <w:rFonts w:ascii="Arial" w:cs="Arial" w:eastAsia="Arial" w:hAnsi="Arial"/>
                <w:sz w:val="23"/>
                <w:szCs w:val="23"/>
                <w:color w:val="auto"/>
                <w:vertAlign w:val="superscript"/>
              </w:rPr>
              <w:t>(2)</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185</w:t>
            </w:r>
          </w:p>
        </w:tc>
        <w:tc>
          <w:tcPr>
            <w:tcW w:w="14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4.125% notes due 2028 </w:t>
            </w:r>
            <w:r>
              <w:rPr>
                <w:rFonts w:ascii="Arial" w:cs="Arial" w:eastAsia="Arial" w:hAnsi="Arial"/>
                <w:sz w:val="23"/>
                <w:szCs w:val="23"/>
                <w:color w:val="auto"/>
                <w:vertAlign w:val="superscript"/>
              </w:rPr>
              <w:t>(1)</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3,000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3"/>
                <w:szCs w:val="23"/>
                <w:color w:val="auto"/>
                <w:vertAlign w:val="superscript"/>
              </w:rPr>
              <w:t>(1)</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550</w:t>
            </w:r>
          </w:p>
        </w:tc>
        <w:tc>
          <w:tcPr>
            <w:tcW w:w="14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2.150% notes due 2030 (€500 million principal value) </w:t>
            </w:r>
            <w:r>
              <w:rPr>
                <w:rFonts w:ascii="Arial" w:cs="Arial" w:eastAsia="Arial" w:hAnsi="Arial"/>
                <w:sz w:val="23"/>
                <w:szCs w:val="23"/>
                <w:color w:val="auto"/>
                <w:vertAlign w:val="superscript"/>
              </w:rPr>
              <w:t>(1)</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590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2.250% notes due 2030 </w:t>
            </w:r>
            <w:r>
              <w:rPr>
                <w:rFonts w:ascii="Arial" w:cs="Arial" w:eastAsia="Arial" w:hAnsi="Arial"/>
                <w:sz w:val="23"/>
                <w:szCs w:val="23"/>
                <w:color w:val="auto"/>
                <w:vertAlign w:val="superscript"/>
              </w:rPr>
              <w:t>(1)</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1,000</w:t>
            </w: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3"/>
                <w:szCs w:val="23"/>
                <w:color w:val="auto"/>
                <w:vertAlign w:val="superscript"/>
              </w:rPr>
              <w:t>(1)</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600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3"/>
                <w:szCs w:val="23"/>
                <w:color w:val="auto"/>
                <w:vertAlign w:val="superscript"/>
              </w:rPr>
              <w:t>(1)</w:t>
            </w:r>
          </w:p>
        </w:tc>
        <w:tc>
          <w:tcPr>
            <w:tcW w:w="326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b w:val="1"/>
                <w:bCs w:val="1"/>
                <w:color w:val="auto"/>
              </w:rPr>
              <w:t>600</w:t>
            </w:r>
          </w:p>
        </w:tc>
        <w:tc>
          <w:tcPr>
            <w:tcW w:w="14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3"/>
                <w:szCs w:val="23"/>
                <w:color w:val="auto"/>
                <w:vertAlign w:val="superscript"/>
              </w:rPr>
              <w:t>(1)</w:t>
            </w:r>
          </w:p>
        </w:tc>
        <w:tc>
          <w:tcPr>
            <w:tcW w:w="3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134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891"/>
        </w:trPr>
        <w:tc>
          <w:tcPr>
            <w:tcW w:w="4820" w:type="dxa"/>
            <w:vAlign w:val="bottom"/>
          </w:tcPr>
          <w:p>
            <w:pPr>
              <w:spacing w:after="0"/>
              <w:rPr>
                <w:sz w:val="24"/>
                <w:szCs w:val="24"/>
                <w:color w:val="auto"/>
              </w:rPr>
            </w:pPr>
          </w:p>
        </w:tc>
        <w:tc>
          <w:tcPr>
            <w:tcW w:w="3260" w:type="dxa"/>
            <w:vAlign w:val="bottom"/>
          </w:tcPr>
          <w:p>
            <w:pPr>
              <w:jc w:val="right"/>
              <w:ind w:right="2270"/>
              <w:spacing w:after="0"/>
              <w:rPr>
                <w:sz w:val="20"/>
                <w:szCs w:val="20"/>
                <w:color w:val="auto"/>
              </w:rPr>
            </w:pPr>
            <w:r>
              <w:rPr>
                <w:rFonts w:ascii="Arial" w:cs="Arial" w:eastAsia="Arial" w:hAnsi="Arial"/>
                <w:sz w:val="18"/>
                <w:szCs w:val="18"/>
                <w:color w:val="auto"/>
              </w:rPr>
              <w:t>20</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ind w:left="20"/>
              <w:spacing w:after="0"/>
              <w:rPr>
                <w:sz w:val="20"/>
                <w:szCs w:val="20"/>
                <w:color w:val="auto"/>
              </w:rPr>
            </w:pPr>
            <w:r>
              <w:rPr>
                <w:rFonts w:ascii="Arial" w:cs="Arial" w:eastAsia="Arial" w:hAnsi="Arial"/>
                <w:sz w:val="18"/>
                <w:szCs w:val="18"/>
                <w:color w:val="auto"/>
              </w:rPr>
              <w:t>7.000% notes due 2038</w:t>
            </w:r>
          </w:p>
        </w:tc>
        <w:tc>
          <w:tcPr>
            <w:tcW w:w="14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4.450% notes due 2038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4.875% notes due 2040 </w:t>
            </w:r>
            <w:r>
              <w:rPr>
                <w:rFonts w:ascii="Arial" w:cs="Arial" w:eastAsia="Arial" w:hAnsi="Arial"/>
                <w:sz w:val="23"/>
                <w:szCs w:val="23"/>
                <w:color w:val="auto"/>
                <w:vertAlign w:val="superscript"/>
              </w:rPr>
              <w:t>(2)</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4.700% notes due 2041 </w:t>
            </w:r>
            <w:r>
              <w:rPr>
                <w:rFonts w:ascii="Arial" w:cs="Arial" w:eastAsia="Arial" w:hAnsi="Arial"/>
                <w:sz w:val="23"/>
                <w:szCs w:val="23"/>
                <w:color w:val="auto"/>
                <w:vertAlign w:val="superscript"/>
              </w:rPr>
              <w:t>(2)</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3,500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4.800% notes due 2043</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4.200% notes due 2044 </w:t>
            </w:r>
            <w:r>
              <w:rPr>
                <w:rFonts w:ascii="Arial" w:cs="Arial" w:eastAsia="Arial" w:hAnsi="Arial"/>
                <w:sz w:val="23"/>
                <w:szCs w:val="23"/>
                <w:color w:val="auto"/>
                <w:vertAlign w:val="superscript"/>
              </w:rPr>
              <w:t>(2)</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4.350% notes due 2047</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4.625% notes due 2048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3.125% notes due 2050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(including finance leases)</w:t>
            </w:r>
          </w:p>
        </w:tc>
        <w:tc>
          <w:tcPr>
            <w:tcW w:w="1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296</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principal long-term debt</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31,202</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31,470</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(fair market value adjustments, (discounts)/premiums, and debt issuance costs)</w:t>
            </w:r>
          </w:p>
        </w:tc>
        <w:tc>
          <w:tcPr>
            <w:tcW w:w="1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31,304</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31,576</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1,369</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net of current portion</w:t>
            </w: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29,935</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31,026</w:t>
            </w:r>
          </w:p>
        </w:tc>
      </w:tr>
    </w:tbl>
    <w:p>
      <w:pPr>
        <w:spacing w:after="0" w:line="130"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Debt assumed in the Raytheon Merger.</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average maturity of our long-term debt at March 31, 2021 is approximately 14 years. The average interest expense rate on our total borrowings for the quarters ended March 31, 2021 and 2020 was as follows:</w:t>
      </w:r>
    </w:p>
    <w:p>
      <w:pPr>
        <w:ind w:left="8680"/>
        <w:spacing w:after="0"/>
        <w:rPr>
          <w:sz w:val="20"/>
          <w:szCs w:val="20"/>
          <w:color w:val="auto"/>
        </w:rPr>
      </w:pPr>
      <w:r>
        <w:rPr>
          <w:rFonts w:ascii="Arial" w:cs="Arial" w:eastAsia="Arial" w:hAnsi="Arial"/>
          <w:sz w:val="14"/>
          <w:szCs w:val="14"/>
          <w:b w:val="1"/>
          <w:bCs w:val="1"/>
          <w:color w:val="auto"/>
        </w:rPr>
        <w:t>Quarter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20" w:type="dxa"/>
            <w:vAlign w:val="bottom"/>
            <w:tcBorders>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31"/>
        </w:trPr>
        <w:tc>
          <w:tcPr>
            <w:tcW w:w="8840" w:type="dxa"/>
            <w:vAlign w:val="bottom"/>
            <w:tcBorders>
              <w:bottom w:val="single" w:sz="8" w:color="auto"/>
            </w:tcBorders>
            <w:gridSpan w:val="2"/>
            <w:shd w:val="clear" w:color="auto" w:fill="CCEEFF"/>
          </w:tcPr>
          <w:p>
            <w:pPr>
              <w:jc w:val="right"/>
              <w:ind w:right="6628"/>
              <w:spacing w:after="0"/>
              <w:rPr>
                <w:sz w:val="20"/>
                <w:szCs w:val="20"/>
                <w:color w:val="auto"/>
              </w:rPr>
            </w:pPr>
            <w:r>
              <w:rPr>
                <w:rFonts w:ascii="Arial" w:cs="Arial" w:eastAsia="Arial" w:hAnsi="Arial"/>
                <w:sz w:val="18"/>
                <w:szCs w:val="18"/>
                <w:color w:val="auto"/>
                <w:w w:val="88"/>
              </w:rPr>
              <w:t>Average interest expense rate</w:t>
            </w: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4.1 %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benefit pension and postretirement benefit (PRB)</w:t>
      </w:r>
      <w:r>
        <w:rPr>
          <w:rFonts w:ascii="Arial" w:cs="Arial" w:eastAsia="Arial" w:hAnsi="Arial"/>
          <w:sz w:val="18"/>
          <w:szCs w:val="18"/>
          <w:b w:val="1"/>
          <w:bCs w:val="1"/>
          <w:color w:val="auto"/>
        </w:rPr>
        <w:t xml:space="preserve"> </w:t>
      </w:r>
      <w:r>
        <w:rPr>
          <w:rFonts w:ascii="Arial" w:cs="Arial" w:eastAsia="Arial" w:hAnsi="Arial"/>
          <w:sz w:val="18"/>
          <w:szCs w:val="18"/>
          <w:color w:val="auto"/>
        </w:rPr>
        <w:t>plans and defined contribution plans.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 2020, UTC completed the Separation Transactions, which included the transfer of certain defined benefit plans from UTC to Carrier and Otis. The plans transferred were primarily international plans with the majority of the UTC defined benefit liability remaining with Raytheon Technologies. All service cost previously associated with Carrier and Otis was reclassified to discontinued operations. For non-service pension (income) expense and pension liabilities, generally only the portions related to the defined benefit plans transferred to Carrier and Otis as part of the Separation Transactions were reclassified to discontinued operations.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Raytheon Company has both funded and unfunded domestic and foreign defined benefit pension and PRB plans. As of the merger date, the Raytheon Company plans were remeasured at fair value using accounting policies consistent with the UTC plans. The deferred pension and PRB plan losses included in Raytheon Company’s accumulated other comprehensive income (loss) as of the merger date were eliminated and are no longer subject to amortization in net periodic benefit (income) expense. Amounts prior to the merger date of April 3, 2020 do not include the Raytheon Company pension plan results.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our plans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qualified defined benefit plans</w:t>
            </w:r>
          </w:p>
        </w:tc>
        <w:tc>
          <w:tcPr>
            <w:tcW w:w="3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International defined benefit plans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PRB plans</w:t>
            </w:r>
          </w:p>
        </w:tc>
        <w:tc>
          <w:tcPr>
            <w:tcW w:w="2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Defined contribution plans</w:t>
            </w:r>
          </w:p>
        </w:tc>
        <w:tc>
          <w:tcPr>
            <w:tcW w:w="2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271</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324"/>
        </w:trPr>
        <w:tc>
          <w:tcPr>
            <w:tcW w:w="9520" w:type="dxa"/>
            <w:vAlign w:val="bottom"/>
            <w:gridSpan w:val="4"/>
          </w:tcPr>
          <w:p>
            <w:pPr>
              <w:spacing w:after="0"/>
              <w:rPr>
                <w:sz w:val="20"/>
                <w:szCs w:val="20"/>
                <w:color w:val="auto"/>
              </w:rPr>
            </w:pPr>
            <w:r>
              <w:rPr>
                <w:rFonts w:ascii="Arial" w:cs="Arial" w:eastAsia="Arial" w:hAnsi="Arial"/>
                <w:sz w:val="18"/>
                <w:szCs w:val="18"/>
                <w:color w:val="auto"/>
                <w:w w:val="94"/>
              </w:rPr>
              <w:t>Future pension and postretirement benefit obligations on the Condensed Consolidated Balance Sheet consists of the following:</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96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pension liabilities</w:t>
            </w:r>
          </w:p>
        </w:tc>
        <w:tc>
          <w:tcPr>
            <w:tcW w:w="2920" w:type="dxa"/>
            <w:vAlign w:val="bottom"/>
            <w:shd w:val="clear" w:color="auto" w:fill="CCEEFF"/>
          </w:tcPr>
          <w:p>
            <w:pPr>
              <w:jc w:val="right"/>
              <w:ind w:right="335"/>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8,669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Long-term PRB liabilities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1,073</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57"/>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pension and PRB related items</w:t>
            </w:r>
          </w:p>
        </w:tc>
        <w:tc>
          <w:tcPr>
            <w:tcW w:w="29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long-term pension and PRB liabilities</w:t>
            </w:r>
          </w:p>
        </w:tc>
        <w:tc>
          <w:tcPr>
            <w:tcW w:w="2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components of net periodic benefit (income) expense for our defined pension and PRB plans: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w w:val="88"/>
              </w:rPr>
              <w:t>Pension Benefits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PRB</w:t>
            </w:r>
          </w:p>
        </w:tc>
        <w:tc>
          <w:tcPr>
            <w:tcW w:w="1020" w:type="dxa"/>
            <w:vAlign w:val="bottom"/>
          </w:tcPr>
          <w:p>
            <w:pPr>
              <w:spacing w:after="0"/>
              <w:rPr>
                <w:sz w:val="14"/>
                <w:szCs w:val="14"/>
                <w:color w:val="auto"/>
              </w:rPr>
            </w:pPr>
          </w:p>
        </w:tc>
      </w:tr>
      <w:tr>
        <w:trPr>
          <w:trHeight w:val="186"/>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6"/>
              </w:rPr>
              <w:t>Quarter Ended March 31,</w:t>
            </w:r>
          </w:p>
        </w:tc>
        <w:tc>
          <w:tcPr>
            <w:tcW w:w="300" w:type="dxa"/>
            <w:vAlign w:val="bottom"/>
          </w:tcPr>
          <w:p>
            <w:pPr>
              <w:spacing w:after="0"/>
              <w:rPr>
                <w:sz w:val="16"/>
                <w:szCs w:val="16"/>
                <w:color w:val="auto"/>
              </w:rPr>
            </w:pPr>
          </w:p>
        </w:tc>
        <w:tc>
          <w:tcPr>
            <w:tcW w:w="246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Quarter Ended March 31,</w:t>
            </w:r>
          </w:p>
        </w:tc>
      </w:tr>
      <w:tr>
        <w:trPr>
          <w:trHeight w:val="184"/>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131</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312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(868)</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Amortization of prior service cost (credit)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actuarial net loss (gain)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109</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settlement and curtailment loss (gain)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Non-service pension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(income)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current in our Condensed Consolidated Balance Sheet. The fair value of marketable securities held in trusts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5"/>
              </w:rPr>
              <w:t>December 31, 2020</w:t>
            </w:r>
          </w:p>
        </w:tc>
      </w:tr>
      <w:tr>
        <w:trPr>
          <w:trHeight w:val="236"/>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 held in trusts</w:t>
            </w:r>
          </w:p>
        </w:tc>
        <w:tc>
          <w:tcPr>
            <w:tcW w:w="2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879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effective tax rate was 29.8% and 56.5% in the quarters ended March 31, 2021 and 2020, respectively. Tax expense in the quarter ended March 31, 2021 includes tax charges of $148 million associated with the sale of the Forcepoint business. Tax expense in the quarter ended March 31, 2020 includes net deferred tax charges of $415 million resulting from the Separation Transactions, primarily related to the impairment of deferred tax assets.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globally and, as a result, Raytheon Technologies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Philippines, Poland, Saudi Arabia, Singapore, Switzerland, the United Kingdom and the United States. With few exceptions, we are no longer subject to U.S. federal, state and local, or non-U.S. income tax examinations for years before 2012.</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$50 million to $140 million of unrecognized tax benefits may occur within the next 12 months as a result of the revaluation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uncertain tax positions arising from the issuance of legislation, regulatory or other guidance or developments in examinations, in appeals, or in the courts, or the closure of tax statutes. Interest on unrecognized tax benefits during the quarters ended March 31, 2021 and 2020 were $143 million and $97 million, respectively. The amount of interest accrued at March 31, 2021 was $9 million.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Examination Division of the Internal Revenue Service (IRS) is currently auditing Raytheon Technologies tax years 2017 and 2018 and pre-merger Raytheon Company tax periods 2017, 2018 and 2019 as well as certain refund claims of Raytheon Company for tax years 2014, 2015 and 2016 filed prior to the Raytheon Merger.</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Examination Division of the IRS is also auditing pre-acquisition Rockwell Collins fiscal tax years 2016 and 2017, which is projected to close in the second half of 2021. As a result of the projected closure of the audit of Rockwell Collins fiscal tax years 2016 and 2017, it is reasonably possible that the Company may recognize non-cash gains in the range of $50 million to $100 million, primarily tax, in the second half of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Costs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Restructuring costs are generally expensed as incurred. All U.S. government unallowable restructuring costs related to the Raytheon Merger are recorded within Corporate expenses and other unallocated items, as these costs are not included in management’s evaluation of the segments’ performance, and as a result, there are no unallowable restructuring costs at the RIS and RMD segments. During the quarter ended March 31, 2021, we recorded net pre-tax restructuring costs totaling $43 million for new and ongoing restructuring 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320" w:type="dxa"/>
            <w:vAlign w:val="bottom"/>
          </w:tcPr>
          <w:p>
            <w:pPr>
              <w:spacing w:after="0"/>
              <w:rPr>
                <w:sz w:val="14"/>
                <w:szCs w:val="14"/>
                <w:color w:val="auto"/>
              </w:rPr>
            </w:pPr>
          </w:p>
        </w:tc>
        <w:tc>
          <w:tcPr>
            <w:tcW w:w="1320" w:type="dxa"/>
            <w:vAlign w:val="bottom"/>
          </w:tcPr>
          <w:p>
            <w:pPr>
              <w:jc w:val="right"/>
              <w:ind w:right="216"/>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88"/>
        </w:trPr>
        <w:tc>
          <w:tcPr>
            <w:tcW w:w="6600" w:type="dxa"/>
            <w:vAlign w:val="bottom"/>
            <w:tcBorders>
              <w:bottom w:val="single" w:sz="8" w:color="auto"/>
            </w:tcBorders>
            <w:vMerge w:val="continue"/>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3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3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3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Restructuring charges incurred during the quarter ended March 31, 2021 primarily relate to actions initiated during 2021 and 2020, and were recorded as follows:</w:t>
      </w:r>
    </w:p>
    <w:tbl>
      <w:tblPr>
        <w:tblLayout w:type="fixed"/>
        <w:tblInd w:w="0" w:type="dxa"/>
        <w:tblCellMar>
          <w:top w:w="0" w:type="dxa"/>
          <w:left w:w="0" w:type="dxa"/>
          <w:bottom w:w="0" w:type="dxa"/>
          <w:right w:w="0" w:type="dxa"/>
        </w:tblCellMar>
      </w:tblPr>
      <w:tr>
        <w:trPr>
          <w:trHeight w:val="144"/>
        </w:trPr>
        <w:tc>
          <w:tcPr>
            <w:tcW w:w="61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780" w:type="dxa"/>
            <w:vAlign w:val="bottom"/>
          </w:tcPr>
          <w:p>
            <w:pPr>
              <w:spacing w:after="0"/>
              <w:rPr>
                <w:sz w:val="12"/>
                <w:szCs w:val="12"/>
                <w:color w:val="auto"/>
              </w:rPr>
            </w:pPr>
          </w:p>
        </w:tc>
        <w:tc>
          <w:tcPr>
            <w:tcW w:w="1320" w:type="dxa"/>
            <w:vAlign w:val="bottom"/>
          </w:tcPr>
          <w:p>
            <w:pPr>
              <w:jc w:val="right"/>
              <w:ind w:right="217"/>
              <w:spacing w:after="0" w:line="145" w:lineRule="exact"/>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88"/>
        </w:trPr>
        <w:tc>
          <w:tcPr>
            <w:tcW w:w="6140" w:type="dxa"/>
            <w:vAlign w:val="bottom"/>
            <w:tcBorders>
              <w:bottom w:val="single" w:sz="8" w:color="auto"/>
            </w:tcBorders>
            <w:vMerge w:val="continue"/>
          </w:tcPr>
          <w:p>
            <w:pPr>
              <w:spacing w:after="0"/>
              <w:rPr>
                <w:sz w:val="16"/>
                <w:szCs w:val="16"/>
                <w:color w:val="auto"/>
              </w:rPr>
            </w:pPr>
          </w:p>
        </w:tc>
        <w:tc>
          <w:tcPr>
            <w:tcW w:w="3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3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2021 Actions. </w:t>
      </w:r>
      <w:r>
        <w:rPr>
          <w:rFonts w:ascii="Arial" w:cs="Arial" w:eastAsia="Arial" w:hAnsi="Arial"/>
          <w:sz w:val="18"/>
          <w:szCs w:val="18"/>
          <w:color w:val="auto"/>
        </w:rPr>
        <w:t>During the quarter ended March 31, 2021, we recorded net pre-tax restructuring costs of $36 million, comprised of $21 million in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$15 million in Selling, general and administrative expenses. The 2021 actions primarily relate to ongoing cost reduction efforts including workforce reductions and the consolidation of facilities.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accrual balance and utilization for the 2021 restructuring actions for the quarter ended March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320" w:type="dxa"/>
            <w:vAlign w:val="bottom"/>
          </w:tcPr>
          <w:p>
            <w:pPr>
              <w:spacing w:after="0"/>
              <w:rPr>
                <w:sz w:val="14"/>
                <w:szCs w:val="14"/>
                <w:color w:val="auto"/>
              </w:rPr>
            </w:pPr>
          </w:p>
        </w:tc>
        <w:tc>
          <w:tcPr>
            <w:tcW w:w="12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16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Facility Exit and Other</w:t>
            </w:r>
          </w:p>
        </w:tc>
        <w:tc>
          <w:tcPr>
            <w:tcW w:w="420" w:type="dxa"/>
            <w:vAlign w:val="bottom"/>
          </w:tcPr>
          <w:p>
            <w:pPr>
              <w:spacing w:after="0"/>
              <w:rPr>
                <w:sz w:val="14"/>
                <w:szCs w:val="14"/>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40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Costs</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at December 31, 2020</w:t>
            </w:r>
          </w:p>
        </w:tc>
        <w:tc>
          <w:tcPr>
            <w:tcW w:w="2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Net pre-tax restructuring costs</w:t>
            </w:r>
          </w:p>
        </w:tc>
        <w:tc>
          <w:tcPr>
            <w:tcW w:w="2320" w:type="dxa"/>
            <w:vAlign w:val="bottom"/>
          </w:tcPr>
          <w:p>
            <w:pPr>
              <w:spacing w:after="0"/>
              <w:rPr>
                <w:sz w:val="19"/>
                <w:szCs w:val="19"/>
                <w:color w:val="auto"/>
              </w:rPr>
            </w:pPr>
          </w:p>
        </w:tc>
        <w:tc>
          <w:tcPr>
            <w:tcW w:w="1280" w:type="dxa"/>
            <w:vAlign w:val="bottom"/>
          </w:tcPr>
          <w:p>
            <w:pPr>
              <w:ind w:left="980"/>
              <w:spacing w:after="0"/>
              <w:rPr>
                <w:sz w:val="20"/>
                <w:szCs w:val="20"/>
                <w:color w:val="auto"/>
              </w:rPr>
            </w:pPr>
            <w:r>
              <w:rPr>
                <w:rFonts w:ascii="Arial" w:cs="Arial" w:eastAsia="Arial" w:hAnsi="Arial"/>
                <w:sz w:val="18"/>
                <w:szCs w:val="18"/>
                <w:b w:val="1"/>
                <w:bCs w:val="1"/>
                <w:color w:val="auto"/>
              </w:rPr>
              <w:t>24</w:t>
            </w:r>
          </w:p>
        </w:tc>
        <w:tc>
          <w:tcPr>
            <w:tcW w:w="4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12</w:t>
            </w:r>
          </w:p>
        </w:tc>
        <w:tc>
          <w:tcPr>
            <w:tcW w:w="4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2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(1)</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March 31, 2021</w:t>
            </w:r>
          </w:p>
        </w:tc>
        <w:tc>
          <w:tcPr>
            <w:tcW w:w="2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23</w:t>
            </w:r>
          </w:p>
        </w:tc>
        <w:tc>
          <w:tcPr>
            <w:tcW w:w="4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878"/>
        </w:trPr>
        <w:tc>
          <w:tcPr>
            <w:tcW w:w="4400" w:type="dxa"/>
            <w:vAlign w:val="bottom"/>
          </w:tcPr>
          <w:p>
            <w:pPr>
              <w:spacing w:after="0"/>
              <w:rPr>
                <w:sz w:val="24"/>
                <w:szCs w:val="24"/>
                <w:color w:val="auto"/>
              </w:rPr>
            </w:pPr>
          </w:p>
        </w:tc>
        <w:tc>
          <w:tcPr>
            <w:tcW w:w="2320" w:type="dxa"/>
            <w:vAlign w:val="bottom"/>
          </w:tcPr>
          <w:p>
            <w:pPr>
              <w:jc w:val="right"/>
              <w:ind w:right="910"/>
              <w:spacing w:after="0"/>
              <w:rPr>
                <w:sz w:val="20"/>
                <w:szCs w:val="20"/>
                <w:color w:val="auto"/>
              </w:rPr>
            </w:pPr>
            <w:r>
              <w:rPr>
                <w:rFonts w:ascii="Arial" w:cs="Arial" w:eastAsia="Arial" w:hAnsi="Arial"/>
                <w:sz w:val="18"/>
                <w:szCs w:val="18"/>
                <w:color w:val="auto"/>
              </w:rPr>
              <w:t>23</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expected, incurred and remaining costs for the 2021 restructuring actions by segment: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Arial" w:cs="Arial" w:eastAsia="Arial" w:hAnsi="Arial"/>
                <w:sz w:val="14"/>
                <w:szCs w:val="14"/>
                <w:b w:val="1"/>
                <w:bCs w:val="1"/>
                <w:color w:val="auto"/>
              </w:rPr>
              <w:t>Costs Incurred</w:t>
            </w: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4"/>
              </w:rPr>
              <w:t>Remaining Costs at</w:t>
            </w:r>
          </w:p>
        </w:tc>
        <w:tc>
          <w:tcPr>
            <w:tcW w:w="0" w:type="dxa"/>
            <w:vAlign w:val="bottom"/>
          </w:tcPr>
          <w:p>
            <w:pPr>
              <w:spacing w:after="0"/>
              <w:rPr>
                <w:sz w:val="1"/>
                <w:szCs w:val="1"/>
                <w:color w:val="auto"/>
              </w:rPr>
            </w:pPr>
          </w:p>
        </w:tc>
      </w:tr>
      <w:tr>
        <w:trPr>
          <w:trHeight w:val="135"/>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7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Quarter Ended</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8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Costs</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278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center"/>
              <w:ind w:left="678"/>
              <w:spacing w:after="0"/>
              <w:rPr>
                <w:sz w:val="20"/>
                <w:szCs w:val="20"/>
                <w:color w:val="auto"/>
              </w:rPr>
            </w:pPr>
            <w:r>
              <w:rPr>
                <w:rFonts w:ascii="Arial" w:cs="Arial" w:eastAsia="Arial" w:hAnsi="Arial"/>
                <w:sz w:val="18"/>
                <w:szCs w:val="18"/>
                <w:b w:val="1"/>
                <w:bCs w:val="1"/>
                <w:color w:val="auto"/>
                <w:w w:val="93"/>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27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220" w:type="dxa"/>
            <w:vAlign w:val="bottom"/>
          </w:tcPr>
          <w:p>
            <w:pPr>
              <w:jc w:val="center"/>
              <w:ind w:left="678"/>
              <w:spacing w:after="0"/>
              <w:rPr>
                <w:sz w:val="20"/>
                <w:szCs w:val="20"/>
                <w:color w:val="auto"/>
              </w:rPr>
            </w:pPr>
            <w:r>
              <w:rPr>
                <w:rFonts w:ascii="Arial" w:cs="Arial" w:eastAsia="Arial" w:hAnsi="Arial"/>
                <w:sz w:val="18"/>
                <w:szCs w:val="18"/>
                <w:b w:val="1"/>
                <w:bCs w:val="1"/>
                <w:color w:val="auto"/>
                <w:w w:val="93"/>
              </w:rPr>
              <w:t>(16)</w:t>
            </w:r>
          </w:p>
        </w:tc>
        <w:tc>
          <w:tcPr>
            <w:tcW w:w="20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2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8"/>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center"/>
              <w:ind w:left="678"/>
              <w:spacing w:after="0"/>
              <w:rPr>
                <w:sz w:val="20"/>
                <w:szCs w:val="20"/>
                <w:color w:val="auto"/>
              </w:rPr>
            </w:pPr>
            <w:r>
              <w:rPr>
                <w:rFonts w:ascii="Arial" w:cs="Arial" w:eastAsia="Arial" w:hAnsi="Arial"/>
                <w:sz w:val="18"/>
                <w:szCs w:val="18"/>
                <w:b w:val="1"/>
                <w:bCs w:val="1"/>
                <w:color w:val="auto"/>
                <w:w w:val="93"/>
              </w:rPr>
              <w:t>(36)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are targeting to complete the majority of the remaining workforce and facility related cost reduction actions during 2021 and 2022.</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2020 Actions. </w:t>
      </w:r>
      <w:r>
        <w:rPr>
          <w:rFonts w:ascii="Arial" w:cs="Arial" w:eastAsia="Arial" w:hAnsi="Arial"/>
          <w:sz w:val="18"/>
          <w:szCs w:val="18"/>
          <w:color w:val="auto"/>
        </w:rPr>
        <w:t>During the quarter ended March 31, 2021, we recorded $4 million of net pre-tax restructuring costs for restructuring actions initiated in 2020</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comprised of $6 million in Selling, general and administrative expenses and a reversal of $2 million in Cost of sales. The 2020 actions primarily relate to severance and restructuring actions at Pratt &amp; Whitney and Collins Aerospace in response to the impact on our operating results related to the current economic environment primarily caused by the COVID-19 pandemic, the Raytheon Merger, and ongoing cost reduction efforts including workforce reductions and consolidation of field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accrual balances and utilization for the 2020 restructuring actions for the quarter ended March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60" w:type="dxa"/>
            <w:vAlign w:val="bottom"/>
          </w:tcPr>
          <w:p>
            <w:pPr>
              <w:spacing w:after="0"/>
              <w:rPr>
                <w:sz w:val="14"/>
                <w:szCs w:val="14"/>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Severance</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Facility Exit, and Other</w:t>
            </w:r>
          </w:p>
        </w:tc>
        <w:tc>
          <w:tcPr>
            <w:tcW w:w="420" w:type="dxa"/>
            <w:vAlign w:val="bottom"/>
          </w:tcPr>
          <w:p>
            <w:pPr>
              <w:spacing w:after="0"/>
              <w:rPr>
                <w:sz w:val="14"/>
                <w:szCs w:val="14"/>
                <w:color w:val="auto"/>
              </w:rPr>
            </w:pPr>
          </w:p>
        </w:tc>
        <w:tc>
          <w:tcPr>
            <w:tcW w:w="11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Costs</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at December 31, 2020</w:t>
            </w:r>
          </w:p>
        </w:tc>
        <w:tc>
          <w:tcPr>
            <w:tcW w:w="1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79"/>
              </w:rPr>
              <w:t>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Net pre-tax restructuring costs</w:t>
            </w:r>
          </w:p>
        </w:tc>
        <w:tc>
          <w:tcPr>
            <w:tcW w:w="18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9"/>
                <w:szCs w:val="19"/>
                <w:color w:val="auto"/>
              </w:rPr>
            </w:pPr>
          </w:p>
        </w:tc>
        <w:tc>
          <w:tcPr>
            <w:tcW w:w="1220" w:type="dxa"/>
            <w:vAlign w:val="bottom"/>
          </w:tcPr>
          <w:p>
            <w:pPr>
              <w:jc w:val="center"/>
              <w:ind w:left="814"/>
              <w:spacing w:after="0"/>
              <w:rPr>
                <w:sz w:val="20"/>
                <w:szCs w:val="20"/>
                <w:color w:val="auto"/>
              </w:rPr>
            </w:pPr>
            <w:r>
              <w:rPr>
                <w:rFonts w:ascii="Arial" w:cs="Arial" w:eastAsia="Arial" w:hAnsi="Arial"/>
                <w:sz w:val="18"/>
                <w:szCs w:val="18"/>
                <w:b w:val="1"/>
                <w:bCs w:val="1"/>
                <w:color w:val="auto"/>
                <w:w w:val="79"/>
              </w:rPr>
              <w:t>3</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18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74"/>
              <w:spacing w:after="0"/>
              <w:rPr>
                <w:sz w:val="20"/>
                <w:szCs w:val="20"/>
                <w:color w:val="auto"/>
              </w:rPr>
            </w:pPr>
            <w:r>
              <w:rPr>
                <w:rFonts w:ascii="Arial" w:cs="Arial" w:eastAsia="Arial" w:hAnsi="Arial"/>
                <w:sz w:val="18"/>
                <w:szCs w:val="18"/>
                <w:b w:val="1"/>
                <w:bCs w:val="1"/>
                <w:color w:val="auto"/>
                <w:w w:val="90"/>
              </w:rPr>
              <w:t>(5)</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March 31, 2021</w:t>
            </w:r>
          </w:p>
        </w:tc>
        <w:tc>
          <w:tcPr>
            <w:tcW w:w="1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205</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center"/>
              <w:ind w:left="814"/>
              <w:spacing w:after="0"/>
              <w:rPr>
                <w:sz w:val="20"/>
                <w:szCs w:val="20"/>
                <w:color w:val="auto"/>
              </w:rPr>
            </w:pPr>
            <w:r>
              <w:rPr>
                <w:rFonts w:ascii="Arial" w:cs="Arial" w:eastAsia="Arial" w:hAnsi="Arial"/>
                <w:sz w:val="18"/>
                <w:szCs w:val="18"/>
                <w:b w:val="1"/>
                <w:bCs w:val="1"/>
                <w:color w:val="auto"/>
                <w:w w:val="79"/>
              </w:rPr>
              <w:t>4</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expected, incurred and remaining costs for the 2020 restructuring actions by segment: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2"/>
              </w:rPr>
              <w:t>Costs Incurred in</w:t>
            </w:r>
          </w:p>
        </w:tc>
        <w:tc>
          <w:tcPr>
            <w:tcW w:w="220" w:type="dxa"/>
            <w:vAlign w:val="bottom"/>
          </w:tcPr>
          <w:p>
            <w:pPr>
              <w:spacing w:after="0"/>
              <w:rPr>
                <w:sz w:val="14"/>
                <w:szCs w:val="14"/>
                <w:color w:val="auto"/>
              </w:rPr>
            </w:pPr>
          </w:p>
        </w:tc>
        <w:tc>
          <w:tcPr>
            <w:tcW w:w="1220" w:type="dxa"/>
            <w:vAlign w:val="bottom"/>
          </w:tcPr>
          <w:p>
            <w:pPr>
              <w:jc w:val="right"/>
              <w:ind w:right="178"/>
              <w:spacing w:after="0"/>
              <w:rPr>
                <w:sz w:val="20"/>
                <w:szCs w:val="20"/>
                <w:color w:val="auto"/>
              </w:rPr>
            </w:pPr>
            <w:r>
              <w:rPr>
                <w:rFonts w:ascii="Arial" w:cs="Arial" w:eastAsia="Arial" w:hAnsi="Arial"/>
                <w:sz w:val="14"/>
                <w:szCs w:val="14"/>
                <w:b w:val="1"/>
                <w:bCs w:val="1"/>
                <w:color w:val="auto"/>
                <w:w w:val="95"/>
              </w:rPr>
              <w:t>Costs Incurred</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Remaining Costs at</w:t>
            </w:r>
          </w:p>
        </w:tc>
        <w:tc>
          <w:tcPr>
            <w:tcW w:w="0" w:type="dxa"/>
            <w:vAlign w:val="bottom"/>
          </w:tcPr>
          <w:p>
            <w:pPr>
              <w:spacing w:after="0"/>
              <w:rPr>
                <w:sz w:val="1"/>
                <w:szCs w:val="1"/>
                <w:color w:val="auto"/>
              </w:rPr>
            </w:pPr>
          </w:p>
        </w:tc>
      </w:tr>
      <w:tr>
        <w:trPr>
          <w:trHeight w:val="135"/>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158"/>
              <w:spacing w:after="0" w:line="135" w:lineRule="exact"/>
              <w:rPr>
                <w:sz w:val="20"/>
                <w:szCs w:val="20"/>
                <w:color w:val="auto"/>
              </w:rPr>
            </w:pPr>
            <w:r>
              <w:rPr>
                <w:rFonts w:ascii="Arial" w:cs="Arial" w:eastAsia="Arial" w:hAnsi="Arial"/>
                <w:sz w:val="14"/>
                <w:szCs w:val="14"/>
                <w:b w:val="1"/>
                <w:bCs w:val="1"/>
                <w:color w:val="auto"/>
                <w:w w:val="98"/>
              </w:rPr>
              <w:t>Quarter Ended</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56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Costs</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March 31, 2021</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204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205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204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340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2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237</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782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2019 and Prior Actions. </w:t>
      </w:r>
      <w:r>
        <w:rPr>
          <w:rFonts w:ascii="Arial" w:cs="Arial" w:eastAsia="Arial" w:hAnsi="Arial"/>
          <w:sz w:val="16"/>
          <w:szCs w:val="16"/>
          <w:color w:val="auto"/>
        </w:rPr>
        <w:t>During the quarter ended March 31, 2021, we had net pre-tax restructuring costs of $3 million for restructuring actions initiated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2019 and prior. As of March 31, 2021, we have approximately $32 million of accrual balances remaining related to 2019 and prior 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aggregate notional amount of our outstanding foreign currency hedges was $11.1 billion and $11.6 billion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table summarizes the fair value and presentation in the Condensed Consolidated Balance Sheet for derivative instruments as of March 31, 2021 and December 31, 2020:</w:t>
      </w: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5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960" w:type="dxa"/>
            <w:vAlign w:val="bottom"/>
          </w:tcPr>
          <w:p>
            <w:pPr>
              <w:ind w:left="480"/>
              <w:spacing w:after="0"/>
              <w:rPr>
                <w:sz w:val="20"/>
                <w:szCs w:val="20"/>
                <w:color w:val="auto"/>
              </w:rPr>
            </w:pPr>
            <w:r>
              <w:rPr>
                <w:rFonts w:ascii="Arial" w:cs="Arial" w:eastAsia="Arial" w:hAnsi="Arial"/>
                <w:sz w:val="18"/>
                <w:szCs w:val="18"/>
                <w:color w:val="auto"/>
              </w:rPr>
              <w:t>Other assets, current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b w:val="1"/>
                <w:bCs w:val="1"/>
                <w:color w:val="auto"/>
              </w:rPr>
              <w:t>171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accrued liabilities</w:t>
            </w:r>
          </w:p>
        </w:tc>
        <w:tc>
          <w:tcPr>
            <w:tcW w:w="5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105</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w w:val="99"/>
              </w:rPr>
              <w:t>Derivatives not designated as hedging instruments:</w:t>
            </w:r>
          </w:p>
        </w:tc>
        <w:tc>
          <w:tcPr>
            <w:tcW w:w="2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 current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Other accrued liabilities</w:t>
            </w:r>
          </w:p>
        </w:tc>
        <w:tc>
          <w:tcPr>
            <w:tcW w:w="5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62</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 of cash flow hedging relationships on Accumulated other comprehensive income (loss) and on the Condensed Consolidated Statement of Operations for the quarters ended March 31, 2021 and 2020 are presented in the table below. The amounts of gain or loss are attributable to foreign exchange contract activity and are generally recorded as a component of Product sales when reclassified from Accumulated other comprehensive income (loss).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recorded in Accumulated other comprehensive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7"/>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loss reclassified from Accumulated other comprehensive loss into Product sales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(14)</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we have €500 million of euro-denominated long-term debt outstanding, which qualifies as a net investment hedge against our investments in European businesses, which is deemed to be effective.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Assuming current market conditions continue, $22 million of pre-tax losses is expected to be reclassified from Accumulated other comprehensive loss into Product sales to reflect the fixed prices obtained from foreign exchange hedging within the next 12 months. At March 31, 2021, all derivative contracts accounted for as cash flow hedges will mature by January 2028.</w:t>
      </w:r>
    </w:p>
    <w:p>
      <w:pPr>
        <w:spacing w:after="0" w:line="76"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effect of derivatives not designated as hedging instruments within Other income, net, on the Condensed Consolidated Statement of Operations was as follows:</w:t>
      </w: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Quarter Ended March 31,</w:t>
            </w:r>
          </w:p>
        </w:tc>
        <w:tc>
          <w:tcPr>
            <w:tcW w:w="480" w:type="dxa"/>
            <w:vAlign w:val="bottom"/>
            <w:tcBorders>
              <w:bottom w:val="single" w:sz="8" w:color="auto"/>
            </w:tcBorders>
          </w:tcPr>
          <w:p>
            <w:pPr>
              <w:spacing w:after="0"/>
              <w:rPr>
                <w:sz w:val="16"/>
                <w:szCs w:val="16"/>
                <w:color w:val="auto"/>
              </w:rPr>
            </w:pPr>
          </w:p>
        </w:tc>
      </w:tr>
      <w:tr>
        <w:trPr>
          <w:trHeight w:val="18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231"/>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1160" w:type="dxa"/>
            <w:vAlign w:val="bottom"/>
            <w:tcBorders>
              <w:bottom w:val="single" w:sz="8" w:color="auto"/>
            </w:tcBorders>
            <w:shd w:val="clear" w:color="auto" w:fill="CCEEFF"/>
          </w:tcPr>
          <w:p>
            <w:pPr>
              <w:jc w:val="right"/>
              <w:ind w:right="96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18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accordance with the provisions of ASC 820, the following tables provide the valuation hierarchy classification of assets and liabilities that are carried at fair value and measured on a recurring basis in our Condensed Consolidated Balance Sheet as of March 31, 2021 and December 31, 2020:</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2021</w:t>
            </w:r>
          </w:p>
        </w:tc>
        <w:tc>
          <w:tcPr>
            <w:tcW w:w="1380" w:type="dxa"/>
            <w:vAlign w:val="bottom"/>
            <w:tcBorders>
              <w:bottom w:val="single" w:sz="8" w:color="auto"/>
            </w:tcBorders>
          </w:tcPr>
          <w:p>
            <w:pPr>
              <w:spacing w:after="0"/>
              <w:rPr>
                <w:sz w:val="16"/>
                <w:szCs w:val="16"/>
                <w:color w:val="auto"/>
              </w:rPr>
            </w:pPr>
          </w:p>
        </w:tc>
      </w:tr>
      <w:tr>
        <w:trPr>
          <w:trHeight w:val="186"/>
        </w:trPr>
        <w:tc>
          <w:tcPr>
            <w:tcW w:w="56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ind w:left="520"/>
              <w:spacing w:after="0"/>
              <w:rPr>
                <w:sz w:val="20"/>
                <w:szCs w:val="20"/>
                <w:color w:val="auto"/>
              </w:rPr>
            </w:pPr>
            <w:r>
              <w:rPr>
                <w:rFonts w:ascii="Arial" w:cs="Arial" w:eastAsia="Arial" w:hAnsi="Arial"/>
                <w:sz w:val="14"/>
                <w:szCs w:val="14"/>
                <w:b w:val="1"/>
                <w:bCs w:val="1"/>
                <w:color w:val="auto"/>
                <w:w w:val="88"/>
              </w:rPr>
              <w:t>Level 1</w:t>
            </w:r>
          </w:p>
        </w:tc>
        <w:tc>
          <w:tcPr>
            <w:tcW w:w="1900" w:type="dxa"/>
            <w:vAlign w:val="bottom"/>
          </w:tcPr>
          <w:p>
            <w:pPr>
              <w:ind w:left="980"/>
              <w:spacing w:after="0"/>
              <w:rPr>
                <w:sz w:val="20"/>
                <w:szCs w:val="20"/>
                <w:color w:val="auto"/>
              </w:rPr>
            </w:pPr>
            <w:r>
              <w:rPr>
                <w:rFonts w:ascii="Arial" w:cs="Arial" w:eastAsia="Arial" w:hAnsi="Arial"/>
                <w:sz w:val="14"/>
                <w:szCs w:val="14"/>
                <w:b w:val="1"/>
                <w:bCs w:val="1"/>
                <w:color w:val="auto"/>
              </w:rPr>
              <w:t>Level 2</w:t>
            </w: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Recurring fair value measurements: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879</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b w:val="1"/>
                <w:bCs w:val="1"/>
                <w:color w:val="auto"/>
              </w:rPr>
              <w:t>813</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66</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ind w:left="780"/>
              <w:spacing w:after="0"/>
              <w:rPr>
                <w:sz w:val="20"/>
                <w:szCs w:val="20"/>
                <w:color w:val="auto"/>
              </w:rPr>
            </w:pPr>
            <w:r>
              <w:rPr>
                <w:rFonts w:ascii="Arial" w:cs="Arial" w:eastAsia="Arial" w:hAnsi="Arial"/>
                <w:sz w:val="18"/>
                <w:szCs w:val="18"/>
                <w:b w:val="1"/>
                <w:bCs w:val="1"/>
                <w:color w:val="auto"/>
              </w:rPr>
              <w:t>—</w:t>
            </w: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1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liabilities</w:t>
            </w:r>
          </w:p>
        </w:tc>
        <w:tc>
          <w:tcPr>
            <w:tcW w:w="1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r>
      <w:tr>
        <w:trPr>
          <w:trHeight w:val="547"/>
        </w:trPr>
        <w:tc>
          <w:tcPr>
            <w:tcW w:w="4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8"/>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1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14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881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773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1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6"/>
        </w:trPr>
        <w:tc>
          <w:tcPr>
            <w:tcW w:w="4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liabilities</w:t>
            </w:r>
          </w:p>
        </w:tc>
        <w:tc>
          <w:tcPr>
            <w:tcW w:w="1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877"/>
        </w:trPr>
        <w:tc>
          <w:tcPr>
            <w:tcW w:w="4140" w:type="dxa"/>
            <w:vAlign w:val="bottom"/>
          </w:tcPr>
          <w:p>
            <w:pPr>
              <w:spacing w:after="0"/>
              <w:rPr>
                <w:sz w:val="24"/>
                <w:szCs w:val="24"/>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Valuation Techniques. </w:t>
      </w:r>
      <w:r>
        <w:rPr>
          <w:rFonts w:ascii="Arial" w:cs="Arial" w:eastAsia="Arial" w:hAnsi="Arial"/>
          <w:sz w:val="18"/>
          <w:szCs w:val="18"/>
          <w:color w:val="auto"/>
        </w:rPr>
        <w:t>Our available-for-sale securities include equity investments that are traded in active markets, either domestically or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w:t>
      </w:r>
    </w:p>
    <w:p>
      <w:pPr>
        <w:spacing w:after="0" w:line="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March 31, 2021,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March 31, 2021 and December 31,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5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20" w:type="dxa"/>
            <w:vAlign w:val="bottom"/>
          </w:tcPr>
          <w:p>
            <w:pPr>
              <w:jc w:val="right"/>
              <w:ind w:right="338"/>
              <w:spacing w:after="0" w:line="135"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1"/>
                <w:szCs w:val="11"/>
                <w:color w:val="auto"/>
              </w:rPr>
            </w:pPr>
          </w:p>
        </w:tc>
        <w:tc>
          <w:tcPr>
            <w:tcW w:w="860" w:type="dxa"/>
            <w:vAlign w:val="bottom"/>
          </w:tcPr>
          <w:p>
            <w:pPr>
              <w:jc w:val="center"/>
              <w:ind w:right="396"/>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338"/>
              <w:spacing w:after="0" w:line="135"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1"/>
                <w:szCs w:val="11"/>
                <w:color w:val="auto"/>
              </w:rPr>
            </w:pPr>
          </w:p>
        </w:tc>
        <w:tc>
          <w:tcPr>
            <w:tcW w:w="1020" w:type="dxa"/>
            <w:vAlign w:val="bottom"/>
          </w:tcPr>
          <w:p>
            <w:pPr>
              <w:jc w:val="right"/>
              <w:ind w:right="436"/>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313</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(31,200)</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(38,615)</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liabilities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at March 31, 2021 and December 31, 2020:</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March 31, 2021</w:t>
            </w:r>
          </w:p>
        </w:tc>
        <w:tc>
          <w:tcPr>
            <w:tcW w:w="1380" w:type="dxa"/>
            <w:vAlign w:val="bottom"/>
            <w:tcBorders>
              <w:bottom w:val="single" w:sz="8" w:color="auto"/>
            </w:tcBorders>
          </w:tcPr>
          <w:p>
            <w:pPr>
              <w:spacing w:after="0"/>
              <w:rPr>
                <w:sz w:val="16"/>
                <w:szCs w:val="16"/>
                <w:color w:val="auto"/>
              </w:rPr>
            </w:pPr>
          </w:p>
        </w:tc>
      </w:tr>
      <w:tr>
        <w:trPr>
          <w:trHeight w:val="186"/>
        </w:trPr>
        <w:tc>
          <w:tcPr>
            <w:tcW w:w="56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ind w:left="520"/>
              <w:spacing w:after="0"/>
              <w:rPr>
                <w:sz w:val="20"/>
                <w:szCs w:val="20"/>
                <w:color w:val="auto"/>
              </w:rPr>
            </w:pPr>
            <w:r>
              <w:rPr>
                <w:rFonts w:ascii="Arial" w:cs="Arial" w:eastAsia="Arial" w:hAnsi="Arial"/>
                <w:sz w:val="14"/>
                <w:szCs w:val="14"/>
                <w:b w:val="1"/>
                <w:bCs w:val="1"/>
                <w:color w:val="auto"/>
                <w:w w:val="92"/>
              </w:rPr>
              <w:t>Level 1</w:t>
            </w:r>
          </w:p>
        </w:tc>
        <w:tc>
          <w:tcPr>
            <w:tcW w:w="1900" w:type="dxa"/>
            <w:vAlign w:val="bottom"/>
          </w:tcPr>
          <w:p>
            <w:pPr>
              <w:ind w:left="960"/>
              <w:spacing w:after="0"/>
              <w:rPr>
                <w:sz w:val="20"/>
                <w:szCs w:val="20"/>
                <w:color w:val="auto"/>
              </w:rPr>
            </w:pPr>
            <w:r>
              <w:rPr>
                <w:rFonts w:ascii="Arial" w:cs="Arial" w:eastAsia="Arial" w:hAnsi="Arial"/>
                <w:sz w:val="14"/>
                <w:szCs w:val="14"/>
                <w:b w:val="1"/>
                <w:bCs w:val="1"/>
                <w:color w:val="auto"/>
              </w:rPr>
              <w:t>Level 2</w:t>
            </w: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Level 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303</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303</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320" w:type="dxa"/>
            <w:vAlign w:val="bottom"/>
          </w:tcPr>
          <w:p>
            <w:pPr>
              <w:spacing w:after="0"/>
              <w:rPr>
                <w:sz w:val="19"/>
                <w:szCs w:val="19"/>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340" w:type="dxa"/>
            <w:vAlign w:val="bottom"/>
          </w:tcPr>
          <w:p>
            <w:pPr>
              <w:spacing w:after="0"/>
              <w:rPr>
                <w:sz w:val="19"/>
                <w:szCs w:val="19"/>
                <w:color w:val="auto"/>
              </w:rPr>
            </w:pPr>
          </w:p>
        </w:tc>
        <w:tc>
          <w:tcPr>
            <w:tcW w:w="1040" w:type="dxa"/>
            <w:vAlign w:val="bottom"/>
          </w:tcPr>
          <w:p>
            <w:pPr>
              <w:jc w:val="center"/>
              <w:ind w:left="612"/>
              <w:spacing w:after="0"/>
              <w:rPr>
                <w:sz w:val="20"/>
                <w:szCs w:val="20"/>
                <w:color w:val="auto"/>
              </w:rPr>
            </w:pPr>
            <w:r>
              <w:rPr>
                <w:rFonts w:ascii="Arial" w:cs="Arial" w:eastAsia="Arial" w:hAnsi="Arial"/>
                <w:sz w:val="18"/>
                <w:szCs w:val="18"/>
                <w:b w:val="1"/>
                <w:bCs w:val="1"/>
                <w:color w:val="auto"/>
                <w:w w:val="93"/>
              </w:rPr>
              <w:t>(74)</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(35,633)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(35,559)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12"/>
              <w:spacing w:after="0"/>
              <w:rPr>
                <w:sz w:val="20"/>
                <w:szCs w:val="20"/>
                <w:color w:val="auto"/>
              </w:rPr>
            </w:pPr>
            <w:r>
              <w:rPr>
                <w:rFonts w:ascii="Arial" w:cs="Arial" w:eastAsia="Arial" w:hAnsi="Arial"/>
                <w:sz w:val="18"/>
                <w:szCs w:val="18"/>
                <w:b w:val="1"/>
                <w:bCs w:val="1"/>
                <w:color w:val="auto"/>
                <w:w w:val="93"/>
              </w:rPr>
              <w:t>(74)</w:t>
            </w: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b w:val="1"/>
                <w:bCs w:val="1"/>
                <w:color w:val="auto"/>
                <w:w w:val="99"/>
              </w:rPr>
              <w:t>—</w:t>
            </w:r>
          </w:p>
        </w:tc>
      </w:tr>
      <w:tr>
        <w:trPr>
          <w:trHeight w:val="614"/>
        </w:trPr>
        <w:tc>
          <w:tcPr>
            <w:tcW w:w="5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19"/>
                <w:szCs w:val="19"/>
                <w:color w:val="auto"/>
              </w:rPr>
            </w:pPr>
          </w:p>
        </w:tc>
        <w:tc>
          <w:tcPr>
            <w:tcW w:w="1040" w:type="dxa"/>
            <w:vAlign w:val="bottom"/>
          </w:tcPr>
          <w:p>
            <w:pPr>
              <w:jc w:val="center"/>
              <w:ind w:left="612"/>
              <w:spacing w:after="0"/>
              <w:rPr>
                <w:sz w:val="20"/>
                <w:szCs w:val="20"/>
                <w:color w:val="auto"/>
              </w:rPr>
            </w:pPr>
            <w:r>
              <w:rPr>
                <w:rFonts w:ascii="Arial" w:cs="Arial" w:eastAsia="Arial" w:hAnsi="Arial"/>
                <w:sz w:val="18"/>
                <w:szCs w:val="18"/>
                <w:color w:val="auto"/>
                <w:w w:val="93"/>
              </w:rPr>
              <w:t>(87)</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3"/>
              </w:rPr>
              <w:t>(75)</w:t>
            </w: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Variable Interest Entities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therefore, been consolidated. The carrying amounts and classification of assets and liabilities for variable interest entities in our Condensed Consolidated Balance Sheet are as follows:</w:t>
      </w: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3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7,670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r>
      <w:tr>
        <w:trPr>
          <w:trHeight w:val="22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assets</w:t>
            </w:r>
          </w:p>
        </w:tc>
        <w:tc>
          <w:tcPr>
            <w:tcW w:w="3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853</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23"/>
        </w:trPr>
        <w:tc>
          <w:tcPr>
            <w:tcW w:w="4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8,523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b w:val="1"/>
                <w:bCs w:val="1"/>
                <w:color w:val="auto"/>
              </w:rPr>
              <w:t>8,372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7,365</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83</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liabilities</w:t>
            </w:r>
          </w:p>
        </w:tc>
        <w:tc>
          <w:tcPr>
            <w:tcW w:w="3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8,455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Guarantees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These instruments expire on various dates through 2024. Additional guarantees of project performance for which there is no stated value also remain outstanding. As of March 31, 2021 and December 31, 2020, the following guarantees were 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4"/>
          </w:tcPr>
          <w:p>
            <w:pPr>
              <w:ind w:left="96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6"/>
                <w:szCs w:val="16"/>
                <w:color w:val="auto"/>
              </w:rPr>
            </w:pPr>
          </w:p>
        </w:tc>
        <w:tc>
          <w:tcPr>
            <w:tcW w:w="3140" w:type="dxa"/>
            <w:vAlign w:val="bottom"/>
            <w:gridSpan w:val="3"/>
          </w:tcPr>
          <w:p>
            <w:pPr>
              <w:jc w:val="right"/>
              <w:ind w:right="103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Maximum Potential</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Carrying Amount of</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1"/>
              <w:spacing w:after="0" w:line="135" w:lineRule="exact"/>
              <w:rPr>
                <w:sz w:val="20"/>
                <w:szCs w:val="20"/>
                <w:color w:val="auto"/>
              </w:rPr>
            </w:pPr>
            <w:r>
              <w:rPr>
                <w:rFonts w:ascii="Arial" w:cs="Arial" w:eastAsia="Arial" w:hAnsi="Arial"/>
                <w:sz w:val="14"/>
                <w:szCs w:val="14"/>
                <w:b w:val="1"/>
                <w:bCs w:val="1"/>
                <w:color w:val="auto"/>
              </w:rPr>
              <w:t>Maximum Potential</w:t>
            </w:r>
          </w:p>
        </w:tc>
        <w:tc>
          <w:tcPr>
            <w:tcW w:w="2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Carrying Amount of</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Payment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Liability</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Payment</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aerospace financing arrangements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314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Third party guarantees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379</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386</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is $144 million and $142 million at March 31, 2021 and December 31, 2020, respectively.</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$118 million and $120 million at March 31, 2021 and December 31, 2020, respectively. For additional information regarding the environmental indemnifications, see “Note 17: Commitments and Contingencies.”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 The changes in the carrying amount of service and product warranties and product performance guarantees for the quarters ended March 31, 2021 and 2020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113</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financial condition, results of operations, or liquidity.</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At March 31, 2021 and December 31, 2020, we had $834 million and $835 million, respectively, reserved for environmental remediation.</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Commercial Aerospace Financing and Other Commitments. </w:t>
      </w:r>
      <w:r>
        <w:rPr>
          <w:rFonts w:ascii="Arial" w:cs="Arial" w:eastAsia="Arial" w:hAnsi="Arial"/>
          <w:sz w:val="17"/>
          <w:szCs w:val="17"/>
          <w:color w:val="auto"/>
        </w:rPr>
        <w:t>We had commercial aerospace financing commitments and other contractual commitments</w:t>
      </w:r>
      <w:r>
        <w:rPr>
          <w:rFonts w:ascii="Arial" w:cs="Arial" w:eastAsia="Arial" w:hAnsi="Arial"/>
          <w:sz w:val="17"/>
          <w:szCs w:val="17"/>
          <w:b w:val="1"/>
          <w:bCs w:val="1"/>
          <w:color w:val="auto"/>
        </w:rPr>
        <w:t xml:space="preserve"> </w:t>
      </w:r>
      <w:r>
        <w:rPr>
          <w:rFonts w:ascii="Arial" w:cs="Arial" w:eastAsia="Arial" w:hAnsi="Arial"/>
          <w:sz w:val="17"/>
          <w:szCs w:val="17"/>
          <w:color w:val="auto"/>
        </w:rPr>
        <w:t>of approximately $13.9 billion and $13.4 billion as of March 31, 2021 and December 31, 2020,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Our financing commitments with customers are contingent upon maintenance of certain levels of financial condition by the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the customers. As a result, the fair value of these financing commitments is expected to equal the amounts funded.</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which are considered in other contractual commitments, are being capitalized as collaboration intangible assets.</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Financing Arrangements. </w:t>
      </w:r>
      <w:r>
        <w:rPr>
          <w:rFonts w:ascii="Arial" w:cs="Arial" w:eastAsia="Arial" w:hAnsi="Arial"/>
          <w:sz w:val="18"/>
          <w:szCs w:val="18"/>
          <w:color w:val="auto"/>
        </w:rPr>
        <w:t>We have entered into standby letters of credit and surety bonds with financial institutions to meet various bid,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$4.4 billion as of March 31, 2021.</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Offset Obligations. </w:t>
      </w:r>
      <w:r>
        <w:rPr>
          <w:rFonts w:ascii="Arial" w:cs="Arial" w:eastAsia="Arial" w:hAnsi="Arial"/>
          <w:sz w:val="16"/>
          <w:szCs w:val="16"/>
          <w:color w:val="auto"/>
        </w:rPr>
        <w:t>We have entered into industrial cooperation agreements, sometimes in the form of either offset agreements or ICIP agreements, as a</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to obtaining orders for our products and services from certain customers in foreign countries. At March 31, 2021, the aggregate amount of our offset agreements, both agreed to and anticipated to be agreed to, had an outstanding notional value of approximately $11.0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5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Government Oversight. </w:t>
      </w:r>
      <w:r>
        <w:rPr>
          <w:rFonts w:ascii="Arial" w:cs="Arial" w:eastAsia="Arial" w:hAnsi="Arial"/>
          <w:sz w:val="16"/>
          <w:szCs w:val="16"/>
          <w:color w:val="auto"/>
        </w:rPr>
        <w:t>In the ordinary course of business, the Company and its subsidiaries and our properties are subject to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governmental 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w:t>
      </w:r>
      <w:r>
        <w:rPr>
          <w:rFonts w:ascii="Arial" w:cs="Arial" w:eastAsia="Arial" w:hAnsi="Arial"/>
          <w:sz w:val="16"/>
          <w:szCs w:val="16"/>
          <w:color w:val="212529"/>
        </w:rPr>
        <w:t>Agencies that oversee contract performance include: the Defense Contract</w:t>
      </w:r>
      <w:r>
        <w:rPr>
          <w:rFonts w:ascii="Arial" w:cs="Arial" w:eastAsia="Arial" w:hAnsi="Arial"/>
          <w:sz w:val="16"/>
          <w:szCs w:val="16"/>
          <w:color w:val="auto"/>
        </w:rPr>
        <w:t xml:space="preserve"> </w:t>
      </w:r>
      <w:r>
        <w:rPr>
          <w:rFonts w:ascii="Arial" w:cs="Arial" w:eastAsia="Arial" w:hAnsi="Arial"/>
          <w:sz w:val="16"/>
          <w:szCs w:val="16"/>
          <w:color w:val="212529"/>
        </w:rPr>
        <w:t>Audit Agency (DCAA), the Defense Contract Management Agency (DCMA), the Inspectors General of the U.S. Department of Defense (DoD) and other departments and agencies, the Government Accountability Office (GAO), the Department of Justice (DOJ), and Congressional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12529"/>
        </w:rPr>
        <w:t xml:space="preserve">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w:t>
      </w:r>
      <w:r>
        <w:rPr>
          <w:rFonts w:ascii="Arial" w:cs="Arial" w:eastAsia="Arial" w:hAnsi="Arial"/>
          <w:sz w:val="16"/>
          <w:szCs w:val="16"/>
          <w:color w:val="000000"/>
        </w:rPr>
        <w:t>The U.S. government also reserves the right to debar a contractor from receiving new government contracts for fraudulent,</w:t>
      </w:r>
      <w:r>
        <w:rPr>
          <w:rFonts w:ascii="Arial" w:cs="Arial" w:eastAsia="Arial" w:hAnsi="Arial"/>
          <w:sz w:val="16"/>
          <w:szCs w:val="16"/>
          <w:color w:val="212529"/>
        </w:rPr>
        <w:t xml:space="preserve"> </w:t>
      </w:r>
      <w:r>
        <w:rPr>
          <w:rFonts w:ascii="Arial" w:cs="Arial" w:eastAsia="Arial" w:hAnsi="Arial"/>
          <w:sz w:val="16"/>
          <w:szCs w:val="16"/>
          <w:color w:val="000000"/>
        </w:rPr>
        <w:t xml:space="preserve">criminal or other seriously improper conduct. The U.S. government could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w:t>
      </w:r>
      <w:r>
        <w:rPr>
          <w:rFonts w:ascii="Arial" w:cs="Arial" w:eastAsia="Arial" w:hAnsi="Arial"/>
          <w:sz w:val="16"/>
          <w:szCs w:val="16"/>
          <w:color w:val="212529"/>
        </w:rPr>
        <w:t>Our final allowable incurred costs for each year are also subject to audit and have, from time to time,</w:t>
      </w:r>
      <w:r>
        <w:rPr>
          <w:rFonts w:ascii="Arial" w:cs="Arial" w:eastAsia="Arial" w:hAnsi="Arial"/>
          <w:sz w:val="16"/>
          <w:szCs w:val="16"/>
          <w:color w:val="000000"/>
        </w:rPr>
        <w:t xml:space="preserve"> </w:t>
      </w:r>
      <w:r>
        <w:rPr>
          <w:rFonts w:ascii="Arial" w:cs="Arial" w:eastAsia="Arial" w:hAnsi="Arial"/>
          <w:sz w:val="16"/>
          <w:szCs w:val="16"/>
          <w:color w:val="212529"/>
        </w:rPr>
        <w:t xml:space="preserve">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w:t>
      </w:r>
      <w:r>
        <w:rPr>
          <w:rFonts w:ascii="Arial" w:cs="Arial" w:eastAsia="Arial" w:hAnsi="Arial"/>
          <w:sz w:val="16"/>
          <w:szCs w:val="16"/>
          <w:color w:val="000000"/>
        </w:rPr>
        <w:t>In addition, we</w:t>
      </w:r>
      <w:r>
        <w:rPr>
          <w:rFonts w:ascii="Arial" w:cs="Arial" w:eastAsia="Arial" w:hAnsi="Arial"/>
          <w:sz w:val="16"/>
          <w:szCs w:val="16"/>
          <w:color w:val="212529"/>
        </w:rPr>
        <w:t xml:space="preserve"> </w:t>
      </w:r>
      <w:r>
        <w:rPr>
          <w:rFonts w:ascii="Arial" w:cs="Arial" w:eastAsia="Arial" w:hAnsi="Arial"/>
          <w:sz w:val="16"/>
          <w:szCs w:val="16"/>
          <w:color w:val="000000"/>
        </w:rPr>
        <w:t>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financial condition, results of operations or liquidity, either individually or in the aggregate.</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The Company and its subsidiaries are subject to various contract pricing disputes, government investigations and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jurisdictions, updates to certain of which are set forth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in April 2019, a Divisional Administrative Contracting Officer (DACO) of the United States DCMA asserted a claim against Pratt &amp; Whitney to recover overpayments of approximately $1.73 billion plus interest ($675 million at March 31, 2021).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in December 2013, a DCMA DACO asserted a claim against Pratt &amp; Whitney to recover overpayments of approximately $177 million plus interest ($112 million at March 31, 2021).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The parties concluded post-hearing briefing in January 2020, and now await a decision from the ASBCA. We continue to believe that the claim is without merit. In December 2018, a DCMA DACO issued a second claim against Pratt &amp; Whitney that similarly alleges that its method of determining the cost of collaborator parts does not comply with the CAS for calendar years 2013 through 2017. This second claim demands payment of $269 million plus interest ($72 million at March 31, 2021), which we also believe is without merit and which Pratt &amp; Whitney appealed to the ASBCA in January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Thales-Raytheon Systems Matter</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disclosed, in 2019, Raytheon Company received a subpoena from the Securities and Exchange Commission (SEC) seeking information in connection with an investigation into whether there were improper payments made by Thales-Raytheon Systems (TRS) or anyone acting on their behalf in connection with TRS or Raytheon Company contracts in certain Middle East countries since 2014. In the first quarter of 2020, the DOJ advised Raytheon Company it had opened a parallel investigation. In the third quarter of 2020, Raytheon Company received an additional subpoena from the SEC, seeking information and documents as part of its ongoing investigation. Raytheon Company maintains a rigorous anti-corruption compliance program, is cooperating fully with the SEC’s inquiry, and is examining whether there has been any conduct that is in violation of Raytheon Company policy. At this time, the Company is unable to predict the outcome of the SEC’s or DOJ’s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inquiry. Based on the information available to date, however, we do not believe the results of this inquiry will have a material adverse effect on our financial condition, results of operations or liquidity.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 Investigation, Contract Pricing Disputes and Related Civil Litigation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Company’s Missiles</w:t>
      </w:r>
    </w:p>
    <w:p>
      <w:pPr>
        <w:jc w:val="both"/>
        <w:ind w:firstLine="8"/>
        <w:spacing w:after="0" w:line="288" w:lineRule="auto"/>
        <w:tabs>
          <w:tab w:leader="none" w:pos="197"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Defense business (RMD) since 2009. The investigation includes potential civil defective pricing claims for three RMD contracts entered into between 2011 and 2013. As part of the same investigation, on March 24, 2021, the Company received a second criminal subpoena from the DOJ seeking documents relating to a different RMD contract entered into in 2017. We are cooperating fully with the DOJ’s ongoing investigation. Although we believe we have defenses to the potential claims, the Company has determined that there is a meaningful risk of civil liability for damages, interest and potential penalties. At this time, the Company is unable to predict either the outcome of the criminal investigation or the outcome of any potential civil claims based on facts revealed in, or related to, the investigation. Based on the information available to date, however, we do not believe the results of the investigation or of any potential civil litigation will have a material adverse effect on our financial condition, results of operations or liquidity.</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Four shareholder lawsuits were filed against the Company after the DOJ investigation was first disclosed. A putative securities class action lawsuit was filed in the United States District Court for the District of Arizona against the Company and certain of its executives alleging that the defendants violated federal securities laws by making material misstatements in regulatory filings regarding internal controls over financial reporting in RMD. Three shareholder derivative lawsuits were filed in the United States District Court for the District of Delaware against the former Raytheon Company Board of Directors, the Company and certain of its executives, each alleging that defendants violated federal securities laws and breached their fiduciary duties by engaging in improper accounting practices, failing to implement sufficient internal financial and compliance controls, and making a series of false and misleading statements in regulatory filings. We believe that each of these lawsuits lacks merit.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Darnis, et al.</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August 12, 2020, several former employees of UTC or its subsidiaries filed a putative class action complaint in the United States District Court for the District of Connecticut against the Company, Otis, Carrier, the former members of the UTC Board of Directors, and the members of the Carrier and Otis Boards of Directors (Geraud Darnis, et al. v. Raytheon Technologies Corporation, et al.). The complaint challenges the method by which UTC equity awards were converted to Company, Otis, and Carrier equity awards following the separation of UTC into three independent, publicly-traded companies on April 3, 2020. The complaint claims that the defendants are liable for breach of certain equity compensation plans and for breach of fiduciary duty, and also asserts claims under certain provisions of the Employee Retirement Income Security Act of 1974 (ERISA). We believe that the Company has meritorious defenses to these claims. At this time, the Company is unable to predict the outcome, or the possible range of loss, if any, which could result from this action.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Where appropriate, we have recorded loss contingency accruals for the above-referenced matters, and the amount in aggregate is not material.</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As described in “Note 16: Guarantees,” we extend performance and operating cost guarantees beyond our normal warranty and service policies for</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Accumulated Other Comprehensive Loss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changes in each component of Accumulated other comprehensive loss, net of tax for the quarters ended March 31, 2021 and 2020 is provided below:</w:t>
      </w:r>
    </w:p>
    <w:tbl>
      <w:tblPr>
        <w:tblLayout w:type="fixed"/>
        <w:tblInd w:w="0" w:type="dxa"/>
        <w:tblCellMar>
          <w:top w:w="0" w:type="dxa"/>
          <w:left w:w="0" w:type="dxa"/>
          <w:bottom w:w="0" w:type="dxa"/>
          <w:right w:w="0" w:type="dxa"/>
        </w:tblCellMar>
      </w:tblPr>
      <w:tr>
        <w:trPr>
          <w:trHeight w:val="144"/>
        </w:trPr>
        <w:tc>
          <w:tcPr>
            <w:tcW w:w="3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4"/>
              </w:rPr>
              <w:t>Foreign Currency</w:t>
            </w:r>
          </w:p>
        </w:tc>
        <w:tc>
          <w:tcPr>
            <w:tcW w:w="220" w:type="dxa"/>
            <w:vAlign w:val="bottom"/>
          </w:tcPr>
          <w:p>
            <w:pPr>
              <w:spacing w:after="0"/>
              <w:rPr>
                <w:sz w:val="12"/>
                <w:szCs w:val="12"/>
                <w:color w:val="auto"/>
              </w:rPr>
            </w:pPr>
          </w:p>
        </w:tc>
        <w:tc>
          <w:tcPr>
            <w:tcW w:w="1400" w:type="dxa"/>
            <w:vAlign w:val="bottom"/>
          </w:tcPr>
          <w:p>
            <w:pPr>
              <w:jc w:val="center"/>
              <w:ind w:right="117"/>
              <w:spacing w:after="0" w:line="145" w:lineRule="exact"/>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2"/>
                <w:szCs w:val="12"/>
                <w:color w:val="auto"/>
              </w:rPr>
            </w:pPr>
          </w:p>
        </w:tc>
        <w:tc>
          <w:tcPr>
            <w:tcW w:w="14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Unrealized Hedging</w:t>
            </w:r>
          </w:p>
        </w:tc>
        <w:tc>
          <w:tcPr>
            <w:tcW w:w="200" w:type="dxa"/>
            <w:vAlign w:val="bottom"/>
          </w:tcPr>
          <w:p>
            <w:pPr>
              <w:spacing w:after="0"/>
              <w:rPr>
                <w:sz w:val="12"/>
                <w:szCs w:val="12"/>
                <w:color w:val="auto"/>
              </w:rPr>
            </w:pPr>
          </w:p>
        </w:tc>
        <w:tc>
          <w:tcPr>
            <w:tcW w:w="140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0"/>
              </w:rPr>
              <w:t>Pension and Post-</w:t>
            </w: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88"/>
        </w:trPr>
        <w:tc>
          <w:tcPr>
            <w:tcW w:w="39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Translation</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retirement Plans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(Losses) Gains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176"/>
        </w:trPr>
        <w:tc>
          <w:tcPr>
            <w:tcW w:w="396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10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reclassifications, net</w:t>
            </w:r>
          </w:p>
        </w:tc>
        <w:tc>
          <w:tcPr>
            <w:tcW w:w="10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pre-tax</w:t>
            </w: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64</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(expense)</w:t>
            </w:r>
          </w:p>
        </w:tc>
        <w:tc>
          <w:tcPr>
            <w:tcW w:w="10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(3,921)</w:t>
            </w:r>
          </w:p>
        </w:tc>
        <w:tc>
          <w:tcPr>
            <w:tcW w:w="0" w:type="dxa"/>
            <w:vAlign w:val="bottom"/>
          </w:tcPr>
          <w:p>
            <w:pPr>
              <w:spacing w:after="0"/>
              <w:rPr>
                <w:sz w:val="1"/>
                <w:szCs w:val="1"/>
                <w:color w:val="auto"/>
              </w:rPr>
            </w:pPr>
          </w:p>
        </w:tc>
      </w:tr>
      <w:tr>
        <w:trPr>
          <w:trHeight w:val="499"/>
        </w:trPr>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4"/>
              </w:rPr>
              <w:t>Foreign Currency</w:t>
            </w:r>
          </w:p>
        </w:tc>
        <w:tc>
          <w:tcPr>
            <w:tcW w:w="220" w:type="dxa"/>
            <w:vAlign w:val="bottom"/>
          </w:tcPr>
          <w:p>
            <w:pPr>
              <w:spacing w:after="0"/>
              <w:rPr>
                <w:sz w:val="24"/>
                <w:szCs w:val="24"/>
                <w:color w:val="auto"/>
              </w:rPr>
            </w:pPr>
          </w:p>
        </w:tc>
        <w:tc>
          <w:tcPr>
            <w:tcW w:w="140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4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Unrealized Hedging</w:t>
            </w:r>
          </w:p>
        </w:tc>
        <w:tc>
          <w:tcPr>
            <w:tcW w:w="200" w:type="dxa"/>
            <w:vAlign w:val="bottom"/>
          </w:tcPr>
          <w:p>
            <w:pPr>
              <w:spacing w:after="0"/>
              <w:rPr>
                <w:sz w:val="24"/>
                <w:szCs w:val="24"/>
                <w:color w:val="auto"/>
              </w:rPr>
            </w:pPr>
          </w:p>
        </w:tc>
        <w:tc>
          <w:tcPr>
            <w:tcW w:w="140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0"/>
              </w:rPr>
              <w:t>Pension and Post-</w:t>
            </w: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88"/>
        </w:trPr>
        <w:tc>
          <w:tcPr>
            <w:tcW w:w="39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Translation</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retirement Plans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(Losses) Gains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10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(1,445)</w:t>
            </w:r>
          </w:p>
        </w:tc>
        <w:tc>
          <w:tcPr>
            <w:tcW w:w="220" w:type="dxa"/>
            <w:vAlign w:val="bottom"/>
          </w:tcPr>
          <w:p>
            <w:pPr>
              <w:spacing w:after="0"/>
              <w:rPr>
                <w:sz w:val="15"/>
                <w:szCs w:val="15"/>
                <w:color w:val="auto"/>
              </w:rPr>
            </w:pPr>
          </w:p>
        </w:tc>
        <w:tc>
          <w:tcPr>
            <w:tcW w:w="1400" w:type="dxa"/>
            <w:vAlign w:val="bottom"/>
            <w:vMerge w:val="restart"/>
          </w:tcPr>
          <w:p>
            <w:pPr>
              <w:jc w:val="right"/>
              <w:ind w:right="37"/>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reclassifications, net</w:t>
            </w:r>
          </w:p>
        </w:tc>
        <w:tc>
          <w:tcPr>
            <w:tcW w:w="10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pre-tax</w:t>
            </w: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expense (benefit)</w:t>
            </w:r>
          </w:p>
        </w:tc>
        <w:tc>
          <w:tcPr>
            <w:tcW w:w="10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Financial Data</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for the periods presented herein, are classified into four principal segments: Collins Aerospace, Pratt &amp; Whitney, RIS and RMD. The segments are generally based on the management structure of the businesses and the grouping of similar operating companies, where each management organization has general operating autonomy over diversified products and services. The results of RIS and RMD reflect the period subsequent to the completion of the Raytheon Merger on April 3,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announced, effective January 1, 2021, we reorganized certain product areas of our Raytheon Intelligence &amp; Space (RIS) and Raytheon Missiles &amp; Defense (RMD) businesses to more efficiently leverage our capabilities. The amounts and presentation of our business segments, including intersegment activity, set forth in this Form 10-Q reflect this reorganization. The reorganization does not impact our previously reported consolidated balance sheets, statements of operations or statements of cash flows.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Raytheon Merger, we now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RIS and RMD segments. While the ultimate liability for pension and PRB costs under FAS and CAS is similar, the pattern of cost recognition is different. We generally expect to recover the related RIS and RMD pension and PRB liabilities over time through the pricing of our products and services to the U.S. government. Because the Collins Aerospace and Pratt &amp; Whitney segments generally record pension and PRB expense on a FAS basis, historical results were not impacted by this change in segment reporting.</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sales and operating profit by segment include inter-segment sales which are generally recorded at prices approximating those that the selling entity is able to obtain on external sales for our Collins Aerospace and Pratt &amp; Whitney segments, and at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cost-plus a specified fee, which may differ from what the selling entity would be able to obtain on sales to external customers, for our RIS and RMD segments. Results for the quarters ended March 31, 2021 and 2020 are as follows:</w:t>
      </w: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Operating Profit</w:t>
            </w:r>
          </w:p>
        </w:tc>
        <w:tc>
          <w:tcPr>
            <w:tcW w:w="244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14"/>
                <w:szCs w:val="14"/>
                <w:b w:val="1"/>
                <w:bCs w:val="1"/>
                <w:color w:val="auto"/>
              </w:rPr>
              <w:t>Operating Profit Margins</w:t>
            </w:r>
          </w:p>
        </w:tc>
      </w:tr>
      <w:tr>
        <w:trPr>
          <w:trHeight w:val="188"/>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4,370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6,438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1,246</w:t>
            </w:r>
          </w:p>
        </w:tc>
        <w:tc>
          <w:tcPr>
            <w:tcW w:w="138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7.2 %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4,030</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5,353</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475</w:t>
            </w:r>
          </w:p>
        </w:tc>
        <w:tc>
          <w:tcPr>
            <w:tcW w:w="1380" w:type="dxa"/>
            <w:vAlign w:val="bottom"/>
          </w:tcPr>
          <w:p>
            <w:pPr>
              <w:jc w:val="right"/>
              <w:ind w:right="215"/>
              <w:spacing w:after="0"/>
              <w:rPr>
                <w:sz w:val="20"/>
                <w:szCs w:val="20"/>
                <w:color w:val="auto"/>
              </w:rPr>
            </w:pPr>
            <w:r>
              <w:rPr>
                <w:rFonts w:ascii="Arial" w:cs="Arial" w:eastAsia="Arial" w:hAnsi="Arial"/>
                <w:sz w:val="18"/>
                <w:szCs w:val="18"/>
                <w:b w:val="1"/>
                <w:bCs w:val="1"/>
                <w:color w:val="auto"/>
              </w:rPr>
              <w:t>0.5 %</w:t>
            </w:r>
          </w:p>
        </w:tc>
        <w:tc>
          <w:tcPr>
            <w:tcW w:w="106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3,765</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10.3 %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3,793</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496</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13.1 %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15,958</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11,791</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1,218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1,721</w:t>
            </w:r>
          </w:p>
        </w:tc>
        <w:tc>
          <w:tcPr>
            <w:tcW w:w="138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7.6 %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29"/>
        </w:trPr>
        <w:tc>
          <w:tcPr>
            <w:tcW w:w="3920" w:type="dxa"/>
            <w:vAlign w:val="bottom"/>
          </w:tcPr>
          <w:p>
            <w:pPr>
              <w:ind w:left="20"/>
              <w:spacing w:after="0" w:line="230" w:lineRule="exact"/>
              <w:rPr>
                <w:sz w:val="20"/>
                <w:szCs w:val="20"/>
                <w:color w:val="auto"/>
              </w:rPr>
            </w:pPr>
            <w:r>
              <w:rPr>
                <w:rFonts w:ascii="Arial" w:cs="Arial" w:eastAsia="Arial" w:hAnsi="Arial"/>
                <w:sz w:val="18"/>
                <w:szCs w:val="18"/>
                <w:color w:val="auto"/>
              </w:rPr>
              <w:t>Eliminations and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9"/>
                <w:szCs w:val="19"/>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(25)</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Corporate expenses and other unallocated items </w:t>
            </w:r>
            <w:r>
              <w:rPr>
                <w:rFonts w:ascii="Arial" w:cs="Arial" w:eastAsia="Arial" w:hAnsi="Arial"/>
                <w:sz w:val="23"/>
                <w:szCs w:val="23"/>
                <w:color w:val="auto"/>
                <w:w w:val="94"/>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(130)</w:t>
            </w:r>
          </w:p>
        </w:tc>
        <w:tc>
          <w:tcPr>
            <w:tcW w:w="1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423</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(271)</w:t>
            </w:r>
          </w:p>
        </w:tc>
        <w:tc>
          <w:tcPr>
            <w:tcW w:w="1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30"/>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15,251</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11,360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1,013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1,295</w:t>
            </w:r>
          </w:p>
        </w:tc>
        <w:tc>
          <w:tcPr>
            <w:tcW w:w="13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6.6 %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11.4 %</w:t>
            </w:r>
          </w:p>
        </w:tc>
      </w:tr>
    </w:tbl>
    <w:p>
      <w:pPr>
        <w:spacing w:after="0" w:line="8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non-reportable business segments.</w:t>
      </w:r>
    </w:p>
    <w:p>
      <w:pPr>
        <w:spacing w:after="0" w:line="13" w:lineRule="exact"/>
        <w:rPr>
          <w:rFonts w:ascii="Arial" w:cs="Arial" w:eastAsia="Arial" w:hAnsi="Arial"/>
          <w:sz w:val="14"/>
          <w:szCs w:val="14"/>
          <w:color w:val="auto"/>
        </w:rPr>
      </w:pPr>
    </w:p>
    <w:p>
      <w:pPr>
        <w:ind w:left="340" w:hanging="332"/>
        <w:spacing w:after="0" w:line="255" w:lineRule="auto"/>
        <w:tabs>
          <w:tab w:leader="none" w:pos="349"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net expenses related to the U.S. Army’s Lower Tier Air and Missile Defense Sensor (LTAMDS) project of $58 million in the quarter ended March 31, 2021 are included in Corporate operating profit as they are not included in management’s evaluation of business segment results. No amounts were recorded in the quarter ended March 31, 2020.</w:t>
      </w:r>
    </w:p>
    <w:p>
      <w:pPr>
        <w:spacing w:after="0" w:line="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disaggregate our contracts from customers by geographic location based on customer location, by customer and by sales type. Our geographic location based on customer location uses end user customer location where known or practical to determine, or in instances where the end user customer is not known or not practical to determine, we utilize “ship to” location as the customer location. In addition, for our RIS and RMD segments, we disaggregate our contracts from customers by contract type. We believe these categories best depict how the nature, amount, timing and uncertainty of our revenue and cash flows are affected by economic factors. Historical results have been recast to reflect the presentation of this disaggregation.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geographic region for the quarters ended March 31, 2021 and 2020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800" w:type="dxa"/>
            <w:vAlign w:val="bottom"/>
          </w:tcPr>
          <w:p>
            <w:pPr>
              <w:jc w:val="center"/>
              <w:ind w:right="89"/>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4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w w:val="97"/>
              </w:rPr>
              <w:t>Raytheon</w:t>
            </w:r>
          </w:p>
        </w:tc>
        <w:tc>
          <w:tcPr>
            <w:tcW w:w="120" w:type="dxa"/>
            <w:vAlign w:val="bottom"/>
          </w:tcPr>
          <w:p>
            <w:pPr>
              <w:spacing w:after="0"/>
              <w:rPr>
                <w:sz w:val="11"/>
                <w:szCs w:val="11"/>
                <w:color w:val="auto"/>
              </w:rPr>
            </w:pPr>
          </w:p>
        </w:tc>
        <w:tc>
          <w:tcPr>
            <w:tcW w:w="74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Intelligence &amp;</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Space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6"/>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2,965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5,504</w:t>
            </w: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Asia Pacific</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405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793</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370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1,772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Middle East and</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Africa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1,079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626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327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2,147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Canada and All</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610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line="162" w:lineRule="exact"/>
              <w:rPr>
                <w:sz w:val="20"/>
                <w:szCs w:val="20"/>
                <w:color w:val="auto"/>
              </w:rPr>
            </w:pPr>
            <w:r>
              <w:rPr>
                <w:rFonts w:ascii="Arial" w:cs="Arial" w:eastAsia="Arial" w:hAnsi="Arial"/>
                <w:sz w:val="16"/>
                <w:szCs w:val="16"/>
                <w:color w:val="auto"/>
                <w:w w:val="94"/>
              </w:rPr>
              <w:t>Consolidated net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140"/>
              <w:spacing w:after="0"/>
              <w:rPr>
                <w:sz w:val="20"/>
                <w:szCs w:val="20"/>
                <w:color w:val="auto"/>
              </w:rPr>
            </w:pPr>
            <w:r>
              <w:rPr>
                <w:rFonts w:ascii="Arial" w:cs="Arial" w:eastAsia="Arial" w:hAnsi="Arial"/>
                <w:sz w:val="16"/>
                <w:szCs w:val="16"/>
                <w:color w:val="auto"/>
              </w:rPr>
              <w:t>sales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4,038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4,030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3,445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3,730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15,251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6,008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5,347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11,360</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Inter-segment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(715)</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line="162" w:lineRule="exact"/>
              <w:rPr>
                <w:sz w:val="20"/>
                <w:szCs w:val="20"/>
                <w:color w:val="auto"/>
              </w:rPr>
            </w:pPr>
            <w:r>
              <w:rPr>
                <w:rFonts w:ascii="Arial" w:cs="Arial" w:eastAsia="Arial" w:hAnsi="Arial"/>
                <w:sz w:val="16"/>
                <w:szCs w:val="16"/>
                <w:color w:val="auto"/>
              </w:rPr>
              <w:t>Business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3,793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15,251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customer for the quarters ended March 31, 2021 and 2020 are as follows: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Collins</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ind w:right="13"/>
              <w:spacing w:after="0" w:line="136" w:lineRule="exact"/>
              <w:rPr>
                <w:sz w:val="20"/>
                <w:szCs w:val="20"/>
                <w:color w:val="auto"/>
              </w:rPr>
            </w:pPr>
            <w:r>
              <w:rPr>
                <w:rFonts w:ascii="Arial" w:cs="Arial" w:eastAsia="Arial" w:hAnsi="Arial"/>
                <w:sz w:val="13"/>
                <w:szCs w:val="13"/>
                <w:b w:val="1"/>
                <w:bCs w:val="1"/>
                <w:color w:val="auto"/>
                <w:w w:val="91"/>
              </w:rPr>
              <w:t>Raytheon</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Collins</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(dollars in millions)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Aerospace</w:t>
            </w:r>
          </w:p>
        </w:tc>
        <w:tc>
          <w:tcPr>
            <w:tcW w:w="74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2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6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Other</w:t>
            </w:r>
          </w:p>
        </w:tc>
        <w:tc>
          <w:tcPr>
            <w:tcW w:w="8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Aerospace</w:t>
            </w:r>
          </w:p>
        </w:tc>
        <w:tc>
          <w:tcPr>
            <w:tcW w:w="76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7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28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90"/>
              </w:rPr>
              <w:t>Defense</w:t>
            </w:r>
          </w:p>
        </w:tc>
        <w:tc>
          <w:tcPr>
            <w:tcW w:w="6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6"/>
              </w:rPr>
              <w:t>Defense</w:t>
            </w:r>
          </w:p>
        </w:tc>
        <w:tc>
          <w:tcPr>
            <w:tcW w:w="7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U.S. government</w:t>
            </w: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1,222</w:t>
            </w:r>
          </w:p>
        </w:tc>
        <w:tc>
          <w:tcPr>
            <w:tcW w:w="26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1,262</w:t>
            </w:r>
          </w:p>
        </w:tc>
        <w:tc>
          <w:tcPr>
            <w:tcW w:w="36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2,900</w:t>
            </w: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2,357</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7,748</w:t>
            </w:r>
          </w:p>
        </w:tc>
        <w:tc>
          <w:tcPr>
            <w:tcW w:w="38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2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700" w:type="dxa"/>
            <w:vAlign w:val="bottom"/>
            <w:tcBorders>
              <w:top w:val="single" w:sz="8" w:color="auto"/>
            </w:tcBorders>
            <w:vMerge w:val="restart"/>
            <w:shd w:val="clear" w:color="auto" w:fill="CCEEFF"/>
          </w:tcPr>
          <w:p>
            <w:pPr>
              <w:ind w:left="280"/>
              <w:spacing w:after="0"/>
              <w:rPr>
                <w:sz w:val="20"/>
                <w:szCs w:val="20"/>
                <w:color w:val="auto"/>
              </w:rPr>
            </w:pPr>
            <w:r>
              <w:rPr>
                <w:rFonts w:ascii="Arial" w:cs="Arial" w:eastAsia="Arial" w:hAnsi="Arial"/>
                <w:sz w:val="14"/>
                <w:szCs w:val="14"/>
                <w:color w:val="auto"/>
              </w:rPr>
              <w:t>— $</w:t>
            </w:r>
          </w:p>
        </w:tc>
        <w:tc>
          <w:tcPr>
            <w:tcW w:w="660" w:type="dxa"/>
            <w:vAlign w:val="bottom"/>
            <w:tcBorders>
              <w:top w:val="single" w:sz="8" w:color="auto"/>
            </w:tcBorders>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(1)</w:t>
            </w:r>
          </w:p>
        </w:tc>
        <w:tc>
          <w:tcPr>
            <w:tcW w:w="3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Foreign military</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6"/>
                <w:szCs w:val="16"/>
                <w:color w:val="auto"/>
              </w:rPr>
              <w:t>sales through the</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6"/>
                <w:szCs w:val="16"/>
                <w:color w:val="auto"/>
              </w:rPr>
              <w:t>U.S. government</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242</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208</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805</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1,295</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271</w:t>
            </w:r>
          </w:p>
        </w:tc>
        <w:tc>
          <w:tcPr>
            <w:tcW w:w="4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4"/>
                <w:szCs w:val="14"/>
                <w:color w:val="auto"/>
              </w:rPr>
              <w:t>—</w:t>
            </w:r>
          </w:p>
        </w:tc>
        <w:tc>
          <w:tcPr>
            <w:tcW w:w="700" w:type="dxa"/>
            <w:vAlign w:val="bottom"/>
          </w:tcPr>
          <w:p>
            <w:pPr>
              <w:ind w:left="2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Foreign</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government direct</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sales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1,180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6"/>
                <w:szCs w:val="16"/>
                <w:color w:val="auto"/>
              </w:rPr>
              <w:t>aerospace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commercial</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2,531</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2,387</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5,028</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4,439</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3,699</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8,143</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3"/>
              </w:rPr>
              <w:t>Consolidated net</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4,030</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3,445</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15,251</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11,360</w:t>
            </w:r>
          </w:p>
        </w:tc>
        <w:tc>
          <w:tcPr>
            <w:tcW w:w="0" w:type="dxa"/>
            <w:vAlign w:val="bottom"/>
          </w:tcPr>
          <w:p>
            <w:pPr>
              <w:spacing w:after="0"/>
              <w:rPr>
                <w:sz w:val="1"/>
                <w:szCs w:val="1"/>
                <w:color w:val="auto"/>
              </w:rPr>
            </w:pP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Inter-segment</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332</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4,370</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4,030</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3,765</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3,793</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(707)</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15,251</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6,438</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sales type for the quarters ended March 31, 2021 and 2020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800" w:type="dxa"/>
            <w:vAlign w:val="bottom"/>
          </w:tcPr>
          <w:p>
            <w:pPr>
              <w:jc w:val="center"/>
              <w:ind w:right="90"/>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4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6"/>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right"/>
              <w:ind w:right="150"/>
              <w:spacing w:after="0" w:line="136" w:lineRule="exact"/>
              <w:rPr>
                <w:sz w:val="20"/>
                <w:szCs w:val="20"/>
                <w:color w:val="auto"/>
              </w:rPr>
            </w:pPr>
            <w:r>
              <w:rPr>
                <w:rFonts w:ascii="Arial" w:cs="Arial" w:eastAsia="Arial" w:hAnsi="Arial"/>
                <w:sz w:val="13"/>
                <w:szCs w:val="13"/>
                <w:b w:val="1"/>
                <w:bCs w:val="1"/>
                <w:color w:val="auto"/>
                <w:w w:val="97"/>
              </w:rPr>
              <w:t>Raytheon</w:t>
            </w:r>
          </w:p>
        </w:tc>
        <w:tc>
          <w:tcPr>
            <w:tcW w:w="100" w:type="dxa"/>
            <w:vAlign w:val="bottom"/>
          </w:tcPr>
          <w:p>
            <w:pPr>
              <w:spacing w:after="0"/>
              <w:rPr>
                <w:sz w:val="11"/>
                <w:szCs w:val="11"/>
                <w:color w:val="auto"/>
              </w:rPr>
            </w:pPr>
          </w:p>
        </w:tc>
        <w:tc>
          <w:tcPr>
            <w:tcW w:w="74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6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7"/>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right"/>
              <w:ind w:right="10"/>
              <w:spacing w:after="0" w:line="135" w:lineRule="exact"/>
              <w:rPr>
                <w:sz w:val="20"/>
                <w:szCs w:val="20"/>
                <w:color w:val="auto"/>
              </w:rPr>
            </w:pPr>
            <w:r>
              <w:rPr>
                <w:rFonts w:ascii="Arial" w:cs="Arial" w:eastAsia="Arial" w:hAnsi="Arial"/>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2,676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11,664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8,165</w:t>
            </w: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856</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1,607</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769</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355</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3,587</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4"/>
              </w:rPr>
              <w:t>Consolidated net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15,251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11,360</w:t>
            </w: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line="166" w:lineRule="exact"/>
              <w:rPr>
                <w:sz w:val="20"/>
                <w:szCs w:val="20"/>
                <w:color w:val="auto"/>
              </w:rPr>
            </w:pPr>
            <w:r>
              <w:rPr>
                <w:rFonts w:ascii="Arial" w:cs="Arial" w:eastAsia="Arial" w:hAnsi="Arial"/>
                <w:sz w:val="16"/>
                <w:szCs w:val="16"/>
                <w:color w:val="auto"/>
              </w:rPr>
              <w:t>Inter-segment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332</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(715)</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3,765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15,251</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RIS and RMD segment sales disaggregated by contract type for the quarter ended March 31, 2021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9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w w:val="93"/>
              </w:rPr>
              <w:t>Raytheon Missiles &amp;</w:t>
            </w:r>
          </w:p>
        </w:tc>
        <w:tc>
          <w:tcPr>
            <w:tcW w:w="0" w:type="dxa"/>
            <w:vAlign w:val="bottom"/>
          </w:tcPr>
          <w:p>
            <w:pPr>
              <w:spacing w:after="0"/>
              <w:rPr>
                <w:sz w:val="1"/>
                <w:szCs w:val="1"/>
                <w:color w:val="auto"/>
              </w:rPr>
            </w:pPr>
          </w:p>
        </w:tc>
      </w:tr>
      <w:tr>
        <w:trPr>
          <w:trHeight w:val="188"/>
        </w:trPr>
        <w:tc>
          <w:tcPr>
            <w:tcW w:w="79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Defense</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2,251</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Cost-type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1,974</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1,479</w:t>
            </w:r>
          </w:p>
        </w:tc>
        <w:tc>
          <w:tcPr>
            <w:tcW w:w="0" w:type="dxa"/>
            <w:vAlign w:val="bottom"/>
          </w:tcPr>
          <w:p>
            <w:pPr>
              <w:spacing w:after="0"/>
              <w:rPr>
                <w:sz w:val="1"/>
                <w:szCs w:val="1"/>
                <w:color w:val="auto"/>
              </w:rPr>
            </w:pPr>
          </w:p>
        </w:tc>
      </w:tr>
      <w:tr>
        <w:trPr>
          <w:trHeight w:val="217"/>
        </w:trPr>
        <w:tc>
          <w:tcPr>
            <w:tcW w:w="7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3,445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Remaining Performance Obligations (RPO)</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RPO represent the aggregate amount of total contract transaction price that is unsatisfied or partially unsatisfied. Total RPO was $147.4 billion and $150.1 billion as of March 31, 2021 and December 31, 2020, respectively. Of the total RPO as of March 31, 2021, we expect approximately 30% will be recognized as sales over the next 12 months. This percentage of RPO to be recognized as sales over the next 12 months depends on future developments, which are highly uncertain and cannot be predicted, including new information which may emerge concerning the scope, severity and duration of the COVID-19</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pandemic, as well as any worsening of the pandemic, the effect of mutating strains and whether additional outbreaks of the pandemic will continue to occur, actions to contain the pandemic’s spread or treat its impact, continued availability of vaccines, and their distribution, acceptance and efficacy, and governmental, business and individual personal actions taken in response to the pandemic, which may result in customer delays or order cancellations.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Accounting Pronouncements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2016, the Financial Accounting Standards Board (FASB) issued Accounting Standards Update (ASU) 2016-13, Financial Instruments - Credit Losses (Topic 326): Measurement of Credit Losses on Financial Instruments. This ASU and its related amendments (collectively, the Credit Loss Standard) modifies the impairment model to utilize an expected loss methodology in place of the incurred loss methodology for financial instruments, including trade receivables, contract assets and off-balance sheet credit exposures. The Credit Loss Standard requires consideration of a broader range of information to estimate expected credit losses, including historical information, current economic conditions and a reasonable forecast period. This ASU requires that the statement of operations reflect estimates of expected credit losses for newly recognized financial assets as well as changes in the estimate of expected credit losses that have taken place during the period, which may result in earlier recognition of certain losses. We adopted this standard effective January 1, 2020 utilizing a modified retrospective approach. A cumulative-effect non-cash adjustment to retained earnings as of January 1, 2020 was recorded in the amount of $59 million. The adoption of this standard did not have a material impact on the Company’s Condensed Consolidated Financial Statements.</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The amendments in this update remove certain exceptions of Topic 740 including the exception to the incremental approach for intraperiod tax allocation when there is a loss from continuing operations and income from other items; the exception to the requirement to recognize a deferred tax liability for equity method investments when a foreign subsidiary becomes an equity method investment; the exception to the ability to reverse a deferred tax liability for a foreign subsidiary when a foreign equity method investment becomes a subsidiary; and the exception to the general methodology for calculating income taxes in an interim period when a year-to-date loss exceeds the anticipated loss for the year. There are also additional areas of guidance related to franchise and other taxes partially based on income and the interim recognition of enactment of tax laws and rate changes. We adopted the new standard effective January 1, 2021. The adoption of this standard did not, and is not expected to, have an impact on the Company’s Condensed Consolidated Financial Statements.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new pronouncements issued but not effective until after March 31, 2021 are not expected to have a material impact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the unaudited condensed consolidated financial information of Raytheon Technologies for the quarters ended March 31, 2021 and 2020, PricewaterhouseCoopers LLP (PwC) reported that it has applied limited procedures in accordance with professional standards for a review of such information. However, its report dated April 27, 2021,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0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Raytheon Technologies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Interim Financial Information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reviewed the accompanying condensed consolidated balance sheet of Raytheon Technologies Corporation and its subsidiaries (the “Company”) as of March 31, 2021, and the related condensed consolidated statements of operations, of comprehensive income (loss), of changes in equity, and of cash flows for the three-month periods ended March 31, 2021 and 2020,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the Company as of December 31, 2020, and the related consolidated statements of operations, of comprehensive income (loss), of changes in equity and of cash flows for the year then ended (not presented herein), and in our report dated February 8, 2021, which included a paragraph describing a change in the manner of accounting for leases in the 2020 financial statements, we expressed an unqualified opinion on those consolidated financial statements. In our opinion, the information set forth in the accompanying condensed consolidated balance sheet as of December 31, 2020 is fairly stated, in all material respects, in relation to the consolidated balance sheet from which it has been derived.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global premier systems provider of high technology products and services to the aerospace and defense industries. On April 3, 2020, United Technologies Corporation (UTC) completed the separation of its business into three independent, publicly traded companies – UTC, Carrier Global Corporation (Carrier) and Otis Worldwide Corporation (Otis)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effective at 12:01 a.m., Eastern Time, on April 3, 2020. Immediately following the Separation Transactions and Distributions, on April 3, 2020, UTC and Raytheon Company completed their all-stock merger of equals transaction (the Raytheon Merger), pursuant to which Raytheon Company became a wholly-owned subsidiary of UTC and UTC was renamed Raytheon Technologies Corporation. As a result of these transactions, we now operate in four principal business segments: Collins Aerospace Systems (Collins Aerospace), Pratt &amp; Whitney, Raytheon Intelligence &amp; Space (RIS) and Raytheon Missiles &amp; Defense (RMD).</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UTC was determined to be the accounting acquirer in the Raytheon Merger, and, as a result, the financial statements of Raytheon Technologies include Raytheon Company’s financial position and results of operations for all periods subsequent to the completion of the Raytheon Merger on April 3, 2020. RIS and RMD follow a 4-4-5 fiscal calendar with a quarter end of April 4, 2021 while Collins Aerospace and Pratt &amp; Whitney continue to use a quarter calendar end of March 31, 2021. Throughout this Quarterly Report on Form 10-Q, when we refer to the quarter ended March 31 with respect to RIS or RMD, we are referring to their April 4, 2021 fiscal quarter end. The historical results of Carrier and Otis are presented as discontinued operations and, as such, have been excluded from both continuing operations and segment results for all periods presented. See “Note 3: Discontinued Operations” within Item 1 of this Form 10-Q for additional information. Throughout this Quarterly Report on Form 10-Q, unless otherwise indicated, amounts and activity are presented on a continuing operations basis.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or “Raytheon” mean Raytheon Company and its subsidiaries prior to the Raytheon Merger.</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status of significant factors affecting our business environment in 2021 is discussed below. For additional discussion, refer to the “Business Overview” section in Management’s Discussion and Analysis of Financial Condition and Results of Operations (MD&amp;A) in our 2020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Considerations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on our commercial aerospace spares contracts and certain service contracts in our defense business primarily at RIS,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Government legislation, policies and regulations, including regulations related to global warming, carbon footprint and fuel efficiency, can have a negative impact on our worldwide operations. Government and industry-driven safety and performance regulations, restrictions on aircraft engine noise and emissions, government imposed travel restrictions, and government procurement practices can impact our businesses.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Collins Aerospace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operations’ customers are covered under long-term aftermarket service agreements at both Collins Aerospace and Pratt &amp; Whitney, which are inclusive of both spare parts and services.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RIS, RMD, and the defense operations of Collins Aerospace and Pratt &amp; Whitney are affected by U.S. Department of Defense (DoD) budget and spending levels, changes in demand, changes in policy positions or priorities from a new U.S. Administration and the global political environment. Total sales to the U.S. government, excluding foreign military sales, were $7.7 billion and $2.5 billion for the quarters ended March 31, 2021 and 2020, or 51% and 22% of total net sales for those periods,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Impact of the COVID-19 Pandemic</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2020, the coronavirus disease 2019 (COVID-19) negatively impacted both the U.S. and global economy and our business and operations and the industries in which we operate. The continued disruption to air travel and commercial activities and the significant restrictions and limitations on businesses, particularly within the aerospace and commercial airline industries, have negatively impacted global supply, demand and distribution capabilities. In particular, the unprecedented decrease in air travel resulting from the COVID-19 pandemic has adversely affected our airline and airframer customers, and their demand for the products and services of our Collins Aerospace and Pratt &amp; Whitney businesses. We continue to monitor these trends and are working closely with our customers to actively mitigate costs and adjust production schedules to accommodate these declines in demand. Our RIS and RMD businesses, although experiencing minor impacts, have not experienced significant business disruptions as a result of the COVID-19 pandemic.</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Given the significant reduction in business and leisure passenger air travel, the number of planes temporarily grounded, and continued travel restrictions that have resulted from the ongoing COVID-19 pandemic, and the resulting impacts on our customers and their business activities, we expect our future operating results, particularly those of our Collins Aerospace and Pratt &amp; Whitney businesses, to continue to be negatively impacted when compared to pre-COVID-19 results. Our expectations regarding the COVID-19 pandemic and its potential financial impact are based on available information and assumptions that we believe are reasonable at this time; however, the actual financial impact is highly uncertain and subject to a wide range of factors and future developments. While we believe that the long-term outlook for the aerospace industry remains positive due to the fundamental drivers of air travel demand, there is significant uncertainty with respect to the point at which commercial air traffic capacity will return to and/or exceed pre-COVID-19 levels. While we have begun to see some indications that commercial air travel is recovering in certain areas of demand, other areas continue to lag. As a result, we continue to estimate that a full recovery may occur in 2023 or 2024. New information may emerge concerning the scope, severity and duration of the COVID-19 pandemic, as well as any worsening of the pandemic, the effect of mutating strains and whether additional outbreaks of the pandemic will continue to occur, actions to contain the pandemic’s spread or treat its impact, continued availability of vaccines, and their distribution, acceptance and efficacy, and governmental, business and individual personal actions taken in response to the pandemic (including restrictions and limitations on travel and transportation, and changes in leisure and business travel patterns and work environments) among others. Some of these actions and related impacts may be trends that continue in the future even after the pandemic no longer poses a significant public health risk.</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Coronavirus Aid, Relief, and Economic Security Act (CARES Act) contains numerous provisions which may impact us. We continue to refine our understanding of the impact of the CARES Act on our business, and ongoing government guidance related to COVID-19 that may be issued. In addition, Congress passed the American Rescue Plan Act of 2021 (ARPA) in March 2021, which included pension funding relief provisions. For further discussion, refer to the “FAS/CAS operating adjustment” subsection under the “Segment Review” section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Matters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 economic and political conditions, changes in raw material and commodity prices, interest rates, foreign currency exchange rates, energy costs, levels of air travel, the financial condition of commercial airlines, and the impact from natural disasters and weather conditions create uncertainties that could impact our business for the remainder of 2021. With regard to political conditions, in July 2019, the U.S. government suspended Turkey’s participation in the F-35 Joint Strike Fighter program because Turkey accepted delivery of the Russian-built S-400 air and missile defense system. The U.S. has imposed, and may impose additional, sanctions on Turkey as a result of this or other political disputes. Turkish companies supply us with components, some of which are sole-sourced, primarily in our aerospace operations for commercial and military engines and aerospace products. Depending upon the scope and timing of U.S. sanctions on Turkey and potential reciprocal actions, if any, such sanctions or actions could impact our sources of supply and could have a material adverse effect on our results of operations, cash flows or financial condition. In addition, in October 2020, the People’s Republic of China (China) announced that it may sanction RTC in connection with a possible Foreign Military Sale to Taiwan of six MS-110 Reconnaissance Pods and related equipment manufactured by Collins Aerospace. Foreign Military Sales are government-to-government transactions that are initiated by, and carried out at the direction of, the U.S. government. To date, the Chinese government has not imposed sanctions on RTC or indicated the nature or timing of any future potential sanctions or other actions. If China were to impose sanctions or take other regulatory action against RTC, our suppliers, teammates or partners, it could potentially disrupt our business operations. The impact of potential sanctions or other actions by China cannot be determined at this time.</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recent change in the U.S. administration could result in changes to the U.S. government’s foreign policies that may impact regulatory approval for direct commercial sales contracts for certain of our products and services to certain foreign customers. Likewise, regulatory approvals previously granted for prior sales can be paused or revoked if the products and services have not yet been delivered to the customer. If we ultimately do not receive all of the regulatory approvals, or those approvals are revoked, it could have a material effect on our financial results. In particular, as of March 31, 2021, our contract liabilities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 approximately $440 million of advance payments received from a certain Middle East customer on contracts for which we no longer believe we will be able to execute on or obtain required regulatory approvals. These advance payments may become refundable to the customer if the contracts are ultimately terminated.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 “Risk Factors” in our 2020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2020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in our “Cautionary Note Regarding Forward-Looking Statements” in this Form 10-Q, our interim period results of operations and period-to-period comparisons of such results, particularly at a segment level, may not be indicative of our future operating results. The following discussions of comparative results among periods, including the discussion of segment results, should be viewed in this context. As discussed further above in “Business Overview,” the results of RIS and RMD reflect the period subsequent to the completion of the Raytheon Merger on April 3, 2020. In addition, as a result of the Separation Transactions and the Distributions, the historical results of Carrier and Otis are presented as discontinued operations and, as such, have been excluded from both continuing operations and segment results for all periods presented.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31"/>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15,251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324"/>
        </w:trPr>
        <w:tc>
          <w:tcPr>
            <w:tcW w:w="9520" w:type="dxa"/>
            <w:vAlign w:val="bottom"/>
            <w:gridSpan w:val="3"/>
          </w:tcPr>
          <w:p>
            <w:pPr>
              <w:spacing w:after="0"/>
              <w:rPr>
                <w:sz w:val="20"/>
                <w:szCs w:val="20"/>
                <w:color w:val="auto"/>
              </w:rPr>
            </w:pPr>
            <w:r>
              <w:rPr>
                <w:rFonts w:ascii="Arial" w:cs="Arial" w:eastAsia="Arial" w:hAnsi="Arial"/>
                <w:sz w:val="18"/>
                <w:szCs w:val="18"/>
                <w:color w:val="auto"/>
                <w:w w:val="92"/>
              </w:rPr>
              <w:t>The factors contributing to the total change year-over-year in total net sales for the quarter ended March 31, 2021 are as follows:</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88"/>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224"/>
        </w:trPr>
        <w:tc>
          <w:tcPr>
            <w:tcW w:w="78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(3,180)</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Acquisitions and divestitures, net</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7,039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change</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3,891</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40" w:hanging="332"/>
        <w:spacing w:after="0" w:line="252" w:lineRule="auto"/>
        <w:tabs>
          <w:tab w:leader="none" w:pos="3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provide the organic change in net sales for our consolidated results of operations.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fluctuations and other significant non-recurring and non-operational items (“Other”). A reconciliation of this measure to reported U.S Generally Accepted Accounting Principles (GAAP) amounts is provided in the table above.</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sales decreased $3,180 million organically in the quarter ended March 31, 2021 compared to the quarter ended March 31, 2020. This decrease reflects lower organic sales of $2.0 billion at Collins Aerospace, primarily driven by lower commercial aerospace aftermarket sales and lower commercial aerospace OEM sales primarily due to the current economic environment principally driven by the COVID-19 pandemic which has resulted in lower flight hours, aircraft fleet utilization and commercial OEM deliveries. The decrease in net sales also reflects lower organic sales of $1.4 billion at Pratt &amp; Whitney primarily driven by lower commercial aftermarket sales, primarily due to a significant reduction in shop visits and related spare part sales, and lower commercial OEM sales, primarily due to a significant reduction in commercial engine deliveries, all principally driven by the current economic environment primarily due to the COVID-19 pandemic. The $7,039 million increase in net sales related to Acquisitions and divestitures, net for the quarter ended March 31, 2021 compared to the quarter ended March 31, 2020, is primarily driven by the Raytheon Merger on April 3, 2020. Included in the change in Acquisitions and divestitures, net is the impact of the sale of the Collins Aerospace military GPS and space-based precision optics businesses sold in the third quarter of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ind w:left="360"/>
              <w:spacing w:after="0"/>
              <w:rPr>
                <w:sz w:val="20"/>
                <w:szCs w:val="20"/>
                <w:color w:val="auto"/>
              </w:rPr>
            </w:pPr>
            <w:r>
              <w:rPr>
                <w:rFonts w:ascii="Arial" w:cs="Arial" w:eastAsia="Arial" w:hAnsi="Arial"/>
                <w:sz w:val="14"/>
                <w:szCs w:val="14"/>
                <w:b w:val="1"/>
                <w:bCs w:val="1"/>
                <w:color w:val="auto"/>
              </w:rPr>
              <w:t>Quarter Ended March 31,</w:t>
            </w: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 of Total Net Sales</w:t>
            </w:r>
          </w:p>
        </w:tc>
        <w:tc>
          <w:tcPr>
            <w:tcW w:w="980" w:type="dxa"/>
            <w:vAlign w:val="bottom"/>
          </w:tcPr>
          <w:p>
            <w:pPr>
              <w:spacing w:after="0"/>
              <w:rPr>
                <w:sz w:val="16"/>
                <w:szCs w:val="16"/>
                <w:color w:val="auto"/>
              </w:rPr>
            </w:pPr>
          </w:p>
        </w:tc>
      </w:tr>
      <w:tr>
        <w:trPr>
          <w:trHeight w:val="18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320" w:type="dxa"/>
            <w:vAlign w:val="bottom"/>
            <w:tcBorders>
              <w:top w:val="single" w:sz="8" w:color="auto"/>
              <w:bottom w:val="single" w:sz="8" w:color="auto"/>
            </w:tcBorders>
          </w:tcPr>
          <w:p>
            <w:pPr>
              <w:jc w:val="right"/>
              <w:ind w:right="1277"/>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7"/>
              <w:spacing w:after="0"/>
              <w:rPr>
                <w:sz w:val="20"/>
                <w:szCs w:val="20"/>
                <w:color w:val="auto"/>
              </w:rPr>
            </w:pPr>
            <w:r>
              <w:rPr>
                <w:rFonts w:ascii="Arial" w:cs="Arial" w:eastAsia="Arial" w:hAnsi="Arial"/>
                <w:sz w:val="18"/>
                <w:szCs w:val="18"/>
                <w:b w:val="1"/>
                <w:bCs w:val="1"/>
                <w:color w:val="auto"/>
              </w:rPr>
              <w:t>11,664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Pr>
          <w:p>
            <w:pPr>
              <w:spacing w:after="0"/>
              <w:rPr>
                <w:sz w:val="19"/>
                <w:szCs w:val="19"/>
                <w:color w:val="auto"/>
              </w:rPr>
            </w:pPr>
          </w:p>
        </w:tc>
        <w:tc>
          <w:tcPr>
            <w:tcW w:w="2320" w:type="dxa"/>
            <w:vAlign w:val="bottom"/>
          </w:tcPr>
          <w:p>
            <w:pPr>
              <w:jc w:val="right"/>
              <w:ind w:right="637"/>
              <w:spacing w:after="0"/>
              <w:rPr>
                <w:sz w:val="20"/>
                <w:szCs w:val="20"/>
                <w:color w:val="auto"/>
              </w:rPr>
            </w:pPr>
            <w:r>
              <w:rPr>
                <w:rFonts w:ascii="Arial" w:cs="Arial" w:eastAsia="Arial" w:hAnsi="Arial"/>
                <w:sz w:val="18"/>
                <w:szCs w:val="18"/>
                <w:b w:val="1"/>
                <w:bCs w:val="1"/>
                <w:color w:val="auto"/>
              </w:rPr>
              <w:t>76.5 %</w:t>
            </w:r>
          </w:p>
        </w:tc>
        <w:tc>
          <w:tcPr>
            <w:tcW w:w="980" w:type="dxa"/>
            <w:vAlign w:val="bottom"/>
          </w:tcPr>
          <w:p>
            <w:pPr>
              <w:jc w:val="right"/>
              <w:spacing w:after="0"/>
              <w:rPr>
                <w:sz w:val="20"/>
                <w:szCs w:val="20"/>
                <w:color w:val="auto"/>
              </w:rPr>
            </w:pPr>
            <w:r>
              <w:rPr>
                <w:rFonts w:ascii="Arial" w:cs="Arial" w:eastAsia="Arial" w:hAnsi="Arial"/>
                <w:sz w:val="18"/>
                <w:szCs w:val="18"/>
                <w:color w:val="auto"/>
              </w:rPr>
              <w:t>71.9 %</w:t>
            </w:r>
          </w:p>
        </w:tc>
      </w:tr>
      <w:tr>
        <w:trPr>
          <w:trHeight w:val="229"/>
        </w:trPr>
        <w:tc>
          <w:tcPr>
            <w:tcW w:w="48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3,587</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8"/>
                <w:szCs w:val="18"/>
                <w:b w:val="1"/>
                <w:bCs w:val="1"/>
                <w:color w:val="auto"/>
              </w:rPr>
              <w:t>23.5 %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15,251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b w:val="1"/>
                <w:bCs w:val="1"/>
                <w:color w:val="auto"/>
              </w:rPr>
              <w:t>100 %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19: Segment Financial Data” within Item 1 of this Form 10-Q for the composition of external net sales by products and services by segment.</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products sales increased $3,499 million in the quarter ended March 31, 2021 compared to the quarter ended March 31, 2020 primarily due to an increase in external product sales of $6.1 billion due to the Raytheon Merger on April 3, 2020, partially offset by decreases in external product sales of $1.7 billion at Collins Aerospace and $0.8 billion at Pratt &amp; Whitney.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services sales increased $392 million in the quarter ended March 31, 2021 compared to the quarter ended March 31, 2020 primarily due to an increase in external services sales of $1.1 billion due to the Raytheon Merger on April 3, 2020, partially offset by decreases in external services sales of $0.5 billion at Pratt &amp; Whitney and $0.2 billion at Collins Aerospace.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sales to major customers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Quarter Ended March 31,</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gridSpan w:val="2"/>
          </w:tcPr>
          <w:p>
            <w:pPr>
              <w:jc w:val="center"/>
              <w:ind w:left="937"/>
              <w:spacing w:after="0"/>
              <w:rPr>
                <w:sz w:val="20"/>
                <w:szCs w:val="20"/>
                <w:color w:val="auto"/>
              </w:rPr>
            </w:pPr>
            <w:r>
              <w:rPr>
                <w:rFonts w:ascii="Arial" w:cs="Arial" w:eastAsia="Arial" w:hAnsi="Arial"/>
                <w:sz w:val="14"/>
                <w:szCs w:val="14"/>
                <w:b w:val="1"/>
                <w:bCs w:val="1"/>
                <w:color w:val="auto"/>
                <w:w w:val="94"/>
              </w:rPr>
              <w:t>% of Total Net Sales</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7,748</w:t>
            </w:r>
          </w:p>
        </w:tc>
        <w:tc>
          <w:tcPr>
            <w:tcW w:w="94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50.8 %</w:t>
            </w: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20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1,295</w:t>
            </w: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1,180</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7.7 %</w:t>
            </w: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aerospace and other commercial sales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5,028</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8,143</w:t>
            </w: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33.0 %</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15,251</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11,360</w:t>
            </w:r>
          </w:p>
        </w:tc>
        <w:tc>
          <w:tcPr>
            <w:tcW w:w="1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6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1"/>
        </w:trPr>
        <w:tc>
          <w:tcPr>
            <w:tcW w:w="4840" w:type="dxa"/>
            <w:vAlign w:val="bottom"/>
          </w:tcPr>
          <w:p>
            <w:pPr>
              <w:spacing w:after="0"/>
              <w:rPr>
                <w:sz w:val="20"/>
                <w:szCs w:val="20"/>
                <w:color w:val="auto"/>
              </w:rPr>
            </w:pPr>
            <w:r>
              <w:rPr>
                <w:rFonts w:ascii="Arial" w:cs="Arial" w:eastAsia="Arial" w:hAnsi="Arial"/>
                <w:sz w:val="14"/>
                <w:szCs w:val="14"/>
                <w:color w:val="auto"/>
              </w:rPr>
              <w:t>(1)  Excludes foreign military sales through the U.S. government.</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b w:val="1"/>
                <w:bCs w:val="1"/>
                <w:i w:val="1"/>
                <w:iCs w:val="1"/>
                <w:color w:val="auto"/>
                <w:w w:val="89"/>
              </w:rPr>
              <w:t>Cost of Sales</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8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sales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12,537</w:t>
            </w:r>
          </w:p>
        </w:tc>
        <w:tc>
          <w:tcPr>
            <w:tcW w:w="68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82.2 %</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75.5 %</w:t>
            </w:r>
          </w:p>
        </w:tc>
        <w:tc>
          <w:tcPr>
            <w:tcW w:w="0" w:type="dxa"/>
            <w:vAlign w:val="bottom"/>
          </w:tcPr>
          <w:p>
            <w:pPr>
              <w:spacing w:after="0"/>
              <w:rPr>
                <w:sz w:val="1"/>
                <w:szCs w:val="1"/>
                <w:color w:val="auto"/>
              </w:rPr>
            </w:pPr>
          </w:p>
        </w:tc>
      </w:tr>
      <w:tr>
        <w:trPr>
          <w:trHeight w:val="324"/>
        </w:trPr>
        <w:tc>
          <w:tcPr>
            <w:tcW w:w="9540" w:type="dxa"/>
            <w:vAlign w:val="bottom"/>
            <w:gridSpan w:val="10"/>
          </w:tcPr>
          <w:p>
            <w:pPr>
              <w:spacing w:after="0"/>
              <w:rPr>
                <w:sz w:val="20"/>
                <w:szCs w:val="20"/>
                <w:color w:val="auto"/>
              </w:rPr>
            </w:pPr>
            <w:r>
              <w:rPr>
                <w:rFonts w:ascii="Arial" w:cs="Arial" w:eastAsia="Arial" w:hAnsi="Arial"/>
                <w:sz w:val="18"/>
                <w:szCs w:val="18"/>
                <w:color w:val="auto"/>
                <w:w w:val="94"/>
              </w:rPr>
              <w:t>The factors contributing to the change year-over-year in total cost of sales for the quarter ended March 31, 2021 are as follows:</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Quarter Ended March 31,</w:t>
            </w:r>
          </w:p>
        </w:tc>
        <w:tc>
          <w:tcPr>
            <w:tcW w:w="0" w:type="dxa"/>
            <w:vAlign w:val="bottom"/>
          </w:tcPr>
          <w:p>
            <w:pPr>
              <w:spacing w:after="0"/>
              <w:rPr>
                <w:sz w:val="1"/>
                <w:szCs w:val="1"/>
                <w:color w:val="auto"/>
              </w:rPr>
            </w:pPr>
          </w:p>
        </w:tc>
      </w:tr>
      <w:tr>
        <w:trPr>
          <w:trHeight w:val="188"/>
        </w:trPr>
        <w:tc>
          <w:tcPr>
            <w:tcW w:w="4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Acquisitions and divestitures, net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5,672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change</w:t>
            </w:r>
          </w:p>
        </w:tc>
        <w:tc>
          <w:tcPr>
            <w:tcW w:w="2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3,965</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40" w:hanging="332"/>
        <w:spacing w:after="0" w:line="277" w:lineRule="auto"/>
        <w:tabs>
          <w:tab w:leader="none" w:pos="402"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provide the organic change in cost of sales for our consolidated results of operations. We believe that this measure is useful to investors because it provides transparency to the underlying performance of our business, which allows for better year-over-year comparability. The organic change excludes acquisitions and divestitures, net; restructuring costs; the FAS/CAS operating adjustment; costs related to certain acquisition accounting adjustments; and the effect of foreign currency exchange rate translation fluctuations and other significant non-recurring and non-operational items (“Other”). A reconciliation of this measure to reported U.S. GAAP amounts is provided in the table above.</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decrease in total cost of sales of $1,677 million for the quarter ended March 31, 2021 compared to the quarter ended March 31, 2020 was primarily driven by the organic sales decreases noted above. The increase in cost of sales related to Acquisitions and divestitures, net of $5,672 million for the quarter ended March 31, 2021 compared to the quarter ended March 31, 2020 is primarily driven by the Raytheon Merger on April 3, 2020. Included in the change in Acquisitions and divestitures, net is the impact of the sale of the Collins Aerospace military GPS and space-based precision optics businesses sold in the third quarter of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discussion on Restructuring costs see the “Restructuring Costs” section below. For further discussion on FAS/CAS operating adjustment see the “FAS/CAS operating adjustment” subsection under the “Segment Review” section below. For further discussion on Acquisition accounting adjustments, see the “Acquisition accounting adjustments” subsection under the “Segment Review” section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ind w:left="340"/>
              <w:spacing w:after="0"/>
              <w:rPr>
                <w:sz w:val="20"/>
                <w:szCs w:val="20"/>
                <w:color w:val="auto"/>
              </w:rPr>
            </w:pPr>
            <w:r>
              <w:rPr>
                <w:rFonts w:ascii="Arial" w:cs="Arial" w:eastAsia="Arial" w:hAnsi="Arial"/>
                <w:sz w:val="14"/>
                <w:szCs w:val="14"/>
                <w:b w:val="1"/>
                <w:bCs w:val="1"/>
                <w:color w:val="auto"/>
              </w:rPr>
              <w:t>Quarter Ended March 31,</w:t>
            </w:r>
          </w:p>
        </w:tc>
        <w:tc>
          <w:tcPr>
            <w:tcW w:w="2320" w:type="dxa"/>
            <w:vAlign w:val="bottom"/>
          </w:tcPr>
          <w:p>
            <w:pPr>
              <w:ind w:left="1020"/>
              <w:spacing w:after="0"/>
              <w:rPr>
                <w:sz w:val="20"/>
                <w:szCs w:val="20"/>
                <w:color w:val="auto"/>
              </w:rPr>
            </w:pPr>
            <w:r>
              <w:rPr>
                <w:rFonts w:ascii="Arial" w:cs="Arial" w:eastAsia="Arial" w:hAnsi="Arial"/>
                <w:sz w:val="14"/>
                <w:szCs w:val="14"/>
                <w:b w:val="1"/>
                <w:bCs w:val="1"/>
                <w:color w:val="auto"/>
                <w:w w:val="95"/>
              </w:rPr>
              <w:t>% of Total Net Sales</w:t>
            </w:r>
          </w:p>
        </w:tc>
        <w:tc>
          <w:tcPr>
            <w:tcW w:w="980" w:type="dxa"/>
            <w:vAlign w:val="bottom"/>
          </w:tcPr>
          <w:p>
            <w:pPr>
              <w:spacing w:after="0"/>
              <w:rPr>
                <w:sz w:val="16"/>
                <w:szCs w:val="16"/>
                <w:color w:val="auto"/>
              </w:rPr>
            </w:pPr>
          </w:p>
        </w:tc>
      </w:tr>
      <w:tr>
        <w:trPr>
          <w:trHeight w:val="18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3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b w:val="1"/>
                <w:bCs w:val="1"/>
                <w:color w:val="auto"/>
              </w:rPr>
              <w:t>9,974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6,629</w:t>
            </w:r>
          </w:p>
        </w:tc>
        <w:tc>
          <w:tcPr>
            <w:tcW w:w="120" w:type="dxa"/>
            <w:vAlign w:val="bottom"/>
          </w:tcPr>
          <w:p>
            <w:pPr>
              <w:spacing w:after="0"/>
              <w:rPr>
                <w:sz w:val="19"/>
                <w:szCs w:val="19"/>
                <w:color w:val="auto"/>
              </w:rPr>
            </w:pPr>
          </w:p>
        </w:tc>
        <w:tc>
          <w:tcPr>
            <w:tcW w:w="2320" w:type="dxa"/>
            <w:vAlign w:val="bottom"/>
          </w:tcPr>
          <w:p>
            <w:pPr>
              <w:ind w:left="1040"/>
              <w:spacing w:after="0"/>
              <w:rPr>
                <w:sz w:val="20"/>
                <w:szCs w:val="20"/>
                <w:color w:val="auto"/>
              </w:rPr>
            </w:pPr>
            <w:r>
              <w:rPr>
                <w:rFonts w:ascii="Arial" w:cs="Arial" w:eastAsia="Arial" w:hAnsi="Arial"/>
                <w:sz w:val="18"/>
                <w:szCs w:val="18"/>
                <w:b w:val="1"/>
                <w:bCs w:val="1"/>
                <w:color w:val="auto"/>
              </w:rPr>
              <w:t>65.4 %</w:t>
            </w:r>
          </w:p>
        </w:tc>
        <w:tc>
          <w:tcPr>
            <w:tcW w:w="980" w:type="dxa"/>
            <w:vAlign w:val="bottom"/>
          </w:tcPr>
          <w:p>
            <w:pPr>
              <w:jc w:val="right"/>
              <w:spacing w:after="0"/>
              <w:rPr>
                <w:sz w:val="20"/>
                <w:szCs w:val="20"/>
                <w:color w:val="auto"/>
              </w:rPr>
            </w:pPr>
            <w:r>
              <w:rPr>
                <w:rFonts w:ascii="Arial" w:cs="Arial" w:eastAsia="Arial" w:hAnsi="Arial"/>
                <w:sz w:val="18"/>
                <w:szCs w:val="18"/>
                <w:color w:val="auto"/>
              </w:rPr>
              <w:t>58.4 %</w:t>
            </w:r>
          </w:p>
        </w:tc>
      </w:tr>
      <w:tr>
        <w:trPr>
          <w:trHeight w:val="230"/>
        </w:trPr>
        <w:tc>
          <w:tcPr>
            <w:tcW w:w="48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2,563</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b w:val="1"/>
                <w:bCs w:val="1"/>
                <w:color w:val="auto"/>
              </w:rPr>
              <w:t>16.8 %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3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12,537</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w:t>
            </w: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82.2 %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75.5 %</w:t>
            </w: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products cost of sales increased $3,345 million in the quarter ended March 31, 2021 compared to the quarter ended March 31, 2020 primarily due to an increase in external product cost of sales due to the Raytheon Merger on April 3, 2020, partially offset by decreases in external product cost of sales at Collins Aerospace and Pratt &amp; Whitney principally driven by the products sales decreases noted above.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services cost of sales increased $620 million in the quarter ended March 31, 2021 compared to the quarter ended March 31, 2020 primarily due to an increase in external services cost of sales due to the Raytheon Merger on April 3, 2020, partially offset by decreases in external services cost of sales at Pratt &amp; Whitney and Collins Aerospace principally driven by the services sales decreases noted above.</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 March 31,</w:t>
            </w:r>
          </w:p>
        </w:tc>
        <w:tc>
          <w:tcPr>
            <w:tcW w:w="1020" w:type="dxa"/>
            <w:vAlign w:val="bottom"/>
            <w:tcBorders>
              <w:bottom w:val="single" w:sz="8" w:color="auto"/>
            </w:tcBorders>
          </w:tcPr>
          <w:p>
            <w:pPr>
              <w:spacing w:after="0"/>
              <w:rPr>
                <w:sz w:val="16"/>
                <w:szCs w:val="16"/>
                <w:color w:val="auto"/>
              </w:rPr>
            </w:pPr>
          </w:p>
        </w:tc>
      </w:tr>
      <w:tr>
        <w:trPr>
          <w:trHeight w:val="188"/>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Company-funded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589</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535</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7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Customer-funded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1,132</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627</w:t>
            </w:r>
          </w:p>
        </w:tc>
      </w:tr>
      <w:tr>
        <w:trPr>
          <w:trHeight w:val="237"/>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7.4 %</w:t>
            </w:r>
          </w:p>
        </w:tc>
        <w:tc>
          <w:tcPr>
            <w:tcW w:w="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r>
    </w:tbl>
    <w:p>
      <w:pPr>
        <w:spacing w:after="0" w:line="8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Customer-funded research and development costs are included in cost of sales in our Condensed Consolidated Statement of Operations.</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increase in company-funded research and development of $54 million for the quarter ended March 31, 2021 compared to the quarter ended March 31, 2020 was primarily driven by $0.2 billion related to the Raytheon Merger on April 3, 2020, partially offset by lower expenses of $0.1 billion across various commercial programs at Pratt &amp; Whitney and Collins Aerospace, which includes the impact of cost reduction initiatives.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customer-funded research and development of $505 million for the quarter ended March 31, 2021 compared to the quarter ended March 31, 2020, was primarily driven by $0.6 billion related to the Raytheon Merger on April 3, 2020.</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1,220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977</w:t>
            </w:r>
          </w:p>
        </w:tc>
      </w:tr>
      <w:tr>
        <w:trPr>
          <w:trHeight w:val="237"/>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8.0 %</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$243 million in the quarter ended March 31, 2021 compared to the quarter ended March 31, 2020 primarily driven by $0.4 billion related to the Raytheon Merger on April 3, 2020, partially offset by lower expenses of $0.1 billion at Pratt &amp; Whitney and Collins Aerospace, primarily driven by prior year charges related to increased estimates of expected credit losses due to customer bankruptcies and additional allowances for credit losses, and includes the impact of cost reduction initiatives.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continuously evaluating our cost structure and have implemented restructuring actions in an effort to keep our cost structure competitive. As appropriate, the amounts reflected above include the beneficial impact of previous restructuring actions on Selling, general and administrative expenses. See “Note 12: Restructuring Costs” within Item 1 of this Form 10-Q and Restructuring Costs,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r>
      <w:tr>
        <w:trPr>
          <w:trHeight w:val="231"/>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108</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net includes equity earnings in unconsolidated entities, royalty income, foreign exchange gains and losses, as well as other ongoing and nonrecurring items. The increase in Other income, net of $89 million for the quarter ended March 31, 2021 compared to the quarter ended March 31, 2020 was primarily due to a prior year impairment of a Collins Aerospace tradename of $40 million resulting from the projected impact of COVID-19 and $29 million related to foreign government wage subsidies due to COVID-19 at Pratt &amp; Whitney in the quarter ended March 31, 2021.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Operating Profit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1,013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1,295</w:t>
            </w:r>
          </w:p>
        </w:tc>
      </w:tr>
      <w:tr>
        <w:trPr>
          <w:trHeight w:val="237"/>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 margin</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6.6 %</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89"/>
              </w:rPr>
              <w:t>11.4 %</w:t>
            </w: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Operating profit of $282 million for the quarter ended March 31, 2021 compared to the quarter ended March 31, 2020 was primarily driven by the operating performance at our segments as described below in the individual segment results and an increase in acquisition accounting adjustments of $245 million primarily related to the Raytheon Merger, partially offset by an increase in our FAS/CAS operating adjustment of $423 million due to the Raytheon Merger. Included in the decrease in Operating profit was an increase in restructuring costs of $35 million primarily related to restructuring actions taken at our Collins Aerospace and Pratt &amp; Whitney segments.</w:t>
      </w:r>
    </w:p>
    <w:p>
      <w:pPr>
        <w:spacing w:after="0" w:line="80"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i w:val="1"/>
          <w:iCs w:val="1"/>
          <w:u w:val="single" w:color="auto"/>
          <w:color w:val="auto"/>
        </w:rPr>
        <w:t>Non-service Pension (Income) Expense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Quarter Ended March 31,</w:t>
            </w:r>
          </w:p>
        </w:tc>
        <w:tc>
          <w:tcPr>
            <w:tcW w:w="540" w:type="dxa"/>
            <w:vAlign w:val="bottom"/>
            <w:tcBorders>
              <w:bottom w:val="single" w:sz="8" w:color="auto"/>
            </w:tcBorders>
          </w:tcPr>
          <w:p>
            <w:pPr>
              <w:spacing w:after="0"/>
              <w:rPr>
                <w:sz w:val="16"/>
                <w:szCs w:val="16"/>
                <w:color w:val="auto"/>
              </w:rPr>
            </w:pPr>
          </w:p>
        </w:tc>
      </w:tr>
      <w:tr>
        <w:trPr>
          <w:trHeight w:val="18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231"/>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Non-service pension (income) expense</w:t>
            </w:r>
          </w:p>
        </w:tc>
        <w:tc>
          <w:tcPr>
            <w:tcW w:w="106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w:t>
            </w:r>
          </w:p>
        </w:tc>
        <w:tc>
          <w:tcPr>
            <w:tcW w:w="112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Non-service pension (income) expense of $323 million for the quarter ended March 31, 2021 compared to the quarter ended March 31, 2020 was primarily driven by the inclusion of the Raytheon Company plans as a result of the Raytheon Merger, and to a lesser extent, a decrease in the discount rate and prior year pension asset returns exceeding our expected return on assets (EROA) assumption.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894"/>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357</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339</w:t>
            </w:r>
          </w:p>
        </w:tc>
      </w:tr>
      <w:tr>
        <w:trPr>
          <w:trHeight w:val="229"/>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(11)</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r>
      <w:tr>
        <w:trPr>
          <w:trHeight w:val="223"/>
        </w:trPr>
        <w:tc>
          <w:tcPr>
            <w:tcW w:w="7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346</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332</w:t>
            </w:r>
          </w:p>
        </w:tc>
      </w:t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interest expense rate</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4.1 %</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r>
    </w:tbl>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net in the quarter ended March 31, 2021, was relatively consistent with the quarter ended March 31, 2020. Included in the increase in interest expense was a $45 million change in the mark-to-market fair value of marketable securities held in trusts associated with certain of our nonqualified deferred compensation and employee benefit plans, which was partially offset by a decrease in interest expense primarily due to the repayment of long-term debt. The average maturity of certain long-term debt at March 31, 2021 is approximately 14 years.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49"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Quarter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80" w:type="dxa"/>
            <w:vAlign w:val="bottom"/>
            <w:tcBorders>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r>
      <w:tr>
        <w:trPr>
          <w:trHeight w:val="231"/>
        </w:trPr>
        <w:tc>
          <w:tcPr>
            <w:tcW w:w="8780" w:type="dxa"/>
            <w:vAlign w:val="bottom"/>
            <w:tcBorders>
              <w:bottom w:val="single" w:sz="8" w:color="auto"/>
            </w:tcBorders>
            <w:gridSpan w:val="2"/>
            <w:shd w:val="clear" w:color="auto" w:fill="CCEEFF"/>
          </w:tcPr>
          <w:p>
            <w:pPr>
              <w:jc w:val="right"/>
              <w:ind w:right="6868"/>
              <w:spacing w:after="0"/>
              <w:rPr>
                <w:sz w:val="20"/>
                <w:szCs w:val="20"/>
                <w:color w:val="auto"/>
              </w:rPr>
            </w:pPr>
            <w:r>
              <w:rPr>
                <w:rFonts w:ascii="Arial" w:cs="Arial" w:eastAsia="Arial" w:hAnsi="Arial"/>
                <w:sz w:val="18"/>
                <w:szCs w:val="18"/>
                <w:color w:val="auto"/>
                <w:w w:val="92"/>
              </w:rPr>
              <w:t>Effective income tax rate</w:t>
            </w: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29.8 %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quarter ended March 31, 2021 includes a $148 million tax charge related to the sale of our Forcepoint business.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 for the quarter ended March 31, 2020 includes $415 million of deferred tax charges resulting from the Separation Transactions, primarily related to the impairment of deferred tax assets.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from Continuing Operations Attributable to Common Shareowners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18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common shareowners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772</w:t>
            </w:r>
          </w:p>
        </w:tc>
        <w:tc>
          <w:tcPr>
            <w:tcW w:w="11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36"/>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share from continuing operations</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0.51</w:t>
            </w:r>
          </w:p>
        </w:tc>
        <w:tc>
          <w:tcPr>
            <w:tcW w:w="11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continuing operations attributable to common shareowners for the quarter ended March 31, 2021 includes the following:</w:t>
      </w:r>
    </w:p>
    <w:p>
      <w:pPr>
        <w:spacing w:after="0" w:line="23" w:lineRule="exact"/>
        <w:rPr>
          <w:sz w:val="20"/>
          <w:szCs w:val="20"/>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 accounting adjustments primarily related to the Raytheon Merger of $398 million, net of tax, which had an unfavorable impact on diluted earnings per share (EPS) from continuing operations of $0.26;</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expense of $148 million related to the sale of our Forcepoint business, which had an unfavorable impact on diluted EPS from continuing operations of $0.10;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charges of $33 million, net of tax, which had an unfavorable impact on diluted EPS from continuing operations of $0.02.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continuing operations attributable to common shareowners for the quarter ended March 31, 2020 includes the following:</w:t>
      </w:r>
    </w:p>
    <w:p>
      <w:pPr>
        <w:spacing w:after="0" w:line="23" w:lineRule="exact"/>
        <w:rPr>
          <w:sz w:val="20"/>
          <w:szCs w:val="20"/>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 accounting adjustments of $179 million, net of tax, which had an unfavorable impact on diluted EPS from continuing operations of $0.21;</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deferred tax charges of $415 million resulting from the Separation Transactions primarily related to the impairment of deferred tax assets, which had an unfavorable impact on diluted EPS from continuing operations of $0.48;</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estimates of expected credit losses driven by customer bankruptcies and additional allowances for credit losses of $55 million, net of tax, which had an unfavorable impact on diluted EPS from continuing operations of $0.06; and</w:t>
      </w:r>
    </w:p>
    <w:p>
      <w:pPr>
        <w:ind w:left="66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impairment of a Collins Aerospace tradename of $31 million, net of tax, which had an unfavorable impact on diluted EPS from continuing operations of $0.04.</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i w:val="1"/>
          <w:iCs w:val="1"/>
          <w:u w:val="single" w:color="auto"/>
          <w:color w:val="auto"/>
        </w:rPr>
        <w:t>Net Loss from Discontinued Operations Attributable to Common Shareowners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Quarter Ended March 31,</w:t>
            </w:r>
          </w:p>
        </w:tc>
        <w:tc>
          <w:tcPr>
            <w:tcW w:w="560" w:type="dxa"/>
            <w:vAlign w:val="bottom"/>
            <w:tcBorders>
              <w:bottom w:val="single" w:sz="8" w:color="auto"/>
            </w:tcBorders>
          </w:tcPr>
          <w:p>
            <w:pPr>
              <w:spacing w:after="0"/>
              <w:rPr>
                <w:sz w:val="16"/>
                <w:szCs w:val="16"/>
                <w:color w:val="auto"/>
              </w:rPr>
            </w:pPr>
          </w:p>
        </w:tc>
      </w:tr>
      <w:tr>
        <w:trPr>
          <w:trHeight w:val="18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discontinued operations attributable to common shareowners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10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36"/>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loss per share from discontinued operations</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10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3, 2020, we completed the separation of our commercial businesses, Carrier and Otis. Effective as of such date, the historical results of the Carrier and Otis segments have been reclassified to discontinued operations for all periods presented. See “Note 3: Discontinued Operations” within Item 1 of this Form 10-Q for additional information.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net loss from discontinued operations attributable to common shareowners of $502 million and the related change in diluted loss per share from discontinued operations of $0.59 in the quarter ended March 31, 2021 compared to the quarter ended March 31, 2020 was primarily due to higher prior year costs associated with the separation of our commercial businesses, including debt extinguishment costs of $577 million, net of tax in connection with the early repayment of outstanding principal, partially offset by prior year Carrier and Otis operating activity, as the Separation Transactions occurred on April 3, 2020.</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(Loss) Attributable to Common Shareowners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Quarter Ended March 31,</w:t>
            </w:r>
          </w:p>
        </w:tc>
        <w:tc>
          <w:tcPr>
            <w:tcW w:w="560" w:type="dxa"/>
            <w:vAlign w:val="bottom"/>
            <w:tcBorders>
              <w:bottom w:val="single" w:sz="8" w:color="auto"/>
            </w:tcBorders>
          </w:tcPr>
          <w:p>
            <w:pPr>
              <w:spacing w:after="0"/>
              <w:rPr>
                <w:sz w:val="16"/>
                <w:szCs w:val="16"/>
                <w:color w:val="auto"/>
              </w:rPr>
            </w:pPr>
          </w:p>
        </w:tc>
      </w:tr>
      <w:tr>
        <w:trPr>
          <w:trHeight w:val="18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753</w:t>
            </w:r>
          </w:p>
        </w:tc>
        <w:tc>
          <w:tcPr>
            <w:tcW w:w="11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6"/>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(loss) per share from operations</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0.50</w:t>
            </w:r>
          </w:p>
        </w:tc>
        <w:tc>
          <w:tcPr>
            <w:tcW w:w="11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net income (loss) attributable to common shareowners and diluted earnings (loss) per share from operations for the quarter ended March 31, 2021 was driven by the change from discontinued operations, as discussed above in Net Loss from Discontinued Operations and the increase in continuing operations, as discussed above in Net Income from Continuing Operations Attributable to Common Shareowners.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RESTRUCTURING COSTS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31"/>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43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both existing operations and recent mergers and acquisitions. Charges generally arise from severance related to workforce reductions and facility exit costs associated with the consolidation of field and manufacturing operations and costs to exit legacy programs. We continue to closely monitor the economic environment and may undertake further restructuring actions to keep our cost structure aligned with the demands of the prevailing market conditions.</w:t>
      </w:r>
    </w:p>
    <w:p>
      <w:pPr>
        <w:spacing w:after="0" w:line="5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2021 Actions. </w:t>
      </w:r>
      <w:r>
        <w:rPr>
          <w:rFonts w:ascii="Arial" w:cs="Arial" w:eastAsia="Arial" w:hAnsi="Arial"/>
          <w:sz w:val="17"/>
          <w:szCs w:val="17"/>
          <w:color w:val="auto"/>
        </w:rPr>
        <w:t>During the quarter ended March 31, 2021, we recorded net pre-tax restructuring charges of $36 million, primarily related to ongoing cost</w:t>
      </w:r>
      <w:r>
        <w:rPr>
          <w:rFonts w:ascii="Arial" w:cs="Arial" w:eastAsia="Arial" w:hAnsi="Arial"/>
          <w:sz w:val="17"/>
          <w:szCs w:val="17"/>
          <w:b w:val="1"/>
          <w:bCs w:val="1"/>
          <w:color w:val="auto"/>
        </w:rPr>
        <w:t xml:space="preserve"> </w:t>
      </w:r>
      <w:r>
        <w:rPr>
          <w:rFonts w:ascii="Arial" w:cs="Arial" w:eastAsia="Arial" w:hAnsi="Arial"/>
          <w:sz w:val="17"/>
          <w:szCs w:val="17"/>
          <w:color w:val="auto"/>
        </w:rPr>
        <w:t>reduction efforts including workforce reductions and the consolidation of facilities initiated in 2021. We expect to incur additional restructuring charges of $33 million to complete these actions. We are targeting to complete the majority of the remaining workforce and facility related cost reduction actions initiated in 2021 by 2022. We expect recurring pre-tax savings related to these actions to reach approximately $40 million annually within one to two years. Approximately 65% of the restructuring costs will require cash payments, which we have funded and expect to continue to fund with cash generated from operations. During the quarter ended March 31, 2021, we had cash outflows of $2 million related to the 2021 actions.</w:t>
      </w:r>
    </w:p>
    <w:p>
      <w:pPr>
        <w:spacing w:after="0" w:line="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2020 Actions. </w:t>
      </w:r>
      <w:r>
        <w:rPr>
          <w:rFonts w:ascii="Arial" w:cs="Arial" w:eastAsia="Arial" w:hAnsi="Arial"/>
          <w:sz w:val="17"/>
          <w:szCs w:val="17"/>
          <w:color w:val="auto"/>
        </w:rPr>
        <w:t>During the quarters ended March 31, 2021 and 2020, we recorded $4 million and $2 million respectively, of net pre-tax restructuring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for actions initiated in 2020. We expect to incur additional restructuring charges of $8 million to complete these actions. We are targeting to complete in 2021 the majority of the remaining workforce and facility related cost reduction actions initiated in 2020. We expect annual recurring pre-tax savings related to these actions to reach approximately $1.2 billion annually within two years of initiating these actions. Approximately 85% of the restructuring costs will require cash payments, which we have funded and expect to continue to fund with cash generated from operations. During the quarter ended March 31, 2021, we had cash outflows of $132 million related to the 2020 actions.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during the quarters ended March 31, 2021 and 2020, we recorded $3 million and $6 million, respectively, of net pre-tax restructuring charges for restructuring actions initiated in 2019 and prior. For additional discussion of restructuring, see “Note 12: Restructuring Costs” within Item 1 of this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REVIEW</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discussed further above in Business Overview, on April 3, 2020, we completed the Separation Transactions, Distributions and the Raytheon Merger. The results of RIS and RMD reflect the period subsequent to the completion of the Raytheon Merger on April 3, 2020. The historical results of Carrier and Otis are presented as discontinued operations and, as such, have been excluded from both continuing operations and segment results for all periods presented.</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announced, effective January 1, 2021, we reorganized certain product areas of our Raytheon Intelligence &amp; Space (RIS) and Raytheon Missiles &amp; Defense (RMD) businesses to more efficiently leverage our capabilities. The amounts and presentation of our business segments, including intersegment activity, set forth in this Form 10-Q reflect this reorganization. The reorganization does not impact our previously reported consolidated balance sheets, statements of operations or statements of cash flows.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Raytheon Merger, we now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postretirement benefit (PRB) expense under U.S. government Cost Accounting Standards (CAS) primarily related to our RIS and RMD segments. While the ultimate liability for pension and PRB costs under FAS and CAS is similar, the pattern of cost recognition is different. We generally expect to recover the related RIS and RMD pension and PRB liabilities over time through the pricing of our products and services to the U.S. government. Because the Collins Aerospace and Pratt &amp; Whitney segments generally record pension and PRB expense on a FAS basis, historical results were not impacted by this change in segment reporting.</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For our defense contracts, where the primary customer is the U.S. government subject to Federal Acquisition Regulation (FAR) part 12, our intercompany sales and profit is generally recorded at cost-plus a specified fee, which may differ from what the selling entity would be able 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 on sales to external customers. Segment results exclude certain acquisition accounting adjustments, the FAS/CAS operating adjustment and certain corporate expenses, as further discussed below.</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Total Net Sales. </w:t>
      </w:r>
      <w:r>
        <w:rPr>
          <w:rFonts w:ascii="Arial" w:cs="Arial" w:eastAsia="Arial" w:hAnsi="Arial"/>
          <w:sz w:val="18"/>
          <w:szCs w:val="18"/>
          <w:color w:val="auto"/>
        </w:rPr>
        <w:t>Total net sales by segment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4,370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40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4,030</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5,353</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3,765</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3,793</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15,958</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w:t>
            </w: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15,251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w:t>
            </w:r>
          </w:p>
        </w:tc>
      </w:tr>
      <w:tr>
        <w:trPr>
          <w:trHeight w:val="324"/>
        </w:trPr>
        <w:tc>
          <w:tcPr>
            <w:tcW w:w="7860" w:type="dxa"/>
            <w:vAlign w:val="bottom"/>
          </w:tcPr>
          <w:p>
            <w:pPr>
              <w:spacing w:after="0"/>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by segment was as follows: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7"/>
        </w:trPr>
        <w:tc>
          <w:tcPr>
            <w:tcW w:w="78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314</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40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20</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388</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496</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1,218</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40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423</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1,013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segment operating profit are Estimate at Completion (EAC) adjustments, which relate to changes in operating profit and margin due to revisions to total estimated revenues and costs at completion. These changes reflect improved or deteriorated operating performance or award fee rates.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we have both favorable and unfavorable EAC adjustments.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aggregate EAC adjustments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favorable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312</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Gross unfavorable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EAC adjustments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Raytheon Merger, RIS’s and RMD’s long-term contracts that are accounted for on a percentage of completion basis, were reset to zero percent complete as of the merger date because only the unperformed portion of the contract at the merger date represents an obligation of the Company. The decrease in net EAC adjustments of $9 million in the quarter ended March 31, 2021 compared to the quarter ended March 31, 2020 was primarily due to an unfavorable change in net EAC adjustments of $63 million at Collins Aerospace spread across numerous individual programs with no individual or common significant driver, partially offset by net favorable EAC adjustments of $35 million at RMD and $29 million at RIS in the quarter ended March 31, 2021 due to the Raytheon Merger. Significant EAC adjustments, when they occur, are discussed in each business segment’s discussion below.</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Backlog and Defense Bookings. </w:t>
      </w:r>
      <w:r>
        <w:rPr>
          <w:rFonts w:ascii="Arial" w:cs="Arial" w:eastAsia="Arial" w:hAnsi="Arial"/>
          <w:sz w:val="16"/>
          <w:szCs w:val="16"/>
          <w:color w:val="auto"/>
        </w:rPr>
        <w:t>Total backlog was approximately $147.4 billion and $150.1 billion as of March 31, 2021 and December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which includes defense backlog of $65.2 billion and $67.3 billion as of March 31, 2021 and December 31, 2020, respectively. Our defense operations consist primarily of our RIS and RMD businesses and operations in the defense businesses within our Collins Aerospace and Pratt &amp; Whitney segments. Defense bookings were approximately $8.5 billion and $3.2 billion for the quarters ended March 31, 2021 and 2020, respectively.</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Defense bookings are impacted by the timing and amounts of awards in a given period, which are subject to numerous factors, including: (1) the desired capability by the customer and urgency of customer needs, (2) customer budgets and other fiscal constraints, (3) political and economic and other environmental factors, (4) the timing of customer negotiations, (5) the timing of governmental approvals and notifications, and (6) the timing of option exercises or increases in scope. In addition, due to these factors, quarterly bookings tend to fluctuate from period to period, particularly on a segment basis. As a result, we believe comparing bookings on a quarterly basis or for periods less than one year is less meaningful than for longer periods and that shorter term changes in bookings may not necessarily indicate a material trend.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Collins Aerospace Systems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Quarter Ended March 31,</w:t>
            </w:r>
          </w:p>
        </w:tc>
        <w:tc>
          <w:tcPr>
            <w:tcW w:w="960" w:type="dxa"/>
            <w:vAlign w:val="bottom"/>
            <w:tcBorders>
              <w:bottom w:val="single" w:sz="8" w:color="auto"/>
            </w:tcBorders>
          </w:tcPr>
          <w:p>
            <w:pPr>
              <w:spacing w:after="0"/>
              <w:rPr>
                <w:sz w:val="16"/>
                <w:szCs w:val="16"/>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900" w:type="dxa"/>
            <w:vAlign w:val="bottom"/>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3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88"/>
              </w:rPr>
              <w:t>4,370</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6,438</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rPr>
              <w:t>314</w:t>
            </w:r>
          </w:p>
        </w:tc>
        <w:tc>
          <w:tcPr>
            <w:tcW w:w="480" w:type="dxa"/>
            <w:vAlign w:val="bottom"/>
          </w:tcPr>
          <w:p>
            <w:pPr>
              <w:spacing w:after="0"/>
              <w:rPr>
                <w:sz w:val="19"/>
                <w:szCs w:val="19"/>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1,246</w:t>
            </w: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2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13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7.2 %</w:t>
            </w:r>
          </w:p>
        </w:tc>
        <w:tc>
          <w:tcPr>
            <w:tcW w:w="4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19.4 %</w:t>
            </w: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4"/>
                <w:szCs w:val="24"/>
                <w:color w:val="auto"/>
              </w:rPr>
            </w:pPr>
          </w:p>
        </w:tc>
        <w:tc>
          <w:tcPr>
            <w:tcW w:w="6440" w:type="dxa"/>
            <w:vAlign w:val="bottom"/>
            <w:gridSpan w:val="8"/>
          </w:tcPr>
          <w:p>
            <w:pPr>
              <w:jc w:val="right"/>
              <w:spacing w:after="0"/>
              <w:rPr>
                <w:sz w:val="20"/>
                <w:szCs w:val="20"/>
                <w:color w:val="auto"/>
              </w:rPr>
            </w:pPr>
            <w:r>
              <w:rPr>
                <w:rFonts w:ascii="Arial" w:cs="Arial" w:eastAsia="Arial" w:hAnsi="Arial"/>
                <w:sz w:val="18"/>
                <w:szCs w:val="18"/>
                <w:b w:val="1"/>
                <w:bCs w:val="1"/>
                <w:i w:val="1"/>
                <w:iCs w:val="1"/>
                <w:color w:val="auto"/>
                <w:w w:val="97"/>
              </w:rPr>
              <w:t>Quarter Ended March 31, 2021 Compared with Quarter Ended March 31, 2020</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b w:val="1"/>
                <w:bCs w:val="1"/>
                <w:color w:val="auto"/>
                <w:w w:val="99"/>
              </w:rPr>
              <w:t>Factors Contributing to Total Change</w:t>
            </w: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220" w:type="dxa"/>
            <w:vAlign w:val="bottom"/>
          </w:tcPr>
          <w:p>
            <w:pPr>
              <w:spacing w:after="0"/>
              <w:rPr>
                <w:sz w:val="11"/>
                <w:szCs w:val="11"/>
                <w:color w:val="auto"/>
              </w:rPr>
            </w:pPr>
          </w:p>
        </w:tc>
        <w:tc>
          <w:tcPr>
            <w:tcW w:w="1320" w:type="dxa"/>
            <w:vAlign w:val="bottom"/>
          </w:tcPr>
          <w:p>
            <w:pPr>
              <w:jc w:val="right"/>
              <w:ind w:right="261"/>
              <w:spacing w:after="0" w:line="135" w:lineRule="exact"/>
              <w:rPr>
                <w:sz w:val="20"/>
                <w:szCs w:val="20"/>
                <w:color w:val="auto"/>
              </w:rPr>
            </w:pPr>
            <w:r>
              <w:rPr>
                <w:rFonts w:ascii="Arial" w:cs="Arial" w:eastAsia="Arial" w:hAnsi="Arial"/>
                <w:sz w:val="14"/>
                <w:szCs w:val="14"/>
                <w:b w:val="1"/>
                <w:bCs w:val="1"/>
                <w:color w:val="auto"/>
              </w:rPr>
              <w:t>Acquisitions /</w:t>
            </w:r>
          </w:p>
        </w:tc>
        <w:tc>
          <w:tcPr>
            <w:tcW w:w="260" w:type="dxa"/>
            <w:vAlign w:val="bottom"/>
          </w:tcPr>
          <w:p>
            <w:pPr>
              <w:spacing w:after="0"/>
              <w:rPr>
                <w:sz w:val="11"/>
                <w:szCs w:val="11"/>
                <w:color w:val="auto"/>
              </w:rPr>
            </w:pPr>
          </w:p>
        </w:tc>
        <w:tc>
          <w:tcPr>
            <w:tcW w:w="12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3"/>
              </w:rPr>
              <w:t>Restructuring</w:t>
            </w:r>
          </w:p>
        </w:tc>
        <w:tc>
          <w:tcPr>
            <w:tcW w:w="64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6"/>
              </w:rPr>
              <w:t>Total Change</w:t>
            </w:r>
          </w:p>
        </w:tc>
        <w:tc>
          <w:tcPr>
            <w:tcW w:w="0" w:type="dxa"/>
            <w:vAlign w:val="bottom"/>
          </w:tcPr>
          <w:p>
            <w:pPr>
              <w:spacing w:after="0"/>
              <w:rPr>
                <w:sz w:val="1"/>
                <w:szCs w:val="1"/>
                <w:color w:val="auto"/>
              </w:rPr>
            </w:pPr>
          </w:p>
        </w:tc>
      </w:tr>
      <w:tr>
        <w:trPr>
          <w:trHeight w:val="189"/>
        </w:trPr>
        <w:tc>
          <w:tcPr>
            <w:tcW w:w="2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Divestitures, net</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7"/>
              </w:rPr>
              <w:t>Costs</w:t>
            </w: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85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37"/>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w:t>
            </w: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40" w:hanging="332"/>
        <w:spacing w:after="0" w:line="252" w:lineRule="auto"/>
        <w:tabs>
          <w:tab w:leader="none" w:pos="328"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provide the organic change in net sales and operating profit for our segments. We believe that these measures are useful to investors because they provide transparency to the underlying performance of our business, which allows for better year-over-year comparability. The organic change excludes acquisitions and divestitures, net; restructuring costs; and the effect of foreign currency exchange rate translation fluctuations and other significant non-recurring and non-operational items (“Other”). A reconciliation of these measures to reported U.S. GAAP amounts is provided in the table above.</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sales decrease of $2.0 billion in the quarter ended March 31, 2021 compared to the quarter ended March 31, 2020 primarily relates to lower commercial aerospace aftermarket sales of $1.0 billion, including declines across all aftermarket sales channels, and lower commercial aerospace OEM sales of $1.0 billion. These reductions were primarily due to the current economic environment principally driven by the COVID-19 pandemic which has resulted in lower flight hours, aircraft fleet utilization and commercial OEM deliveries. This decrease was partially offset by an increase in military sales of $0.1 billion.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profit decrease of $0.9 billion in the quarter ended March 31, 2021 compared to the quarter ended March 31, 2020 was primarily due to lower commercial aerospace operating profit of $1.0 billion principally driven by the lower commercial aerospace aftermarket sales volume discussed above. This decrease was partially offset by lower Selling, general and administrative expenses and Research and development costs of $0.1 billion in total, which includes the impact of cost reduction initiatives.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sales and operating profit due to acquisitions / divestitures, net primarily relates to the sale of our Collins Aerospace military GPS and space-based precision optics businesses in the third quarter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Quarter Ended March 31,</w:t>
            </w:r>
          </w:p>
        </w:tc>
        <w:tc>
          <w:tcPr>
            <w:tcW w:w="960" w:type="dxa"/>
            <w:vAlign w:val="bottom"/>
            <w:tcBorders>
              <w:bottom w:val="single" w:sz="8" w:color="auto"/>
            </w:tcBorders>
          </w:tcPr>
          <w:p>
            <w:pPr>
              <w:spacing w:after="0"/>
              <w:rPr>
                <w:sz w:val="16"/>
                <w:szCs w:val="16"/>
                <w:color w:val="auto"/>
              </w:rPr>
            </w:pPr>
          </w:p>
        </w:tc>
      </w:tr>
      <w:tr>
        <w:trPr>
          <w:trHeight w:val="18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4,030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5,353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97"/>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19"/>
                <w:szCs w:val="19"/>
                <w:color w:val="auto"/>
              </w:rPr>
            </w:pPr>
          </w:p>
        </w:tc>
        <w:tc>
          <w:tcPr>
            <w:tcW w:w="1180" w:type="dxa"/>
            <w:vAlign w:val="bottom"/>
          </w:tcPr>
          <w:p>
            <w:pPr>
              <w:jc w:val="right"/>
              <w:ind w:right="295"/>
              <w:spacing w:after="0"/>
              <w:rPr>
                <w:sz w:val="20"/>
                <w:szCs w:val="20"/>
                <w:color w:val="auto"/>
              </w:rPr>
            </w:pPr>
            <w:r>
              <w:rPr>
                <w:rFonts w:ascii="Arial" w:cs="Arial" w:eastAsia="Arial" w:hAnsi="Arial"/>
                <w:sz w:val="18"/>
                <w:szCs w:val="18"/>
                <w:color w:val="auto"/>
              </w:rPr>
              <w:t>475</w:t>
            </w: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37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0.5 %</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8.9 %</w:t>
            </w:r>
          </w:p>
        </w:tc>
        <w:tc>
          <w:tcPr>
            <w:tcW w:w="960" w:type="dxa"/>
            <w:vAlign w:val="bottom"/>
            <w:tcBorders>
              <w:bottom w:val="single" w:sz="8" w:color="auto"/>
            </w:tcBorders>
            <w:shd w:val="clear" w:color="auto" w:fill="CCEEFF"/>
          </w:tcPr>
          <w:p>
            <w:pPr>
              <w:spacing w:after="0"/>
              <w:rPr>
                <w:sz w:val="20"/>
                <w:szCs w:val="20"/>
                <w:color w:val="auto"/>
              </w:rPr>
            </w:pPr>
          </w:p>
        </w:tc>
      </w:tr>
      <w:tr>
        <w:trPr>
          <w:trHeight w:val="891"/>
        </w:trPr>
        <w:tc>
          <w:tcPr>
            <w:tcW w:w="3680" w:type="dxa"/>
            <w:vAlign w:val="bottom"/>
          </w:tcPr>
          <w:p>
            <w:pPr>
              <w:spacing w:after="0"/>
              <w:rPr>
                <w:sz w:val="24"/>
                <w:szCs w:val="24"/>
                <w:color w:val="auto"/>
              </w:rPr>
            </w:pPr>
          </w:p>
        </w:tc>
        <w:tc>
          <w:tcPr>
            <w:tcW w:w="3780" w:type="dxa"/>
            <w:vAlign w:val="bottom"/>
          </w:tcPr>
          <w:p>
            <w:pPr>
              <w:jc w:val="right"/>
              <w:ind w:right="165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880"/>
        <w:spacing w:after="0"/>
        <w:rPr>
          <w:sz w:val="20"/>
          <w:szCs w:val="20"/>
          <w:color w:val="auto"/>
        </w:rPr>
      </w:pPr>
      <w:r>
        <w:rPr>
          <w:rFonts w:ascii="Arial" w:cs="Arial" w:eastAsia="Arial" w:hAnsi="Arial"/>
          <w:sz w:val="18"/>
          <w:szCs w:val="18"/>
          <w:b w:val="1"/>
          <w:bCs w:val="1"/>
          <w:i w:val="1"/>
          <w:iCs w:val="1"/>
          <w:color w:val="auto"/>
        </w:rPr>
        <w:t>Quarter Ended March 31, 2021 Compared with Quarter Ended March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Factors Contributing to Total Change</w:t>
            </w: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220" w:type="dxa"/>
            <w:vAlign w:val="bottom"/>
          </w:tcPr>
          <w:p>
            <w:pPr>
              <w:spacing w:after="0"/>
              <w:rPr>
                <w:sz w:val="11"/>
                <w:szCs w:val="11"/>
                <w:color w:val="auto"/>
              </w:rPr>
            </w:pPr>
          </w:p>
        </w:tc>
        <w:tc>
          <w:tcPr>
            <w:tcW w:w="1560" w:type="dxa"/>
            <w:vAlign w:val="bottom"/>
          </w:tcPr>
          <w:p>
            <w:pPr>
              <w:jc w:val="center"/>
              <w:ind w:right="381"/>
              <w:spacing w:after="0" w:line="135" w:lineRule="exact"/>
              <w:rPr>
                <w:sz w:val="20"/>
                <w:szCs w:val="20"/>
                <w:color w:val="auto"/>
              </w:rPr>
            </w:pPr>
            <w:r>
              <w:rPr>
                <w:rFonts w:ascii="Arial" w:cs="Arial" w:eastAsia="Arial" w:hAnsi="Arial"/>
                <w:sz w:val="14"/>
                <w:szCs w:val="14"/>
                <w:b w:val="1"/>
                <w:bCs w:val="1"/>
                <w:color w:val="auto"/>
                <w:w w:val="89"/>
              </w:rPr>
              <w:t>Acquisitions /</w:t>
            </w:r>
          </w:p>
        </w:tc>
        <w:tc>
          <w:tcPr>
            <w:tcW w:w="1660" w:type="dxa"/>
            <w:vAlign w:val="bottom"/>
          </w:tcPr>
          <w:p>
            <w:pPr>
              <w:jc w:val="center"/>
              <w:ind w:right="519"/>
              <w:spacing w:after="0" w:line="135" w:lineRule="exact"/>
              <w:rPr>
                <w:sz w:val="20"/>
                <w:szCs w:val="20"/>
                <w:color w:val="auto"/>
              </w:rPr>
            </w:pPr>
            <w:r>
              <w:rPr>
                <w:rFonts w:ascii="Arial" w:cs="Arial" w:eastAsia="Arial" w:hAnsi="Arial"/>
                <w:sz w:val="14"/>
                <w:szCs w:val="14"/>
                <w:b w:val="1"/>
                <w:bCs w:val="1"/>
                <w:color w:val="auto"/>
                <w:w w:val="93"/>
              </w:rPr>
              <w:t>Restructuring</w:t>
            </w:r>
          </w:p>
        </w:tc>
        <w:tc>
          <w:tcPr>
            <w:tcW w:w="11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81"/>
              <w:spacing w:after="0"/>
              <w:rPr>
                <w:sz w:val="20"/>
                <w:szCs w:val="20"/>
                <w:color w:val="auto"/>
              </w:rPr>
            </w:pPr>
            <w:r>
              <w:rPr>
                <w:rFonts w:ascii="Arial" w:cs="Arial" w:eastAsia="Arial" w:hAnsi="Arial"/>
                <w:sz w:val="14"/>
                <w:szCs w:val="14"/>
                <w:b w:val="1"/>
                <w:bCs w:val="1"/>
                <w:color w:val="auto"/>
                <w:w w:val="89"/>
              </w:rPr>
              <w:t>Divestitures, net</w:t>
            </w:r>
          </w:p>
        </w:tc>
        <w:tc>
          <w:tcPr>
            <w:tcW w:w="1660" w:type="dxa"/>
            <w:vAlign w:val="bottom"/>
            <w:tcBorders>
              <w:bottom w:val="single" w:sz="8" w:color="auto"/>
            </w:tcBorders>
          </w:tcPr>
          <w:p>
            <w:pPr>
              <w:jc w:val="center"/>
              <w:ind w:right="519"/>
              <w:spacing w:after="0"/>
              <w:rPr>
                <w:sz w:val="20"/>
                <w:szCs w:val="20"/>
                <w:color w:val="auto"/>
              </w:rPr>
            </w:pPr>
            <w:r>
              <w:rPr>
                <w:rFonts w:ascii="Arial" w:cs="Arial" w:eastAsia="Arial" w:hAnsi="Arial"/>
                <w:sz w:val="14"/>
                <w:szCs w:val="14"/>
                <w:b w:val="1"/>
                <w:bCs w:val="1"/>
                <w:color w:val="auto"/>
                <w:w w:val="87"/>
              </w:rPr>
              <w:t>Costs</w:t>
            </w: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40" w:hanging="332"/>
        <w:spacing w:after="0" w:line="249" w:lineRule="auto"/>
        <w:tabs>
          <w:tab w:leader="none" w:pos="328"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provide the organic change in net sales and operating profit for our segments. We believe that these measures are useful to investors because they provide transparency to the underlying performance of our business, which allows for better year-over-year comparability. The organic change excludes acquisitions and divestitures, net; restructuring costs; and the effect of foreign currency exchange rate translation fluctuations and other significant non-recurring and non-operational items (“Other”). A reconciliation of these measures to reported U.S. GAAP amounts is provided in the table above. For Pratt &amp; Whitney only, Other also includes the transactional impact of foreign exchange hedging at Pratt &amp; Whitney Canada due to its significance to Pratt &amp; Whitney’s overall operating results.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sales decrease of $1.4 billion in the quarter ended March 31, 2021 compared to the quarter ended March 31, 2020 primarily reflects lower commercial aftermarket sales of $0.9 billion, primarily due to a significant reduction in shop visits and related spare part sales, and lower commercial OEM sales of $0.5 billion, primarily due to a significant reduction in commercial engine deliveries, all principally driven by the current economic environment primarily due to the COVID-19 pandemic. Military sales were up slightly in the quarter ended March 31, 2021 compared to the quarter ended March 31, 2020.</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organic profit decrease of $0.4 billion in the quarter ended March 31, 2021 compared to the quarter ended March 31, 2020 was primarily driven by lower commercial aerospace operating profit of $0.6 billion principally due to the aftermarket sales volume decrease discussed above and unfavorable mix. This decrease was partially offset by lower Research and development costs of $0.1 billion, which includes the impact of cost reduction initiatives, and lower Selling, general and administrative expenses of $0.1 billion primarily driven by the absence of a $62 million charge related to increased estimates of expected credit losses due to customer bankruptcies and additional allowances for credit losses in the quarter ended March 31, 2020. Included in organic profit in the quarter ended March 31, 2021 was other income of $29 million related to foreign government wage subsidies due to COVID-19.</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In the quarter ended March 31, 2021, Pratt &amp; Whitney had two notable defense bookings for $593 million in total for F-135 sustainment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Intelligence &amp; Space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Quarter Ended March 31,</w:t>
            </w:r>
          </w:p>
        </w:tc>
        <w:tc>
          <w:tcPr>
            <w:tcW w:w="880" w:type="dxa"/>
            <w:vAlign w:val="bottom"/>
            <w:tcBorders>
              <w:bottom w:val="single" w:sz="8" w:color="auto"/>
            </w:tcBorders>
          </w:tcPr>
          <w:p>
            <w:pPr>
              <w:spacing w:after="0"/>
              <w:rPr>
                <w:sz w:val="16"/>
                <w:szCs w:val="16"/>
                <w:color w:val="auto"/>
              </w:rPr>
            </w:pPr>
          </w:p>
        </w:tc>
      </w:tr>
      <w:tr>
        <w:trPr>
          <w:trHeight w:val="18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3,765</w:t>
            </w:r>
          </w:p>
        </w:tc>
        <w:tc>
          <w:tcPr>
            <w:tcW w:w="1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NM</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9"/>
                <w:szCs w:val="19"/>
                <w:color w:val="auto"/>
              </w:rPr>
            </w:pPr>
          </w:p>
        </w:tc>
        <w:tc>
          <w:tcPr>
            <w:tcW w:w="1220" w:type="dxa"/>
            <w:vAlign w:val="bottom"/>
          </w:tcPr>
          <w:p>
            <w:pPr>
              <w:jc w:val="right"/>
              <w:ind w:right="276"/>
              <w:spacing w:after="0"/>
              <w:rPr>
                <w:sz w:val="20"/>
                <w:szCs w:val="20"/>
                <w:color w:val="auto"/>
              </w:rPr>
            </w:pPr>
            <w:r>
              <w:rPr>
                <w:rFonts w:ascii="Arial" w:cs="Arial" w:eastAsia="Arial" w:hAnsi="Arial"/>
                <w:sz w:val="18"/>
                <w:szCs w:val="18"/>
                <w:b w:val="1"/>
                <w:bCs w:val="1"/>
                <w:color w:val="auto"/>
              </w:rPr>
              <w:t>388</w:t>
            </w:r>
          </w:p>
        </w:tc>
        <w:tc>
          <w:tcPr>
            <w:tcW w:w="1160" w:type="dxa"/>
            <w:vAlign w:val="bottom"/>
          </w:tcPr>
          <w:p>
            <w:pPr>
              <w:ind w:left="700"/>
              <w:spacing w:after="0"/>
              <w:rPr>
                <w:sz w:val="20"/>
                <w:szCs w:val="20"/>
                <w:color w:val="auto"/>
              </w:rPr>
            </w:pPr>
            <w:r>
              <w:rPr>
                <w:rFonts w:ascii="Arial" w:cs="Arial" w:eastAsia="Arial" w:hAnsi="Arial"/>
                <w:sz w:val="18"/>
                <w:szCs w:val="18"/>
                <w:color w:val="auto"/>
              </w:rPr>
              <w:t>—</w:t>
            </w:r>
          </w:p>
        </w:tc>
        <w:tc>
          <w:tcPr>
            <w:tcW w:w="880" w:type="dxa"/>
            <w:vAlign w:val="bottom"/>
          </w:tcPr>
          <w:p>
            <w:pPr>
              <w:ind w:left="580"/>
              <w:spacing w:after="0"/>
              <w:rPr>
                <w:sz w:val="20"/>
                <w:szCs w:val="20"/>
                <w:color w:val="auto"/>
              </w:rPr>
            </w:pPr>
            <w:r>
              <w:rPr>
                <w:rFonts w:ascii="Arial" w:cs="Arial" w:eastAsia="Arial" w:hAnsi="Arial"/>
                <w:sz w:val="18"/>
                <w:szCs w:val="18"/>
                <w:color w:val="auto"/>
                <w:w w:val="99"/>
              </w:rPr>
              <w:t>NM</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10.3 %</w:t>
            </w:r>
          </w:p>
        </w:tc>
        <w:tc>
          <w:tcPr>
            <w:tcW w:w="1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NM</w:t>
            </w:r>
          </w:p>
        </w:tc>
      </w:tr>
      <w:tr>
        <w:trPr>
          <w:trHeight w:val="237"/>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Bookings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3,726</w:t>
            </w:r>
          </w:p>
        </w:tc>
        <w:tc>
          <w:tcPr>
            <w:tcW w:w="11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NM</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net sales of $3,765 million in the quarter ended March 31, 2021 compared to the quarter ended March 31, 2020 was due to the Raytheon Merger on April 3, 2020.</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operating profit of $388 million and the related increase in operating profit margins in the quarter ended March 31, 2021 compared to the quarter ended March 31, 2020 was due to the Raytheon Merger.</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Backlog and Bookings</w:t>
      </w:r>
      <w:r>
        <w:rPr>
          <w:rFonts w:ascii="Arial" w:cs="Arial" w:eastAsia="Arial" w:hAnsi="Arial"/>
          <w:sz w:val="17"/>
          <w:szCs w:val="17"/>
          <w:color w:val="auto"/>
        </w:rPr>
        <w:t>– Backlog was $19,225 million at March 31, 2021 and $19,166 million at December 31, 2020. In the quarter ended March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RIS booked $1,427 million on a number of classified contracts, $227 million on a missile warning and defense contract, $199 million on an international tactical airborne radar sustainment contract and $185 million on an international training contract with the U.K. Royal Navy.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Missiles &amp; Defense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Quarter Ended March 31,</w:t>
            </w:r>
          </w:p>
        </w:tc>
        <w:tc>
          <w:tcPr>
            <w:tcW w:w="880" w:type="dxa"/>
            <w:vAlign w:val="bottom"/>
            <w:tcBorders>
              <w:bottom w:val="single" w:sz="8" w:color="auto"/>
            </w:tcBorders>
          </w:tcPr>
          <w:p>
            <w:pPr>
              <w:spacing w:after="0"/>
              <w:rPr>
                <w:sz w:val="16"/>
                <w:szCs w:val="16"/>
                <w:color w:val="auto"/>
              </w:rPr>
            </w:pPr>
          </w:p>
        </w:tc>
      </w:tr>
      <w:tr>
        <w:trPr>
          <w:trHeight w:val="18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3,793</w:t>
            </w:r>
          </w:p>
        </w:tc>
        <w:tc>
          <w:tcPr>
            <w:tcW w:w="1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NM</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9"/>
                <w:szCs w:val="19"/>
                <w:color w:val="auto"/>
              </w:rPr>
            </w:pPr>
          </w:p>
        </w:tc>
        <w:tc>
          <w:tcPr>
            <w:tcW w:w="1220" w:type="dxa"/>
            <w:vAlign w:val="bottom"/>
          </w:tcPr>
          <w:p>
            <w:pPr>
              <w:jc w:val="right"/>
              <w:ind w:right="276"/>
              <w:spacing w:after="0"/>
              <w:rPr>
                <w:sz w:val="20"/>
                <w:szCs w:val="20"/>
                <w:color w:val="auto"/>
              </w:rPr>
            </w:pPr>
            <w:r>
              <w:rPr>
                <w:rFonts w:ascii="Arial" w:cs="Arial" w:eastAsia="Arial" w:hAnsi="Arial"/>
                <w:sz w:val="18"/>
                <w:szCs w:val="18"/>
                <w:b w:val="1"/>
                <w:bCs w:val="1"/>
                <w:color w:val="auto"/>
              </w:rPr>
              <w:t>496</w:t>
            </w:r>
          </w:p>
        </w:tc>
        <w:tc>
          <w:tcPr>
            <w:tcW w:w="1160" w:type="dxa"/>
            <w:vAlign w:val="bottom"/>
          </w:tcPr>
          <w:p>
            <w:pPr>
              <w:ind w:left="700"/>
              <w:spacing w:after="0"/>
              <w:rPr>
                <w:sz w:val="20"/>
                <w:szCs w:val="20"/>
                <w:color w:val="auto"/>
              </w:rPr>
            </w:pPr>
            <w:r>
              <w:rPr>
                <w:rFonts w:ascii="Arial" w:cs="Arial" w:eastAsia="Arial" w:hAnsi="Arial"/>
                <w:sz w:val="18"/>
                <w:szCs w:val="18"/>
                <w:color w:val="auto"/>
              </w:rPr>
              <w:t>—</w:t>
            </w:r>
          </w:p>
        </w:tc>
        <w:tc>
          <w:tcPr>
            <w:tcW w:w="880" w:type="dxa"/>
            <w:vAlign w:val="bottom"/>
          </w:tcPr>
          <w:p>
            <w:pPr>
              <w:ind w:left="580"/>
              <w:spacing w:after="0"/>
              <w:rPr>
                <w:sz w:val="20"/>
                <w:szCs w:val="20"/>
                <w:color w:val="auto"/>
              </w:rPr>
            </w:pPr>
            <w:r>
              <w:rPr>
                <w:rFonts w:ascii="Arial" w:cs="Arial" w:eastAsia="Arial" w:hAnsi="Arial"/>
                <w:sz w:val="18"/>
                <w:szCs w:val="18"/>
                <w:color w:val="auto"/>
                <w:w w:val="99"/>
              </w:rPr>
              <w:t>NM</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13.1 %</w:t>
            </w:r>
          </w:p>
        </w:tc>
        <w:tc>
          <w:tcPr>
            <w:tcW w:w="1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NM</w:t>
            </w:r>
          </w:p>
        </w:tc>
      </w:tr>
      <w:tr>
        <w:trPr>
          <w:trHeight w:val="236"/>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Bookings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2,532</w:t>
            </w:r>
          </w:p>
        </w:tc>
        <w:tc>
          <w:tcPr>
            <w:tcW w:w="11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NM</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net sales of $3,793 million in the quarter ended March 31, 2021 compared to the quarter ended March 31, 2020 was due to the Raytheon Merger on April 3, 2020.</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operating profit of $496 million and the related increase in operating profit margins in the quarter ended March 31, 2021 compared to the quarter ended March 31, 2020, was due to the Raytheon Merger.</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Backlog and Bookings</w:t>
      </w:r>
      <w:r>
        <w:rPr>
          <w:rFonts w:ascii="Arial" w:cs="Arial" w:eastAsia="Arial" w:hAnsi="Arial"/>
          <w:sz w:val="18"/>
          <w:szCs w:val="18"/>
          <w:color w:val="auto"/>
        </w:rPr>
        <w:t>– Backlog was $27,710 million at March 31, 2021 and $29,103 million at December 31, 2020. In the quarter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RMD booked $518 million for Advanced Medium-Range Air-to-Air Missile (AMRAAM) for the U.S. Air Force and Navy and international customers and $247 million to provide Patriot engineering services support for the U.S. Army and international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non-reportable business segments, including Forcepoint, LLC, which was acquired as part of the Raytheon Merger and subsequently disposed of on January 8, 2021, as further discussed in “Note 2: Acquisitions, Dispositions, Goodwill and Intangible Assets” within Item 1 of this Form 10-Q.</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Net Sales</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Operating Profit</w:t>
            </w:r>
          </w:p>
        </w:tc>
        <w:tc>
          <w:tcPr>
            <w:tcW w:w="920" w:type="dxa"/>
            <w:vAlign w:val="bottom"/>
            <w:tcBorders>
              <w:bottom w:val="single" w:sz="8" w:color="auto"/>
            </w:tcBorders>
          </w:tcPr>
          <w:p>
            <w:pPr>
              <w:spacing w:after="0"/>
              <w:rPr>
                <w:sz w:val="16"/>
                <w:szCs w:val="16"/>
                <w:color w:val="auto"/>
              </w:rPr>
            </w:pPr>
          </w:p>
        </w:tc>
      </w:tr>
      <w:tr>
        <w:trPr>
          <w:trHeight w:val="186"/>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Quarter Ended March 31,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Quarter Ended March 31,</w:t>
            </w:r>
          </w:p>
        </w:tc>
      </w:tr>
      <w:tr>
        <w:trPr>
          <w:trHeight w:val="184"/>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 segment eliminations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non-reportable segments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8</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non-reportable segments sales and operating profit for the quarter ended March 31, 2021 was relatively consistent with the quarter ended March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expenses and other unallocated items</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Corporate expenses and other unallocated items consists of costs and certain other unallowable corporate costs not considered part of management’s evaluation of reportable segment operating performance including restructuring and merger costs related to the Raytheon Merger, net costs associated with corporate research and development, including the Lower Tier Air and Missile Defense Sensor (LTAMDS) program which was acquired as part of the Raytheon Merger, and certain reserves. See Restructuring Costs, above, for a more detailed discussion of our restructuring costs.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Quarter Ended March 31,</w:t>
            </w:r>
          </w:p>
        </w:tc>
        <w:tc>
          <w:tcPr>
            <w:tcW w:w="540" w:type="dxa"/>
            <w:vAlign w:val="bottom"/>
            <w:tcBorders>
              <w:bottom w:val="single" w:sz="8" w:color="auto"/>
            </w:tcBorders>
          </w:tcPr>
          <w:p>
            <w:pPr>
              <w:spacing w:after="0"/>
              <w:rPr>
                <w:sz w:val="16"/>
                <w:szCs w:val="16"/>
                <w:color w:val="auto"/>
              </w:rPr>
            </w:pP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231"/>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114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16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the change in Corporate expenses and other unallocated items of $49 million in the quarter ended March 31, 2021 compared to the quarter ended March 31, 2020 was $58 million of net expenses related to the LTAMDS project acquired as part of the Raytheon Merger, partially offset by other unallocated items with no individual or common significant driver.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results of RIS and RMD include pension and PRB expense as determined under U.S. government CAS, which we generally recover through the pricing of our products and services to the U.S. government. The difference between our CAS expense and the FAS service cost attributable to these segments under U.S. GAAP is the FAS/CAS operating adjustment. The FAS/CAS operating adjustment results in consolidated pension expense in operating profit equal to the service cost component of FAS expense under U.S. GAAP. The segment results of Collins Aerospace and Pratt &amp; Whitney generally include FAS service cost.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FAS/CAS operating adjustment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 service cost (expense)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center"/>
              <w:ind w:left="677"/>
              <w:spacing w:after="0"/>
              <w:rPr>
                <w:sz w:val="20"/>
                <w:szCs w:val="20"/>
                <w:color w:val="auto"/>
              </w:rPr>
            </w:pPr>
            <w:r>
              <w:rPr>
                <w:rFonts w:ascii="Arial" w:cs="Arial" w:eastAsia="Arial" w:hAnsi="Arial"/>
                <w:sz w:val="18"/>
                <w:szCs w:val="18"/>
                <w:b w:val="1"/>
                <w:bCs w:val="1"/>
                <w:color w:val="auto"/>
                <w:w w:val="95"/>
              </w:rPr>
              <w:t>(101)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 expense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97"/>
              <w:spacing w:after="0"/>
              <w:rPr>
                <w:sz w:val="20"/>
                <w:szCs w:val="20"/>
                <w:color w:val="auto"/>
              </w:rPr>
            </w:pPr>
            <w:r>
              <w:rPr>
                <w:rFonts w:ascii="Arial" w:cs="Arial" w:eastAsia="Arial" w:hAnsi="Arial"/>
                <w:sz w:val="18"/>
                <w:szCs w:val="18"/>
                <w:b w:val="1"/>
                <w:bCs w:val="1"/>
                <w:color w:val="auto"/>
                <w:w w:val="86"/>
              </w:rPr>
              <w:t>524</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center"/>
              <w:ind w:left="697"/>
              <w:spacing w:after="0"/>
              <w:rPr>
                <w:sz w:val="20"/>
                <w:szCs w:val="20"/>
                <w:color w:val="auto"/>
              </w:rPr>
            </w:pPr>
            <w:r>
              <w:rPr>
                <w:rFonts w:ascii="Arial" w:cs="Arial" w:eastAsia="Arial" w:hAnsi="Arial"/>
                <w:sz w:val="18"/>
                <w:szCs w:val="18"/>
                <w:b w:val="1"/>
                <w:bCs w:val="1"/>
                <w:color w:val="auto"/>
                <w:w w:val="86"/>
              </w:rPr>
              <w:t>423</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our FAS/CAS operating adjustment of $423 million in the quarter ended March 31, 2021 compared to the quarter ended March 31, 2020 was due to the Raytheon Merger on April 3, 2020.</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economic environment resulting from the COVID-19 pandemic, Congress passed the American Rescue Plan Act of 2021 (ARPA) in March 2021, which included pension funding relief provisions. These provisions extend and expand upon existing pension funding relief, most notably by increasing the liability interest rates used to determine the required cash contributions for our U.S. qualified pension plans. As a result, we expect required cash contributions to our U.S. qualified pension plans to be reduced beginning in 2022.</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ARPA pension funding relief provisions are expected to result in decreases to CAS expense, and the related recovery under our contracts, for our U.S. qualified pension plans beginning in 2022 as the interest rates used to determine pension funding requirements for these plans are also used in determining CAS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accounting adjustments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 These adjustments are not considered part of management’s evaluation of segment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 accounting adjustments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793"/>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Amortization of property, plant and equipment fair value adjustment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Amortization of customer contractual obligations related to acquired loss-making and below-market</w:t>
            </w: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90</w:t>
            </w:r>
          </w:p>
        </w:tc>
        <w:tc>
          <w:tcPr>
            <w:tcW w:w="4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Acquisition accounting adjustments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324"/>
        </w:trPr>
        <w:tc>
          <w:tcPr>
            <w:tcW w:w="7860" w:type="dxa"/>
            <w:vAlign w:val="bottom"/>
          </w:tcPr>
          <w:p>
            <w:pPr>
              <w:spacing w:after="0"/>
              <w:rPr>
                <w:sz w:val="20"/>
                <w:szCs w:val="20"/>
                <w:color w:val="auto"/>
              </w:rPr>
            </w:pPr>
            <w:r>
              <w:rPr>
                <w:rFonts w:ascii="Arial" w:cs="Arial" w:eastAsia="Arial" w:hAnsi="Arial"/>
                <w:sz w:val="18"/>
                <w:szCs w:val="18"/>
                <w:color w:val="auto"/>
              </w:rPr>
              <w:t>Acquisition accounting adjustments related to acquisitions in each segment were as follows: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793"/>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change in the Acquisition accounting adjustments of $245 million for the quarter ended March 31, 2021 compared to the quarter ended March 31, 2020, is primarily driven by $345 million related to the Raytheon Merger, principally driven by the amortization of intangibles. Included in Acquisitions accounting adjustments in the quarter ended March 31, 2021 was $47 million of amortization of customer contractual obligations due to the accelerated liquidation of a below-market contract reserve at Collins Aerospace driven by the termination of a customer contract.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8,579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8,802</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340" w:type="dxa"/>
            <w:vAlign w:val="bottom"/>
          </w:tcPr>
          <w:p>
            <w:pPr>
              <w:spacing w:after="0"/>
              <w:rPr>
                <w:sz w:val="19"/>
                <w:szCs w:val="19"/>
                <w:color w:val="auto"/>
              </w:rPr>
            </w:pPr>
          </w:p>
        </w:tc>
        <w:tc>
          <w:tcPr>
            <w:tcW w:w="1560" w:type="dxa"/>
            <w:vAlign w:val="bottom"/>
          </w:tcPr>
          <w:p>
            <w:pPr>
              <w:jc w:val="right"/>
              <w:ind w:right="213"/>
              <w:spacing w:after="0"/>
              <w:rPr>
                <w:sz w:val="20"/>
                <w:szCs w:val="20"/>
                <w:color w:val="auto"/>
              </w:rPr>
            </w:pPr>
            <w:r>
              <w:rPr>
                <w:rFonts w:ascii="Arial" w:cs="Arial" w:eastAsia="Arial" w:hAnsi="Arial"/>
                <w:sz w:val="18"/>
                <w:szCs w:val="18"/>
                <w:b w:val="1"/>
                <w:bCs w:val="1"/>
                <w:color w:val="auto"/>
              </w:rPr>
              <w:t>31,538</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31,823</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73,308</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73,852</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Total capitalization (total debt plus total equity)</w:t>
            </w:r>
          </w:p>
        </w:tc>
        <w:tc>
          <w:tcPr>
            <w:tcW w:w="2340" w:type="dxa"/>
            <w:vAlign w:val="bottom"/>
          </w:tcPr>
          <w:p>
            <w:pPr>
              <w:spacing w:after="0"/>
              <w:rPr>
                <w:sz w:val="19"/>
                <w:szCs w:val="19"/>
                <w:color w:val="auto"/>
              </w:rPr>
            </w:pPr>
          </w:p>
        </w:tc>
        <w:tc>
          <w:tcPr>
            <w:tcW w:w="1560" w:type="dxa"/>
            <w:vAlign w:val="bottom"/>
          </w:tcPr>
          <w:p>
            <w:pPr>
              <w:jc w:val="right"/>
              <w:ind w:right="213"/>
              <w:spacing w:after="0"/>
              <w:rPr>
                <w:sz w:val="20"/>
                <w:szCs w:val="20"/>
                <w:color w:val="auto"/>
              </w:rPr>
            </w:pPr>
            <w:r>
              <w:rPr>
                <w:rFonts w:ascii="Arial" w:cs="Arial" w:eastAsia="Arial" w:hAnsi="Arial"/>
                <w:sz w:val="18"/>
                <w:szCs w:val="18"/>
                <w:b w:val="1"/>
                <w:bCs w:val="1"/>
                <w:color w:val="auto"/>
              </w:rPr>
              <w:t>104,846</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105,675</w:t>
            </w:r>
          </w:p>
        </w:tc>
      </w:tr>
      <w:tr>
        <w:trPr>
          <w:trHeight w:val="237"/>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 to total capitalization</w:t>
            </w:r>
          </w:p>
        </w:tc>
        <w:tc>
          <w:tcPr>
            <w:tcW w:w="23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cash flows from operating activities.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 We had $6.84 billion available under our various credit facilities at March 31, 2021.</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our business has been and will continue to be impacted by COVID-19, as discussed above in Business Overview, we currently believe we have sufficient liquidity to withstand the potential impacts.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2021, we had cash and cash equivalents of $8.6 billion, of which approximately 48% was held by RTC’s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RTC will continue to permanently reinvest these earnings. We did not repatriate cash in the quarter ended March 31,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Historically, our strong credit ratings and financial position have enabled us to issue long-term debt at favorable interest rates.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2021, our maximum commercial paper borrowing limit was $5.0 billion as the commercial paper is backed by our $5.0 billion revolving credit agreement. We had $160 million of commercial paper borrowings as of March 31, 2021. The maximum amount of short-term commercial paper borrowings outstanding at any point in time during the quarter ended March 31, 2021 was $660 million. We use our commercial paper borrowings for general corporate purposes, including the funding of potential acquisitions, pension contributions, debt refinancing, dividend payments and repurchases of our common stock. The commercial paper notes outstanding have original maturities of not more than 90 days from the date of issuance.</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we had revolving credit agreements with various banks permitting aggregate borrowings of up to $7.0 billion consisting of a $5.0 billion revolving credit agreement that became available upon completion of the Raytheon Merger on April 3, 2020, and a $2.0 billion revolving credit agreement that we entered into in May 2020 and there were no borrowings outstanding under these agreements.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existing universal shelf registration statement, which we filed with the Securities and Exchange Commission (SEC) on September 27, 2019, for an indeterminate amount of debt and equity securities for future issuance, subject to our internal limitations on the amount of debt to be issued under this shelf registration statement.</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offered a voluntary supply chain finance (SCF) program with a global financial institution which enables our suppliers, at their sole discretion, to sell their receivables from the Company to the financial institution at a rate that leverages our credit rating, which might be beneficial to them. Our suppliers’ participation in the SCF program does not impact or change our terms and conditions with those suppliers, and therefore, we have no economic interest in a supplier’s decision to participate in the program. In addition, we provide no guarantees or otherwise pay for any of the costs of the program incurred by those suppliers that choose to participate, and have no direct financial relationship with the financial institution, as it relates to the program. As such, amounts due to suppliers that have elected to participate in the SCF program are included in Accounts payable on our Condensed Consolidated Balance Sheet and all payment activity related to amounts due to suppliers that elected to participate in the SCF program are reflected in cash flows from operating activities in our Condensed Consolidated Statement of Cash Flows. As of March 31, 2021, and December 31, 2020, the amount due to suppliers participating in the SCF program and included in Accounts payable was approximately $377 million and $394 million, respectively. The SCF program does not impact our overall liquidity.</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723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3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operating activities from discontinued operations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r>
    </w:tbl>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Operating Activities - Continuing Operations. </w:t>
      </w:r>
      <w:r>
        <w:rPr>
          <w:rFonts w:ascii="Arial" w:cs="Arial" w:eastAsia="Arial" w:hAnsi="Arial"/>
          <w:sz w:val="17"/>
          <w:szCs w:val="17"/>
          <w:color w:val="auto"/>
        </w:rPr>
        <w:t>Cash generated by operating activities from continuing operations in the quarter ended March 31, 2021 was</w:t>
      </w:r>
      <w:r>
        <w:rPr>
          <w:rFonts w:ascii="Arial" w:cs="Arial" w:eastAsia="Arial" w:hAnsi="Arial"/>
          <w:sz w:val="17"/>
          <w:szCs w:val="17"/>
          <w:i w:val="1"/>
          <w:iCs w:val="1"/>
          <w:color w:val="auto"/>
        </w:rPr>
        <w:t xml:space="preserve"> </w:t>
      </w:r>
      <w:r>
        <w:rPr>
          <w:rFonts w:ascii="Arial" w:cs="Arial" w:eastAsia="Arial" w:hAnsi="Arial"/>
          <w:sz w:val="17"/>
          <w:szCs w:val="17"/>
          <w:color w:val="auto"/>
        </w:rPr>
        <w:t>$409 million lower than the same period in 2020. This decrease was primarily due to the RIS and RMD segments as a result of the Raytheon Merger, which includes a cash outflow for accounts payable and accrued liabilities due to the timing of incentive compensation payments. Included in the change in cash generated by operating activities from continuing operations is an unfavorable change in accounts receivable of $1.2 billion primarily driven by an increase in collaborator receivables at Pratt &amp; Whitney largely offset by a related increase to collaborator payables.</w:t>
      </w:r>
    </w:p>
    <w:p>
      <w:pPr>
        <w:spacing w:after="0" w:line="6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enters into various factoring agreements with third-party financial institutions to sell certain of its receivables. Factoring activity resulted in an increase of approximately $260 million in cash flows from operating activities during the quarter ended March 31, 2021, as compared to the prior year.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contributions to our U.S. qualified and international defined benefit and PRB plans: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qualified defined benefit plans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International defined benefit plans</w:t>
            </w: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b w:val="1"/>
                <w:bCs w:val="1"/>
                <w:color w:val="auto"/>
              </w:rPr>
              <w:t>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PRB plans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make total contributions of approximately $50 million to our international defined benefit plans in 2021, which are expected to meet or exceed the current funding requirements.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economic environment resulting from the COVID-19 pandemic, Congress passed ARPA in March 2021, which included pension funding relief provisions. These provisions extend and expand upon existing pension funding relief, most notably by increasing the liability interest rates used to determine the required cash contributions for our U.S. qualified pension plans. As a result, we expect required cash contributions to our U.S. qualified pension plans to be reduced beginning in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made net tax payments of $113 million and $19 million in the quarters ended March 31, 2021 and 2020, respectively.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 Discontinued Operations. </w:t>
      </w:r>
      <w:r>
        <w:rPr>
          <w:rFonts w:ascii="Arial" w:cs="Arial" w:eastAsia="Arial" w:hAnsi="Arial"/>
          <w:sz w:val="18"/>
          <w:szCs w:val="18"/>
          <w:color w:val="auto"/>
        </w:rPr>
        <w:t>The $467 million increase in cash flows used in operating activities from discontinued operations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2021 compared to March 31, 2020 was primarily driven by the absence of separation costs in 2021 as the Separation Transactions occurred on April 3, 2020.</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investing activities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582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3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investing activities from discontinued operations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investing activities primarily include capital expenditures, cash investments in customer financing assets, investments/dispositions of businesses, payments related to our collaboration intangible assets and contractual rights to provide product on new aircraft platforms, and settlements of derivative contracts not designated as hedging instruments.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Activities - Continuing Operations. </w:t>
      </w:r>
      <w:r>
        <w:rPr>
          <w:rFonts w:ascii="Arial" w:cs="Arial" w:eastAsia="Arial" w:hAnsi="Arial"/>
          <w:sz w:val="18"/>
          <w:szCs w:val="18"/>
          <w:color w:val="auto"/>
        </w:rPr>
        <w:t>The $1,622 million change in cash flows provided by (used in) investing activities from continuing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quarter ended March 31, 2021 compared to March 31, 2020 primarily relates to the sale of our Forcepoint business and the timing of our derivative contract settlements, both of which are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Additions to property, plant and equipment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ind w:left="340"/>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92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31"/>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4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(387)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20"/>
                <w:szCs w:val="20"/>
                <w:color w:val="auto"/>
              </w:rPr>
            </w:pPr>
          </w:p>
        </w:tc>
      </w:tr>
      <w:tr>
        <w:trPr>
          <w:trHeight w:val="891"/>
        </w:trPr>
        <w:tc>
          <w:tcPr>
            <w:tcW w:w="4320" w:type="dxa"/>
            <w:vAlign w:val="bottom"/>
          </w:tcPr>
          <w:p>
            <w:pPr>
              <w:spacing w:after="0"/>
              <w:rPr>
                <w:sz w:val="24"/>
                <w:szCs w:val="24"/>
                <w:color w:val="auto"/>
              </w:rPr>
            </w:pPr>
          </w:p>
        </w:tc>
        <w:tc>
          <w:tcPr>
            <w:tcW w:w="3920" w:type="dxa"/>
            <w:vAlign w:val="bottom"/>
          </w:tcPr>
          <w:p>
            <w:pPr>
              <w:jc w:val="right"/>
              <w:ind w:right="243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Capital expenditures for the quarter ended March 31, 2021 increased by $62 million from the quarter ended March 31, 2020. The reductions in capital expenditures at Collins Aerospace and Pratt &amp; Whitney were more than offset by an increase in capital expenditures driven by the Raytheon Merger.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Dispositions of businesses in the quarter ended March 31, 2021 was $1.0 billion, net of cash transferred and related to the sale of our Forcepoint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 see “Note 2: Acquisitions, Dispositions, Goodwill and Intangible Assets” within Item 1 of this Form 10-Q.</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Increases to customer financing assets is primarily driven by additional Geared Turbofan engines to support customer fleets and was a use of cash of $95 million and $107 million in quarters ended March 31, 2021 and 2020, respectively. The decline within increases to customer financing assets is due to fewer engines added in the first quarter of 2021 compared to 2020. The decrease in customer financing assets, which provided a source of cash of $14 million in the quarter ended March 31, 2021 compared to $19 million in the quarter ended March 31, 2020, is driven by fewer sales of customer financing assets.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2021, we increased our collaboration intangible assets by $32 million, which primarily relates to payments made under our 2012 agreement to acquire Rolls-Royce’s collaboration interests in International Aero Engines AG (IAE).</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13: Financial Instruments” within Item 1 of this Form 10-Q,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quarters ended March 31, 2021 and 2020, we had net cash receipts of approximately $49 million and net cash payments of $524 million, respectively, from the settlement of these derivative instruments not designated as hedging instruments.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Investing Activities - Discontinued Operations. </w:t>
      </w:r>
      <w:r>
        <w:rPr>
          <w:rFonts w:ascii="Arial" w:cs="Arial" w:eastAsia="Arial" w:hAnsi="Arial"/>
          <w:sz w:val="17"/>
          <w:szCs w:val="17"/>
          <w:color w:val="auto"/>
        </w:rPr>
        <w:t>The $241 million decrease in cash flows used in investing activities from discontinued operations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ended March 31, 2021 compared to the quarter ended March 31, 2020 is primarily driven by outflows from short-term investment activity of $160 million and capital expenditures of $87 million in 2020 which did not recur in 2021, as the Separation Transactions occurred on April 3,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provided by financing activities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3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provided by financing activities from discontinued operations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5</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Our financing activities primarily include the issuance and repayment of short-term and long-term debt, payment of dividends and stock repurchases.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Financing Activities - Continuing Operations. </w:t>
      </w:r>
      <w:r>
        <w:rPr>
          <w:rFonts w:ascii="Arial" w:cs="Arial" w:eastAsia="Arial" w:hAnsi="Arial"/>
          <w:sz w:val="18"/>
          <w:szCs w:val="18"/>
          <w:color w:val="auto"/>
        </w:rPr>
        <w:t>Financing activities were a cash outflow of $1.5 billion in the quarter ended March 31, 2021 compared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cash inflow of $1.0 billion in the quarter ended March 31, 2020. This change is driven by the absence of distributions from discontinued operations of $17.2 billion in the quarter ended March 31, 2020 and an increase in share repurchases of $328 million, partially offset by a decrease in long-term debt repayments of $13.5 billion, a $1.0 billion change in net cash transfers to discontinued operations and a decrease in short-term borrowing repayments of $650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did not issue long-term debt during the quarter ended March 31, 2021.</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preparation for and in anticipation of the Separation Transactions and Distributions, the Company, Carrier and Otis issued and the Company repaid long-term debt in the quarter ended March 31, 2020, which are included in the tables below.</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the following issuances of long-term debt during the quarter ended March 31, 2020, which is inclusive of issuances made by Carrier and Otis prior to the Distributions, the proceeds of which were primarily used by the Company to extinguish Raytheon Technologies short-term and long-term debt, and therefore, these issuances were treated as a distribution from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within financing activities from continuing operations on our Condensed Consolidated Statement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Issuance Date</w:t>
            </w:r>
          </w:p>
        </w:tc>
        <w:tc>
          <w:tcPr>
            <w:tcW w:w="542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Description of Notes</w:t>
            </w:r>
          </w:p>
        </w:tc>
        <w:tc>
          <w:tcPr>
            <w:tcW w:w="1420" w:type="dxa"/>
            <w:vAlign w:val="bottom"/>
          </w:tcPr>
          <w:p>
            <w:pPr>
              <w:spacing w:after="0"/>
              <w:rPr>
                <w:sz w:val="14"/>
                <w:szCs w:val="14"/>
                <w:color w:val="auto"/>
              </w:rPr>
            </w:pPr>
          </w:p>
        </w:tc>
        <w:tc>
          <w:tcPr>
            <w:tcW w:w="226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Aggregate Principal Balance (in</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auto"/>
            </w:tcBorders>
            <w:vMerge w:val="continue"/>
          </w:tcPr>
          <w:p>
            <w:pPr>
              <w:spacing w:after="0"/>
              <w:rPr>
                <w:sz w:val="16"/>
                <w:szCs w:val="16"/>
                <w:color w:val="auto"/>
              </w:rPr>
            </w:pPr>
          </w:p>
        </w:tc>
        <w:tc>
          <w:tcPr>
            <w:tcW w:w="54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27, 2020</w:t>
            </w:r>
          </w:p>
        </w:tc>
        <w:tc>
          <w:tcPr>
            <w:tcW w:w="542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 xml:space="preserve">Term Loan due 2023 (Otis)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Term Loan due 2023 (Carrier)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27, 2020</w:t>
            </w: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1.923% notes due 2023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LIBOR plus 0.450% floating rate notes due 2023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2.056% notes due 2025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2.242% notes due 2025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2.293% notes due 2027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2.493% notes due 2027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2.565% notes due 2030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2.722% notes due 2030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3.112% notes due 2040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3.377% notes due 2040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3.362% notes due 2050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6"/>
        </w:trPr>
        <w:tc>
          <w:tcPr>
            <w:tcW w:w="214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ind w:left="420"/>
              <w:spacing w:after="0" w:line="230" w:lineRule="exact"/>
              <w:rPr>
                <w:sz w:val="20"/>
                <w:szCs w:val="20"/>
                <w:color w:val="auto"/>
              </w:rPr>
            </w:pPr>
            <w:r>
              <w:rPr>
                <w:rFonts w:ascii="Arial" w:cs="Arial" w:eastAsia="Arial" w:hAnsi="Arial"/>
                <w:sz w:val="18"/>
                <w:szCs w:val="18"/>
                <w:color w:val="auto"/>
              </w:rPr>
              <w:t xml:space="preserve">3.577% notes due 2050 </w:t>
            </w:r>
            <w:r>
              <w:rPr>
                <w:rFonts w:ascii="Arial" w:cs="Arial" w:eastAsia="Arial" w:hAnsi="Arial"/>
                <w:sz w:val="23"/>
                <w:szCs w:val="23"/>
                <w:color w:val="auto"/>
                <w:vertAlign w:val="superscript"/>
              </w:rPr>
              <w:t>(1)</w:t>
            </w:r>
          </w:p>
        </w:tc>
        <w:tc>
          <w:tcPr>
            <w:tcW w:w="1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73" w:lineRule="auto"/>
        <w:tabs>
          <w:tab w:leader="none" w:pos="325"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debt issuances and term loan draws reflect debt incurred by Carrier and Otis. The net proceeds of these issuances were primarily utilized to extinguish Raytheon Technologies short-term and long-term debt in order to not exceed the maximum applicable net indebtedness required by the Raytheon Merger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repayments of long-term debt during the quarters ended March 31, 2021 and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Repayment Date</w:t>
            </w:r>
          </w:p>
        </w:tc>
        <w:tc>
          <w:tcPr>
            <w:tcW w:w="5620" w:type="dxa"/>
            <w:vAlign w:val="bottom"/>
            <w:vMerge w:val="restart"/>
          </w:tcPr>
          <w:p>
            <w:pPr>
              <w:ind w:left="2880"/>
              <w:spacing w:after="0"/>
              <w:rPr>
                <w:sz w:val="20"/>
                <w:szCs w:val="20"/>
                <w:color w:val="auto"/>
              </w:rPr>
            </w:pPr>
            <w:r>
              <w:rPr>
                <w:rFonts w:ascii="Arial" w:cs="Arial" w:eastAsia="Arial" w:hAnsi="Arial"/>
                <w:sz w:val="14"/>
                <w:szCs w:val="14"/>
                <w:b w:val="1"/>
                <w:bCs w:val="1"/>
                <w:color w:val="auto"/>
              </w:rPr>
              <w:t>Description of Notes</w:t>
            </w:r>
          </w:p>
        </w:tc>
        <w:tc>
          <w:tcPr>
            <w:tcW w:w="1180" w:type="dxa"/>
            <w:vAlign w:val="bottom"/>
          </w:tcPr>
          <w:p>
            <w:pPr>
              <w:spacing w:after="0"/>
              <w:rPr>
                <w:sz w:val="14"/>
                <w:szCs w:val="14"/>
                <w:color w:val="auto"/>
              </w:rPr>
            </w:pPr>
          </w:p>
        </w:tc>
        <w:tc>
          <w:tcPr>
            <w:tcW w:w="226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Aggregate Principal Balance (in</w:t>
            </w:r>
          </w:p>
        </w:tc>
        <w:tc>
          <w:tcPr>
            <w:tcW w:w="0" w:type="dxa"/>
            <w:vAlign w:val="bottom"/>
          </w:tcPr>
          <w:p>
            <w:pPr>
              <w:spacing w:after="0"/>
              <w:rPr>
                <w:sz w:val="1"/>
                <w:szCs w:val="1"/>
                <w:color w:val="auto"/>
              </w:rPr>
            </w:pPr>
          </w:p>
        </w:tc>
      </w:tr>
      <w:tr>
        <w:trPr>
          <w:trHeight w:val="188"/>
        </w:trPr>
        <w:tc>
          <w:tcPr>
            <w:tcW w:w="2180" w:type="dxa"/>
            <w:vAlign w:val="bottom"/>
            <w:tcBorders>
              <w:bottom w:val="single" w:sz="8" w:color="auto"/>
            </w:tcBorders>
            <w:vMerge w:val="continue"/>
          </w:tcPr>
          <w:p>
            <w:pPr>
              <w:spacing w:after="0"/>
              <w:rPr>
                <w:sz w:val="16"/>
                <w:szCs w:val="16"/>
                <w:color w:val="auto"/>
              </w:rPr>
            </w:pPr>
          </w:p>
        </w:tc>
        <w:tc>
          <w:tcPr>
            <w:tcW w:w="56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w:t>
            </w:r>
          </w:p>
        </w:tc>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8.750% notes due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March 29, 2020</w:t>
            </w: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1.150% notes due 2024 (€750 million principal value)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 2020</w:t>
            </w: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3.350% notes due 2021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19"/>
                <w:szCs w:val="19"/>
                <w:color w:val="auto"/>
              </w:rPr>
            </w:pP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March 2, 2020</w:t>
            </w:r>
          </w:p>
        </w:tc>
        <w:tc>
          <w:tcPr>
            <w:tcW w:w="56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3"/>
                <w:szCs w:val="23"/>
                <w:color w:val="auto"/>
                <w:vertAlign w:val="superscript"/>
              </w:rPr>
              <w:t>(1)(2)</w:t>
            </w:r>
          </w:p>
        </w:tc>
        <w:tc>
          <w:tcPr>
            <w:tcW w:w="1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28, 2020</w:t>
            </w:r>
          </w:p>
        </w:tc>
        <w:tc>
          <w:tcPr>
            <w:tcW w:w="562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(1)(2)</w:t>
            </w:r>
          </w:p>
        </w:tc>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380"/>
              <w:spacing w:after="0" w:line="23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(1)(2)</w:t>
            </w:r>
          </w:p>
        </w:tc>
        <w:tc>
          <w:tcPr>
            <w:tcW w:w="1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69" w:lineRule="auto"/>
        <w:tabs>
          <w:tab w:leader="none" w:pos="328"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connection with the early repayment of outstanding principal, Raytheon Technologies recorded debt extinguishment costs of $660 million for the quarter ended March 31, 2020, which are classified as discontinued operations in our Condensed Consolidated Statement of Operations as we would not have had to redeem the debt, except for the Separation Transactions.</w:t>
      </w: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Extinguishment of Raytheon Technologies short-term and long-term debt in order to not exceed the maximum net indebtedness required by the Raytheon Merger Agreement.</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management had remaining authority to repurchase approximately $4.6 billion of our common stock under the December 7, 2020 share repurchase program. Under this program, shares may be purchased on the open market, in privately negotiated transactions, under accelerated share repurchase programs, and under plans complying with Rules 10b5-1 and 10b-18 under the Exchange Act. We may also reacquire shares outside of the program from time to time in connection with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surrender of shares to cover taxes on vesting of restricted stock and as required under our employee savings plan. Our ability to repurchase shares is subject to applicable law.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share repurchases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Quarter Ended March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8"/>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shares in thousands)</w:t>
            </w: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r>
      <w:tr>
        <w:trPr>
          <w:trHeight w:val="183"/>
        </w:trPr>
        <w:tc>
          <w:tcPr>
            <w:tcW w:w="59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Shares</w:t>
            </w:r>
          </w:p>
        </w:tc>
      </w:tr>
      <w:tr>
        <w:trPr>
          <w:trHeight w:val="231"/>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of Common Stock repurchased</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b w:val="1"/>
                <w:bCs w:val="1"/>
                <w:color w:val="auto"/>
              </w:rPr>
              <w:t>375</w:t>
            </w: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5,197</w:t>
            </w:r>
          </w:p>
        </w:tc>
        <w:tc>
          <w:tcPr>
            <w:tcW w:w="110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47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Our Board of Directors authorized the following cash dividends: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9"/>
        </w:trPr>
        <w:tc>
          <w:tcPr>
            <w:tcW w:w="5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4"/>
                <w:szCs w:val="14"/>
                <w:b w:val="1"/>
                <w:bCs w:val="1"/>
                <w:color w:val="auto"/>
              </w:rPr>
              <w:t>Quarter Ended March 31,</w:t>
            </w:r>
          </w:p>
        </w:tc>
      </w:tr>
      <w:tr>
        <w:trPr>
          <w:trHeight w:val="188"/>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share of Common Stock</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0.475</w:t>
            </w:r>
          </w:p>
        </w:tc>
        <w:tc>
          <w:tcPr>
            <w:tcW w:w="5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0.735</w:t>
            </w:r>
          </w:p>
        </w:tc>
      </w:tr>
      <w:tr>
        <w:trPr>
          <w:trHeight w:val="237"/>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dividends paid</w:t>
            </w:r>
          </w:p>
        </w:tc>
        <w:tc>
          <w:tcPr>
            <w:tcW w:w="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w:t>
            </w:r>
          </w:p>
        </w:tc>
        <w:tc>
          <w:tcPr>
            <w:tcW w:w="5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26, 2021 the Board of Directors declared a dividend of $0.51 per share payable June 17, 2021 to shareowners of record at the close of business on May 21, 2021.</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Financing Activities - Discontinued Operations. </w:t>
      </w:r>
      <w:r>
        <w:rPr>
          <w:rFonts w:ascii="Arial" w:cs="Arial" w:eastAsia="Arial" w:hAnsi="Arial"/>
          <w:sz w:val="16"/>
          <w:szCs w:val="16"/>
          <w:color w:val="auto"/>
        </w:rPr>
        <w:t>The $317 million decrease in cash flows provided by financing activities from discontinued operations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quarter ended March 31, 2021 compared to March 31, 2020 is driven by net transfer activity of $1.0 billion, partially offset by $660 million of debt extinguishment costs related to the early repayment of debt in the quarter ended March 31, 2020, none of which recurred in the first quarter of 2021.</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quarter ended March 31, 2021. For discussion of our exposure to market risk, refer to Part II, Item 7A, “Quantitative and Qualitative Disclosures About Market Risk,” contained in our 2020 Form 10-K.</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President and Chief Executive Officer (CEO), the Executive Vice President and Chief Financial Officer (CFO) and the Corporate Vice President and Controller (Controller), of the effectiveness of the design and operation of our disclosure controls and procedures as of March 31, 2021.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March 31, 2021,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payments and rates, research and development spending, other measures of financial performance, potential future plans, strategies or transactions, credit ratings and net indebtedness, the Raytheon Merger or the Separation Transactions, including estimated synergies and customer cost savings resulting from the Raytheon Merger and the anticipated benefits and costs of the Separation Transactions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78" w:lineRule="exact"/>
        <w:rPr>
          <w:sz w:val="20"/>
          <w:szCs w:val="20"/>
          <w:color w:val="auto"/>
        </w:rPr>
      </w:pPr>
    </w:p>
    <w:p>
      <w:pPr>
        <w:jc w:val="both"/>
        <w:ind w:left="660" w:hanging="328"/>
        <w:spacing w:after="0" w:line="26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effect of economic conditions in the industries and countries in which Raytheon Technologies Corporation (RTC) operates in the U.S. and globally and any changes therein, including financial market conditions, fluctuations in commodity prices, interest rates and foreign currency exchange rates, levels of end-customer demand in both the commercial and defense segments of the aerospace industry, levels of air travel, financial condition of commercial airlines, the impact of pandemic health issues (including the coronavirus disease 2019 (COVID-19) and its effects, among other things, on global supply, demand and distribution capabilities as the COVID-19 pandemic continues and results in an increasingly prolonged period of disruption to air travel and commercial activities generally, and significant restrictions and limitations on businesses, particularly within the aerospace and commercial airlines industries), aviation safety concerns, weather conditions and natural disasters, the financial condition of our customers and suppliers, and the risks associated with U.S. government sales (including changes or shifts in defense spending due to budgetary constraints, spending cuts resulting from sequestration or the allocation of funds to governmental responses to COVID-19, a government shutdown, or otherwise, and uncertain funding of programs);</w:t>
      </w:r>
    </w:p>
    <w:p>
      <w:pPr>
        <w:spacing w:after="0" w:line="7" w:lineRule="exact"/>
        <w:rPr>
          <w:rFonts w:ascii="Arial" w:cs="Arial" w:eastAsia="Arial" w:hAnsi="Arial"/>
          <w:sz w:val="17"/>
          <w:szCs w:val="17"/>
          <w:color w:val="auto"/>
        </w:rPr>
      </w:pPr>
    </w:p>
    <w:p>
      <w:pPr>
        <w:ind w:left="660" w:right="20" w:hanging="328"/>
        <w:spacing w:after="0" w:line="26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challenges in the development, production, delivery, support, performance, safety, regulatory compliance and realization of the anticipated benefits (including our expected returns under customer contracts) of advanced technologies and new products and services;</w:t>
      </w:r>
    </w:p>
    <w:p>
      <w:pPr>
        <w:jc w:val="both"/>
        <w:ind w:left="660" w:hanging="328"/>
        <w:spacing w:after="0" w:line="26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nature, impact or timing of acquisition and divestiture activity, including among other things the integration of United Technologies Corporation (UTC) and Raytheon Company’s businesses and the integration of RTC with other businesses acquired before and after the Raytheon Merger, and realization of synergies and opportunities for growth and innovation and incurrence of related costs and expenses, including the possibility that the anticipated benefits from the combination of UTC and Raytheon Company’s businesses or other acquired businesses cannot be realized in full or may take longer to realize than expected, or the possibility that costs or difficulties related to the integration of UTC’s businesses with Raytheon Company’s or other acquired businesses will be greater than expected or may not result in the achievement of estimated synergies within the contemplated time frame or at all;</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RTC’s levels of indebtedness, capital spending and research and development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scope of future repurchases by RTC of its common stock, which are subject to a number of uncertainties and may be discontinued, accelerated, suspended or delayed at any time due to various factors, including market conditions and the level of other investing activities and uses of cash;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 (including the potential termination of U.S. government contracts and performance under undefinitized contract actions and the potential inability to recover termination costs);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realize the intended benefits of organizational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9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effect of changes in political conditions in the U.S. and other countries in which RTC and its businesses operate, including the effect of changes in U.S. trade policies, on general market conditions, global trade policies and currency exchange rates in the near term and beyond;</w:t>
      </w: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changes in policy positions or priorities that emerge from a new U.S. Administration, including changes in the U.S. Department of Defense (DoD) policies or priorities;</w:t>
      </w:r>
    </w:p>
    <w:p>
      <w:pPr>
        <w:jc w:val="both"/>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and other laws and regulations (including, among other things, export and import requirements such as the International Traffic in Arms Regulations and the Export Administration Regulations, anti-bribery and anti-corruption requirements, including the Foreign Corrupt Practices Act, industrial cooperation agreement obligations, and procurement and other regulations) in the U.S. and other countries in which RTC and its businesses operate;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RTC to retain and hire key personnel and the ability of our personnel to continue to operate our facilities and businesses around the world in light of, among other factors, the COVID-19 pandemic; and</w:t>
      </w:r>
    </w:p>
    <w:p>
      <w:pPr>
        <w:ind w:left="66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intended qualification of (1) the Raytheon Merger as a tax-free reorganization and (2) the Separation Transactions and other internal restructurings as tax-free to UTC and former UTC shareowners, in each case, for U.S. federal income tax purposes.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addition, this Form 10-Q includes important information as to risks, uncertainties and other factors that may cause actual results to differ materially from those expressed or implied in the forward-looking statements. See “Note 17: Commitments and Contingencies” within Item 1 of this Form 10-Q and “Management’s Discussion and Analysis of Financial Condition and Results of Operations” under the headings “Results of Operations,” “Restructuring Costs”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“Critical Accounting Estimates,” “Environmental Matters”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w:t>
      </w:r>
      <w:r>
        <w:rPr>
          <w:rFonts w:ascii="Arial" w:cs="Arial" w:eastAsia="Arial" w:hAnsi="Arial"/>
          <w:sz w:val="16"/>
          <w:szCs w:val="16"/>
          <w:color w:val="212529"/>
        </w:rPr>
        <w:t>Securities and Exchange Commission (SEC)</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17: Commitments and Contingencies” within Item 1 of this Form 10-Q for a discussion regarding material legal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2020 Annual Report on Form 10-K.</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carefully review and consider the information regarding certain factors which could materially affect our business, financial condition or future results set forth under Item 1A. in our 2020 Annual Report on Form 10-K (2020 Form 10-K). There have been no material changes from the factors disclosed in our 2020 Form 10-K, although we may disclose changes to such factors or disclose additional factors from time to time in our future filings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our purchases of equity securities that are registered by us pursuant to Section 12 of the Exchange Act during the quarter ended March 31,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92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460" w:type="dxa"/>
            <w:vAlign w:val="bottom"/>
            <w:vMerge w:val="restart"/>
          </w:tcPr>
          <w:p>
            <w:pPr>
              <w:jc w:val="center"/>
              <w:ind w:left="438"/>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1920" w:type="dxa"/>
            <w:vAlign w:val="bottom"/>
            <w:gridSpan w:val="2"/>
          </w:tcPr>
          <w:p>
            <w:pPr>
              <w:jc w:val="center"/>
              <w:ind w:left="37"/>
              <w:spacing w:after="0" w:line="135"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3"/>
              </w:rPr>
              <w:t>Average Price Paid per</w:t>
            </w: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35"/>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2021</w:t>
            </w:r>
          </w:p>
        </w:tc>
        <w:tc>
          <w:tcPr>
            <w:tcW w:w="2460" w:type="dxa"/>
            <w:vAlign w:val="bottom"/>
          </w:tcPr>
          <w:p>
            <w:pPr>
              <w:jc w:val="center"/>
              <w:ind w:left="418"/>
              <w:spacing w:after="0" w:line="135"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Announced Program</w:t>
            </w:r>
          </w:p>
        </w:tc>
        <w:tc>
          <w:tcPr>
            <w:tcW w:w="320" w:type="dxa"/>
            <w:vAlign w:val="bottom"/>
          </w:tcPr>
          <w:p>
            <w:pPr>
              <w:spacing w:after="0"/>
              <w:rPr>
                <w:sz w:val="11"/>
                <w:szCs w:val="11"/>
                <w:color w:val="auto"/>
              </w:rPr>
            </w:pPr>
          </w:p>
        </w:tc>
        <w:tc>
          <w:tcPr>
            <w:tcW w:w="160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88"/>
        </w:trPr>
        <w:tc>
          <w:tcPr>
            <w:tcW w:w="2580" w:type="dxa"/>
            <w:vAlign w:val="bottom"/>
            <w:tcBorders>
              <w:bottom w:val="single" w:sz="8" w:color="auto"/>
            </w:tcBorders>
            <w:vMerge w:val="continue"/>
          </w:tcPr>
          <w:p>
            <w:pPr>
              <w:spacing w:after="0"/>
              <w:rPr>
                <w:sz w:val="16"/>
                <w:szCs w:val="16"/>
                <w:color w:val="auto"/>
              </w:rPr>
            </w:pPr>
          </w:p>
        </w:tc>
        <w:tc>
          <w:tcPr>
            <w:tcW w:w="2460" w:type="dxa"/>
            <w:vAlign w:val="bottom"/>
            <w:tcBorders>
              <w:bottom w:val="single" w:sz="8" w:color="auto"/>
            </w:tcBorders>
          </w:tcPr>
          <w:p>
            <w:pPr>
              <w:jc w:val="center"/>
              <w:ind w:left="418"/>
              <w:spacing w:after="0"/>
              <w:rPr>
                <w:sz w:val="20"/>
                <w:szCs w:val="20"/>
                <w:color w:val="auto"/>
              </w:rPr>
            </w:pPr>
            <w:r>
              <w:rPr>
                <w:rFonts w:ascii="Arial" w:cs="Arial" w:eastAsia="Arial" w:hAnsi="Arial"/>
                <w:sz w:val="14"/>
                <w:szCs w:val="14"/>
                <w:b w:val="1"/>
                <w:bCs w:val="1"/>
                <w:color w:val="auto"/>
                <w:w w:val="90"/>
              </w:rPr>
              <w:t>(000’s)</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Share</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(000’s)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24"/>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 January 31</w:t>
            </w:r>
          </w:p>
        </w:tc>
        <w:tc>
          <w:tcPr>
            <w:tcW w:w="24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589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67.57</w:t>
            </w:r>
          </w:p>
        </w:tc>
        <w:tc>
          <w:tcPr>
            <w:tcW w:w="22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589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February 1 - February 28</w:t>
            </w:r>
          </w:p>
        </w:tc>
        <w:tc>
          <w:tcPr>
            <w:tcW w:w="2460" w:type="dxa"/>
            <w:vAlign w:val="bottom"/>
          </w:tcPr>
          <w:p>
            <w:pPr>
              <w:jc w:val="right"/>
              <w:ind w:right="98"/>
              <w:spacing w:after="0"/>
              <w:rPr>
                <w:sz w:val="20"/>
                <w:szCs w:val="20"/>
                <w:color w:val="auto"/>
              </w:rPr>
            </w:pPr>
            <w:r>
              <w:rPr>
                <w:rFonts w:ascii="Arial" w:cs="Arial" w:eastAsia="Arial" w:hAnsi="Arial"/>
                <w:sz w:val="18"/>
                <w:szCs w:val="18"/>
                <w:color w:val="auto"/>
              </w:rPr>
              <w:t>3,655</w:t>
            </w:r>
          </w:p>
        </w:tc>
        <w:tc>
          <w:tcPr>
            <w:tcW w:w="280" w:type="dxa"/>
            <w:vAlign w:val="bottom"/>
          </w:tcPr>
          <w:p>
            <w:pPr>
              <w:spacing w:after="0"/>
              <w:rPr>
                <w:sz w:val="19"/>
                <w:szCs w:val="19"/>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71.92</w:t>
            </w:r>
          </w:p>
        </w:tc>
        <w:tc>
          <w:tcPr>
            <w:tcW w:w="2260" w:type="dxa"/>
            <w:vAlign w:val="bottom"/>
          </w:tcPr>
          <w:p>
            <w:pPr>
              <w:jc w:val="right"/>
              <w:ind w:right="99"/>
              <w:spacing w:after="0"/>
              <w:rPr>
                <w:sz w:val="20"/>
                <w:szCs w:val="20"/>
                <w:color w:val="auto"/>
              </w:rPr>
            </w:pPr>
            <w:r>
              <w:rPr>
                <w:rFonts w:ascii="Arial" w:cs="Arial" w:eastAsia="Arial" w:hAnsi="Arial"/>
                <w:sz w:val="18"/>
                <w:szCs w:val="18"/>
                <w:color w:val="auto"/>
              </w:rPr>
              <w:t>3,655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 March 31</w:t>
            </w:r>
          </w:p>
        </w:tc>
        <w:tc>
          <w:tcPr>
            <w:tcW w:w="24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953</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75.93</w:t>
            </w:r>
          </w:p>
        </w:tc>
        <w:tc>
          <w:tcPr>
            <w:tcW w:w="2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953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5,197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72.16</w:t>
            </w:r>
          </w:p>
        </w:tc>
        <w:tc>
          <w:tcPr>
            <w:tcW w:w="22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5,197</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7, 2020, our Board of Directors authorized a share repurchase program for up to $5 billion of our common stock, replacing the previous program announced on October 14, 2015. Under this program, shares may be purchased on the open market, in privately negotiated transactions, under accelerated share repurchase programs, and under plans complying with Rules 10b5-1 and 10b-18 under the Exchange Act. We may also reacquire shares outside of the program from time to time in connection with the surrender of shares to cover taxes on vesting of restricted stock and as required under our employee savings plan. Our ability to repurchase shares is subject to applicable law. No shares were reacquired in transactions outside the program during the quarter ended March 31, 2021.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40" w:type="dxa"/>
            <w:vAlign w:val="bottom"/>
            <w:gridSpan w:val="4"/>
          </w:tcPr>
          <w:p>
            <w:pPr>
              <w:ind w:left="1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32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940" w:type="dxa"/>
            <w:vAlign w:val="bottom"/>
            <w:gridSpan w:val="4"/>
          </w:tcPr>
          <w:p>
            <w:pPr>
              <w:ind w:left="1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32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top w:val="single" w:sz="8" w:color="auto"/>
            </w:tcBorders>
            <w:gridSpan w:val="3"/>
          </w:tcPr>
          <w:p>
            <w:pPr>
              <w:ind w:left="140"/>
              <w:spacing w:after="0"/>
              <w:rPr>
                <w:rFonts w:ascii="Arial" w:cs="Arial" w:eastAsia="Arial" w:hAnsi="Arial"/>
                <w:sz w:val="18"/>
                <w:szCs w:val="18"/>
                <w:color w:val="0000FF"/>
                <w:w w:val="85"/>
              </w:rPr>
            </w:pPr>
            <w:hyperlink r:id="rId7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320" w:type="dxa"/>
            <w:vAlign w:val="bottom"/>
            <w:tcBorders>
              <w:top w:val="single" w:sz="8" w:color="auto"/>
            </w:tcBorders>
            <w:gridSpan w:val="23"/>
          </w:tcPr>
          <w:p>
            <w:pPr>
              <w:spacing w:after="0"/>
              <w:rPr>
                <w:rFonts w:ascii="Arial" w:cs="Arial" w:eastAsia="Arial" w:hAnsi="Arial"/>
                <w:sz w:val="18"/>
                <w:szCs w:val="18"/>
                <w:color w:val="0000FF"/>
                <w:w w:val="95"/>
              </w:rPr>
            </w:pPr>
            <w:hyperlink r:id="rId71">
              <w:r>
                <w:rPr>
                  <w:rFonts w:ascii="Arial" w:cs="Arial" w:eastAsia="Arial" w:hAnsi="Arial"/>
                  <w:sz w:val="18"/>
                  <w:szCs w:val="18"/>
                  <w:color w:val="0000FF"/>
                  <w:w w:val="95"/>
                </w:rPr>
                <w:t>First Amendment, dated March 4, 2021, to Employment Agreement between Gregory J. Hayes and Raytheon Technologies Corporation</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(incorporated by reference to Exhibit 10.1 of the Company’s Current Report on Form 8-K (Commission file number 1-812)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SEC on March 5,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ind w:left="140"/>
              <w:spacing w:after="0"/>
              <w:rPr>
                <w:rFonts w:ascii="Arial" w:cs="Arial" w:eastAsia="Arial" w:hAnsi="Arial"/>
                <w:sz w:val="18"/>
                <w:szCs w:val="18"/>
                <w:color w:val="0000FF"/>
                <w:w w:val="85"/>
              </w:rPr>
            </w:pPr>
            <w:hyperlink w:anchor="page5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23"/>
          </w:tcPr>
          <w:p>
            <w:pPr>
              <w:spacing w:after="0"/>
              <w:rPr>
                <w:rFonts w:ascii="Arial" w:cs="Arial" w:eastAsia="Arial" w:hAnsi="Arial"/>
                <w:sz w:val="18"/>
                <w:szCs w:val="18"/>
                <w:color w:val="0000FF"/>
                <w:w w:val="93"/>
              </w:rPr>
            </w:pPr>
            <w:hyperlink w:anchor="page59">
              <w:r>
                <w:rPr>
                  <w:rFonts w:ascii="Arial" w:cs="Arial" w:eastAsia="Arial" w:hAnsi="Arial"/>
                  <w:sz w:val="18"/>
                  <w:szCs w:val="18"/>
                  <w:color w:val="0000FF"/>
                  <w:w w:val="93"/>
                </w:rPr>
                <w:t>Employment Agreement, dated as of June 9, 2019, between Thomas A. Kennedy and United Technologies Corporation, which supersedes</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4"/>
              </w:rPr>
            </w:pPr>
            <w:hyperlink w:anchor="page59">
              <w:r>
                <w:rPr>
                  <w:rFonts w:ascii="Arial" w:cs="Arial" w:eastAsia="Arial" w:hAnsi="Arial"/>
                  <w:sz w:val="18"/>
                  <w:szCs w:val="18"/>
                  <w:color w:val="0000FF"/>
                  <w:w w:val="94"/>
                </w:rPr>
                <w:t>Exhibit 10.46 to the Company’s Annual Report on Form 10-K (Commission file number 1-812) for the fiscal year ended December 31,</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tcBorders>
              <w:bottom w:val="single" w:sz="8" w:color="0000FF"/>
            </w:tcBorders>
            <w:gridSpan w:val="18"/>
          </w:tcPr>
          <w:p>
            <w:pPr>
              <w:spacing w:after="0" w:line="156" w:lineRule="exact"/>
              <w:rPr>
                <w:rFonts w:ascii="Arial" w:cs="Arial" w:eastAsia="Arial" w:hAnsi="Arial"/>
                <w:sz w:val="18"/>
                <w:szCs w:val="18"/>
                <w:color w:val="0000FF"/>
                <w:w w:val="97"/>
              </w:rPr>
            </w:pPr>
            <w:hyperlink w:anchor="page59">
              <w:r>
                <w:rPr>
                  <w:rFonts w:ascii="Arial" w:cs="Arial" w:eastAsia="Arial" w:hAnsi="Arial"/>
                  <w:sz w:val="18"/>
                  <w:szCs w:val="18"/>
                  <w:color w:val="0000FF"/>
                  <w:w w:val="97"/>
                </w:rPr>
                <w:t>2020. This Exhibit 10.2 is being filed as an administrative correction to Exhibit 10.46 to the Company’s Annual Report on Form 10-K</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tcBorders>
              <w:bottom w:val="single" w:sz="8" w:color="0000FF"/>
            </w:tcBorders>
            <w:gridSpan w:val="9"/>
          </w:tcPr>
          <w:p>
            <w:pPr>
              <w:spacing w:after="0" w:line="156" w:lineRule="exact"/>
              <w:rPr>
                <w:rFonts w:ascii="Arial" w:cs="Arial" w:eastAsia="Arial" w:hAnsi="Arial"/>
                <w:sz w:val="18"/>
                <w:szCs w:val="18"/>
                <w:color w:val="0000FF"/>
                <w:w w:val="92"/>
              </w:rPr>
            </w:pPr>
            <w:hyperlink w:anchor="page59">
              <w:r>
                <w:rPr>
                  <w:rFonts w:ascii="Arial" w:cs="Arial" w:eastAsia="Arial" w:hAnsi="Arial"/>
                  <w:sz w:val="18"/>
                  <w:szCs w:val="18"/>
                  <w:color w:val="0000FF"/>
                  <w:w w:val="92"/>
                </w:rPr>
                <w:t>(Commission file number 1-812), which inadvertently contained formatting errors.*</w:t>
              </w:r>
            </w:hyperlink>
          </w:p>
        </w:tc>
        <w:tc>
          <w:tcPr>
            <w:tcW w:w="418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60" w:type="dxa"/>
            <w:vAlign w:val="bottom"/>
            <w:gridSpan w:val="3"/>
          </w:tcPr>
          <w:p>
            <w:pPr>
              <w:ind w:left="140"/>
              <w:spacing w:after="0"/>
              <w:rPr>
                <w:rFonts w:ascii="Arial" w:cs="Arial" w:eastAsia="Arial" w:hAnsi="Arial"/>
                <w:sz w:val="18"/>
                <w:szCs w:val="18"/>
                <w:color w:val="0000FF"/>
                <w:w w:val="85"/>
              </w:rPr>
            </w:pPr>
            <w:hyperlink w:anchor="page7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23"/>
          </w:tcPr>
          <w:p>
            <w:pPr>
              <w:spacing w:after="0"/>
              <w:rPr>
                <w:rFonts w:ascii="Arial" w:cs="Arial" w:eastAsia="Arial" w:hAnsi="Arial"/>
                <w:sz w:val="18"/>
                <w:szCs w:val="18"/>
                <w:color w:val="0000FF"/>
                <w:w w:val="93"/>
              </w:rPr>
            </w:pPr>
            <w:hyperlink w:anchor="page73">
              <w:r>
                <w:rPr>
                  <w:rFonts w:ascii="Arial" w:cs="Arial" w:eastAsia="Arial" w:hAnsi="Arial"/>
                  <w:sz w:val="18"/>
                  <w:szCs w:val="18"/>
                  <w:color w:val="0000FF"/>
                  <w:w w:val="93"/>
                </w:rPr>
                <w:t>First Amendment, dated March 4, 2021, to Employment Agreement between Thomas A. Kennedy and Raytheon Technologies Corporation</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w:anchor="page73">
              <w:r>
                <w:rPr>
                  <w:rFonts w:ascii="Arial" w:cs="Arial" w:eastAsia="Arial" w:hAnsi="Arial"/>
                  <w:sz w:val="18"/>
                  <w:szCs w:val="18"/>
                  <w:color w:val="0000FF"/>
                  <w:w w:val="92"/>
                </w:rPr>
                <w:t>(incorporated by reference to Exhibit 10.2 filed herein).*</w:t>
              </w:r>
            </w:hyperlink>
          </w:p>
        </w:tc>
        <w:tc>
          <w:tcPr>
            <w:tcW w:w="610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60" w:type="dxa"/>
            <w:vAlign w:val="bottom"/>
            <w:gridSpan w:val="3"/>
          </w:tcPr>
          <w:p>
            <w:pPr>
              <w:ind w:left="140"/>
              <w:spacing w:after="0"/>
              <w:rPr>
                <w:rFonts w:ascii="Arial" w:cs="Arial" w:eastAsia="Arial" w:hAnsi="Arial"/>
                <w:sz w:val="18"/>
                <w:szCs w:val="18"/>
                <w:color w:val="0000FF"/>
                <w:w w:val="85"/>
              </w:rPr>
            </w:pPr>
            <w:hyperlink w:anchor="page7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23"/>
          </w:tcPr>
          <w:p>
            <w:pPr>
              <w:spacing w:after="0"/>
              <w:rPr>
                <w:rFonts w:ascii="Arial" w:cs="Arial" w:eastAsia="Arial" w:hAnsi="Arial"/>
                <w:sz w:val="18"/>
                <w:szCs w:val="18"/>
                <w:color w:val="0000FF"/>
                <w:w w:val="94"/>
              </w:rPr>
            </w:pPr>
            <w:hyperlink w:anchor="page75">
              <w:r>
                <w:rPr>
                  <w:rFonts w:ascii="Arial" w:cs="Arial" w:eastAsia="Arial" w:hAnsi="Arial"/>
                  <w:sz w:val="18"/>
                  <w:szCs w:val="18"/>
                  <w:color w:val="0000FF"/>
                  <w:w w:val="94"/>
                </w:rPr>
                <w:t>Schedule of Terms for restricted stock unit awards relating to the Raytheon Technologies Corporation 2018 Long-Term Incentive Plan, as</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3"/>
              </w:rPr>
            </w:pPr>
            <w:hyperlink w:anchor="page75">
              <w:r>
                <w:rPr>
                  <w:rFonts w:ascii="Arial" w:cs="Arial" w:eastAsia="Arial" w:hAnsi="Arial"/>
                  <w:sz w:val="18"/>
                  <w:szCs w:val="18"/>
                  <w:color w:val="0000FF"/>
                  <w:w w:val="93"/>
                </w:rPr>
                <w:t>amended (referred to in Exhibit 10.22 to the Company’s Annual Report on Form 10-K (Commission file number 1-812) for the fiscal year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gridSpan w:val="13"/>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ended December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gridSpan w:val="3"/>
          </w:tcPr>
          <w:p>
            <w:pPr>
              <w:ind w:left="140"/>
              <w:spacing w:after="0"/>
              <w:rPr>
                <w:rFonts w:ascii="Arial" w:cs="Arial" w:eastAsia="Arial" w:hAnsi="Arial"/>
                <w:sz w:val="18"/>
                <w:szCs w:val="18"/>
                <w:color w:val="0000FF"/>
                <w:w w:val="85"/>
              </w:rPr>
            </w:pPr>
            <w:hyperlink w:anchor="page8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23"/>
          </w:tcPr>
          <w:p>
            <w:pPr>
              <w:spacing w:after="0"/>
              <w:rPr>
                <w:rFonts w:ascii="Arial" w:cs="Arial" w:eastAsia="Arial" w:hAnsi="Arial"/>
                <w:sz w:val="18"/>
                <w:szCs w:val="18"/>
                <w:color w:val="0000FF"/>
                <w:w w:val="93"/>
              </w:rPr>
            </w:pPr>
            <w:hyperlink w:anchor="page84">
              <w:r>
                <w:rPr>
                  <w:rFonts w:ascii="Arial" w:cs="Arial" w:eastAsia="Arial" w:hAnsi="Arial"/>
                  <w:sz w:val="18"/>
                  <w:szCs w:val="18"/>
                  <w:color w:val="0000FF"/>
                  <w:w w:val="93"/>
                </w:rPr>
                <w:t>Schedule of Terms for performance share unit awards relating to the Raytheon Technologies Corporation 2018 Long-Term Incentive Plan,</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5"/>
              </w:rPr>
            </w:pPr>
            <w:hyperlink w:anchor="page84">
              <w:r>
                <w:rPr>
                  <w:rFonts w:ascii="Arial" w:cs="Arial" w:eastAsia="Arial" w:hAnsi="Arial"/>
                  <w:sz w:val="18"/>
                  <w:szCs w:val="18"/>
                  <w:color w:val="0000FF"/>
                  <w:w w:val="95"/>
                </w:rPr>
                <w:t>as amended (referred to in Exhibit 10.22 to the Company’s Annual Report on Form 10-K (Commission file number 1-812) for the fiscal</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gridSpan w:val="16"/>
          </w:tcPr>
          <w:p>
            <w:pPr>
              <w:spacing w:after="0" w:line="156" w:lineRule="exact"/>
              <w:rPr>
                <w:rFonts w:ascii="Arial" w:cs="Arial" w:eastAsia="Arial" w:hAnsi="Arial"/>
                <w:sz w:val="18"/>
                <w:szCs w:val="18"/>
                <w:color w:val="0000FF"/>
              </w:rPr>
            </w:pPr>
            <w:hyperlink w:anchor="page84">
              <w:r>
                <w:rPr>
                  <w:rFonts w:ascii="Arial" w:cs="Arial" w:eastAsia="Arial" w:hAnsi="Arial"/>
                  <w:sz w:val="18"/>
                  <w:szCs w:val="18"/>
                  <w:color w:val="0000FF"/>
                </w:rPr>
                <w:t>year ended December 31, 2020).*</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ind w:left="140"/>
              <w:spacing w:after="0"/>
              <w:rPr>
                <w:rFonts w:ascii="Arial" w:cs="Arial" w:eastAsia="Arial" w:hAnsi="Arial"/>
                <w:sz w:val="18"/>
                <w:szCs w:val="18"/>
                <w:color w:val="0000FF"/>
                <w:w w:val="85"/>
              </w:rPr>
            </w:pPr>
            <w:hyperlink w:anchor="page9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23"/>
          </w:tcPr>
          <w:p>
            <w:pPr>
              <w:spacing w:after="0"/>
              <w:rPr>
                <w:rFonts w:ascii="Arial" w:cs="Arial" w:eastAsia="Arial" w:hAnsi="Arial"/>
                <w:sz w:val="18"/>
                <w:szCs w:val="18"/>
                <w:color w:val="0000FF"/>
                <w:w w:val="93"/>
              </w:rPr>
            </w:pPr>
            <w:hyperlink w:anchor="page96">
              <w:r>
                <w:rPr>
                  <w:rFonts w:ascii="Arial" w:cs="Arial" w:eastAsia="Arial" w:hAnsi="Arial"/>
                  <w:sz w:val="18"/>
                  <w:szCs w:val="18"/>
                  <w:color w:val="0000FF"/>
                  <w:w w:val="93"/>
                </w:rPr>
                <w:t>Schedule of Terms for stock appreciation right awards relating to the Raytheon Technologies Corporation 2018 Long-Term Incentive Plan,</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14"/>
          </w:tcPr>
          <w:p>
            <w:pPr>
              <w:spacing w:after="0" w:line="156" w:lineRule="exact"/>
              <w:rPr>
                <w:rFonts w:ascii="Arial" w:cs="Arial" w:eastAsia="Arial" w:hAnsi="Arial"/>
                <w:sz w:val="18"/>
                <w:szCs w:val="18"/>
                <w:color w:val="0000FF"/>
                <w:w w:val="95"/>
              </w:rPr>
            </w:pPr>
            <w:hyperlink w:anchor="page96">
              <w:r>
                <w:rPr>
                  <w:rFonts w:ascii="Arial" w:cs="Arial" w:eastAsia="Arial" w:hAnsi="Arial"/>
                  <w:sz w:val="18"/>
                  <w:szCs w:val="18"/>
                  <w:color w:val="0000FF"/>
                  <w:w w:val="95"/>
                </w:rPr>
                <w:t>as amended (referred to in Exhibit 10.22 to the Company’s Annual Report on Form 10-K (Commission file number 1-812) for the fiscal</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year ended December 31, 2020).*</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ind w:left="140"/>
              <w:spacing w:after="0"/>
              <w:rPr>
                <w:rFonts w:ascii="Arial" w:cs="Arial" w:eastAsia="Arial" w:hAnsi="Arial"/>
                <w:sz w:val="18"/>
                <w:szCs w:val="18"/>
                <w:color w:val="0000FF"/>
                <w:w w:val="85"/>
              </w:rPr>
            </w:pPr>
            <w:hyperlink w:anchor="page10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23"/>
          </w:tcPr>
          <w:p>
            <w:pPr>
              <w:spacing w:after="0"/>
              <w:rPr>
                <w:rFonts w:ascii="Arial" w:cs="Arial" w:eastAsia="Arial" w:hAnsi="Arial"/>
                <w:sz w:val="18"/>
                <w:szCs w:val="18"/>
                <w:color w:val="0000FF"/>
                <w:w w:val="92"/>
              </w:rPr>
            </w:pPr>
            <w:hyperlink w:anchor="page106">
              <w:r>
                <w:rPr>
                  <w:rFonts w:ascii="Arial" w:cs="Arial" w:eastAsia="Arial" w:hAnsi="Arial"/>
                  <w:sz w:val="18"/>
                  <w:szCs w:val="18"/>
                  <w:color w:val="0000FF"/>
                  <w:w w:val="92"/>
                </w:rPr>
                <w:t>Schedule of Terms for stock option awards relating to the Raytheon Technologies Corporation 2018 Long-Term Incentive Plan, as amended</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7"/>
              </w:rPr>
            </w:pPr>
            <w:hyperlink w:anchor="page106">
              <w:r>
                <w:rPr>
                  <w:rFonts w:ascii="Arial" w:cs="Arial" w:eastAsia="Arial" w:hAnsi="Arial"/>
                  <w:sz w:val="18"/>
                  <w:szCs w:val="18"/>
                  <w:color w:val="0000FF"/>
                  <w:w w:val="97"/>
                </w:rPr>
                <w:t>(referred to in Exhibit 10.22 to the Company’s Annual Report on Form 10-K (Commission file number 1-812) for the fiscal year ended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bottom w:val="single" w:sz="8" w:color="0000FF"/>
            </w:tcBorders>
          </w:tcPr>
          <w:p>
            <w:pPr>
              <w:spacing w:after="0" w:line="156" w:lineRule="exact"/>
              <w:rPr>
                <w:rFonts w:ascii="Arial" w:cs="Arial" w:eastAsia="Arial" w:hAnsi="Arial"/>
                <w:sz w:val="18"/>
                <w:szCs w:val="18"/>
                <w:color w:val="0000FF"/>
                <w:w w:val="90"/>
              </w:rPr>
            </w:pPr>
            <w:hyperlink w:anchor="page106">
              <w:r>
                <w:rPr>
                  <w:rFonts w:ascii="Arial" w:cs="Arial" w:eastAsia="Arial" w:hAnsi="Arial"/>
                  <w:sz w:val="18"/>
                  <w:szCs w:val="18"/>
                  <w:color w:val="0000FF"/>
                  <w:w w:val="90"/>
                </w:rPr>
                <w:t>December 31, 2020).*</w:t>
              </w:r>
            </w:hyperlink>
          </w:p>
        </w:tc>
        <w:tc>
          <w:tcPr>
            <w:tcW w:w="868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180" w:type="dxa"/>
            <w:vAlign w:val="bottom"/>
            <w:tcBorders>
              <w:bottom w:val="single" w:sz="8" w:color="0000FF"/>
            </w:tcBorders>
          </w:tcPr>
          <w:p>
            <w:pPr>
              <w:spacing w:after="0"/>
              <w:rPr>
                <w:rFonts w:ascii="Arial" w:cs="Arial" w:eastAsia="Arial" w:hAnsi="Arial"/>
                <w:sz w:val="18"/>
                <w:szCs w:val="18"/>
                <w:color w:val="0000FF"/>
                <w:w w:val="79"/>
              </w:rPr>
            </w:pPr>
            <w:hyperlink w:anchor="page115">
              <w:r>
                <w:rPr>
                  <w:rFonts w:ascii="Arial" w:cs="Arial" w:eastAsia="Arial" w:hAnsi="Arial"/>
                  <w:sz w:val="18"/>
                  <w:szCs w:val="18"/>
                  <w:color w:val="0000FF"/>
                  <w:w w:val="79"/>
                </w:rPr>
                <w:t>15</w:t>
              </w:r>
            </w:hyperlink>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115">
              <w:r>
                <w:rPr>
                  <w:rFonts w:ascii="Arial" w:cs="Arial" w:eastAsia="Arial" w:hAnsi="Arial"/>
                  <w:sz w:val="18"/>
                  <w:szCs w:val="18"/>
                  <w:color w:val="0000FF"/>
                  <w:w w:val="93"/>
                </w:rPr>
                <w:t>Letter re: unaudited interim financial information.*</w:t>
              </w:r>
            </w:hyperlink>
          </w:p>
        </w:tc>
        <w:tc>
          <w:tcPr>
            <w:tcW w:w="662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1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16">
              <w:r>
                <w:rPr>
                  <w:rFonts w:ascii="Arial" w:cs="Arial" w:eastAsia="Arial" w:hAnsi="Arial"/>
                  <w:sz w:val="18"/>
                  <w:szCs w:val="18"/>
                  <w:color w:val="0000FF"/>
                  <w:w w:val="92"/>
                </w:rPr>
                <w:t>Rule 13a-14(a)/15d-14(a) Certification.*</w:t>
              </w:r>
            </w:hyperlink>
          </w:p>
        </w:tc>
        <w:tc>
          <w:tcPr>
            <w:tcW w:w="738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1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17">
              <w:r>
                <w:rPr>
                  <w:rFonts w:ascii="Arial" w:cs="Arial" w:eastAsia="Arial" w:hAnsi="Arial"/>
                  <w:sz w:val="18"/>
                  <w:szCs w:val="18"/>
                  <w:color w:val="0000FF"/>
                  <w:w w:val="92"/>
                </w:rPr>
                <w:t>Rule 13a-14(a)/15d-14(a) Certification.*</w:t>
              </w:r>
            </w:hyperlink>
          </w:p>
        </w:tc>
        <w:tc>
          <w:tcPr>
            <w:tcW w:w="738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1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3</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18">
              <w:r>
                <w:rPr>
                  <w:rFonts w:ascii="Arial" w:cs="Arial" w:eastAsia="Arial" w:hAnsi="Arial"/>
                  <w:sz w:val="18"/>
                  <w:szCs w:val="18"/>
                  <w:color w:val="0000FF"/>
                  <w:w w:val="92"/>
                </w:rPr>
                <w:t>Rule 13a-14(a)/15d-14(a) Certification.*</w:t>
              </w:r>
            </w:hyperlink>
          </w:p>
        </w:tc>
        <w:tc>
          <w:tcPr>
            <w:tcW w:w="738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180" w:type="dxa"/>
            <w:vAlign w:val="bottom"/>
          </w:tcPr>
          <w:p>
            <w:pPr>
              <w:spacing w:after="0"/>
              <w:rPr>
                <w:rFonts w:ascii="Arial" w:cs="Arial" w:eastAsia="Arial" w:hAnsi="Arial"/>
                <w:sz w:val="18"/>
                <w:szCs w:val="18"/>
                <w:color w:val="0000FF"/>
                <w:w w:val="79"/>
              </w:rPr>
            </w:pPr>
            <w:hyperlink w:anchor="page119">
              <w:r>
                <w:rPr>
                  <w:rFonts w:ascii="Arial" w:cs="Arial" w:eastAsia="Arial" w:hAnsi="Arial"/>
                  <w:sz w:val="18"/>
                  <w:szCs w:val="18"/>
                  <w:color w:val="0000FF"/>
                  <w:w w:val="79"/>
                </w:rPr>
                <w:t>32</w:t>
              </w:r>
            </w:hyperlink>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23"/>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Section 1350 Certifications.*</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82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10320" w:type="dxa"/>
            <w:vAlign w:val="bottom"/>
            <w:gridSpan w:val="23"/>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2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herewith.</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Attached as Exhibit 101 to this report are the following formatted in Inline XBRL (Extensible Business Reporting Language): (i) Condensed Consolidated Statement of Operations for the quarters ended March 31, 2021 and 2020, (ii) Condensed Consolidated Statement of Comprehensive Income for the quarters ended March 31, 2021 and 2020, (iii) Condensed Consolidated Balance Sheet as of March 31, 2021 and December 31, 2020, (iv) Condensed Consolidated Statement of Cash Flows for the quarters ended March 31, 2021 and 2020, (v) Condensed Consolidated Statement of Changes in Equity for the quarters ended March 31, 2021 and 2020 and (vi)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RAYTHEON TECHNOLOGIES CORPORATION</w:t>
      </w:r>
    </w:p>
    <w:p>
      <w:pPr>
        <w:ind w:left="4780"/>
        <w:spacing w:after="0"/>
        <w:rPr>
          <w:sz w:val="20"/>
          <w:szCs w:val="20"/>
          <w:color w:val="auto"/>
        </w:rPr>
      </w:pPr>
      <w:r>
        <w:rPr>
          <w:rFonts w:ascii="Arial" w:cs="Arial" w:eastAsia="Arial" w:hAnsi="Arial"/>
          <w:sz w:val="18"/>
          <w:szCs w:val="18"/>
          <w:b w:val="1"/>
          <w:bCs w:val="1"/>
          <w:color w:val="auto"/>
        </w:rPr>
        <w:t>(Registrant)</w:t>
      </w:r>
    </w:p>
    <w:p>
      <w:pPr>
        <w:spacing w:after="0" w:line="61" w:lineRule="exact"/>
        <w:rPr>
          <w:sz w:val="20"/>
          <w:szCs w:val="20"/>
          <w:color w:val="auto"/>
        </w:rPr>
      </w:pPr>
    </w:p>
    <w:p>
      <w:pPr>
        <w:ind w:left="20"/>
        <w:spacing w:after="0"/>
        <w:tabs>
          <w:tab w:leader="none" w:pos="740" w:val="left"/>
          <w:tab w:leader="none" w:pos="4760" w:val="left"/>
          <w:tab w:leader="none" w:pos="7180" w:val="left"/>
        </w:tabs>
        <w:rPr>
          <w:sz w:val="20"/>
          <w:szCs w:val="20"/>
          <w:color w:val="auto"/>
        </w:rPr>
      </w:pPr>
      <w:r>
        <w:rPr>
          <w:rFonts w:ascii="Arial" w:cs="Arial" w:eastAsia="Arial" w:hAnsi="Arial"/>
          <w:sz w:val="18"/>
          <w:szCs w:val="18"/>
          <w:color w:val="auto"/>
        </w:rPr>
        <w:t>Dated:</w:t>
        <w:tab/>
        <w:t>April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14605</wp:posOffset>
            </wp:positionV>
            <wp:extent cx="38061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Neil G. Mitchill Jr.</w:t>
      </w:r>
    </w:p>
    <w:p>
      <w:pPr>
        <w:spacing w:after="0" w:line="2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90"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02" w:lineRule="exact"/>
        <w:rPr>
          <w:sz w:val="20"/>
          <w:szCs w:val="20"/>
          <w:color w:val="auto"/>
        </w:rPr>
      </w:pPr>
    </w:p>
    <w:p>
      <w:pPr>
        <w:ind w:left="20"/>
        <w:spacing w:after="0"/>
        <w:tabs>
          <w:tab w:leader="none" w:pos="740" w:val="left"/>
          <w:tab w:leader="none" w:pos="4760" w:val="left"/>
          <w:tab w:leader="none" w:pos="7300" w:val="left"/>
        </w:tabs>
        <w:rPr>
          <w:sz w:val="20"/>
          <w:szCs w:val="20"/>
          <w:color w:val="auto"/>
        </w:rPr>
      </w:pPr>
      <w:r>
        <w:rPr>
          <w:rFonts w:ascii="Arial" w:cs="Arial" w:eastAsia="Arial" w:hAnsi="Arial"/>
          <w:sz w:val="18"/>
          <w:szCs w:val="18"/>
          <w:color w:val="auto"/>
        </w:rPr>
        <w:t>Dated:</w:t>
        <w:tab/>
        <w:t>April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14605</wp:posOffset>
            </wp:positionV>
            <wp:extent cx="38061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Michael J. Wood</w:t>
      </w:r>
    </w:p>
    <w:p>
      <w:pPr>
        <w:spacing w:after="0" w:line="28"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Corporate Vice President and Controller</w:t>
      </w:r>
    </w:p>
    <w:p>
      <w:pPr>
        <w:spacing w:after="0" w:line="9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2" w:right="339"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53" w:lineRule="exact"/>
        <w:rPr>
          <w:sz w:val="20"/>
          <w:szCs w:val="20"/>
          <w:color w:val="auto"/>
        </w:rPr>
      </w:pPr>
    </w:p>
    <w:p>
      <w:pPr>
        <w:ind w:left="100" w:right="120" w:firstLine="556"/>
        <w:spacing w:after="0" w:line="263" w:lineRule="auto"/>
        <w:rPr>
          <w:sz w:val="20"/>
          <w:szCs w:val="20"/>
          <w:color w:val="auto"/>
        </w:rPr>
      </w:pPr>
      <w:r>
        <w:rPr>
          <w:rFonts w:ascii="Arial" w:cs="Arial" w:eastAsia="Arial" w:hAnsi="Arial"/>
          <w:sz w:val="22"/>
          <w:szCs w:val="22"/>
          <w:color w:val="auto"/>
        </w:rPr>
        <w:t>EMPLOYMENT AGREEMENT (the “</w:t>
      </w:r>
      <w:r>
        <w:rPr>
          <w:rFonts w:ascii="Arial" w:cs="Arial" w:eastAsia="Arial" w:hAnsi="Arial"/>
          <w:sz w:val="22"/>
          <w:szCs w:val="22"/>
          <w:i w:val="1"/>
          <w:iCs w:val="1"/>
          <w:color w:val="auto"/>
        </w:rPr>
        <w:t>Agreement</w:t>
      </w:r>
      <w:r>
        <w:rPr>
          <w:rFonts w:ascii="Arial" w:cs="Arial" w:eastAsia="Arial" w:hAnsi="Arial"/>
          <w:sz w:val="22"/>
          <w:szCs w:val="22"/>
          <w:color w:val="auto"/>
        </w:rPr>
        <w:t>”), dated as of June 9, 2019, by and between United Technologies Corporation,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and Thomas A. Kennedy (“</w:t>
      </w:r>
      <w:r>
        <w:rPr>
          <w:rFonts w:ascii="Arial" w:cs="Arial" w:eastAsia="Arial" w:hAnsi="Arial"/>
          <w:sz w:val="22"/>
          <w:szCs w:val="22"/>
          <w:i w:val="1"/>
          <w:iCs w:val="1"/>
          <w:color w:val="auto"/>
        </w:rPr>
        <w:t>Executive</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Executive is currently the Chief Executive Officer of Raytheon Company, a Delaware corporation (“</w:t>
      </w:r>
      <w:r>
        <w:rPr>
          <w:rFonts w:ascii="Arial" w:cs="Arial" w:eastAsia="Arial" w:hAnsi="Arial"/>
          <w:sz w:val="22"/>
          <w:szCs w:val="22"/>
          <w:i w:val="1"/>
          <w:iCs w:val="1"/>
          <w:color w:val="auto"/>
        </w:rPr>
        <w:t>Raytheon</w:t>
      </w:r>
      <w:r>
        <w:rPr>
          <w:rFonts w:ascii="Arial" w:cs="Arial" w:eastAsia="Arial" w:hAnsi="Arial"/>
          <w:sz w:val="22"/>
          <w:szCs w:val="22"/>
          <w:color w:val="auto"/>
        </w:rPr>
        <w:t>”); and</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the Board of Directors of the Company has determined that it is in the best interests of the Company and its shareholders to ensure that the Company will have the continued dedication of Executive following the consummation of the transactions contemplated by the Agreement and Plan of Merger dated as of June 9, 2019, entered into by and among Raytheon, the Company and Light Merger Sub, a Delaware corporation and wholly owned subsidiary of the Company (the “</w:t>
      </w:r>
      <w:r>
        <w:rPr>
          <w:rFonts w:ascii="Arial" w:cs="Arial" w:eastAsia="Arial" w:hAnsi="Arial"/>
          <w:sz w:val="22"/>
          <w:szCs w:val="22"/>
          <w:i w:val="1"/>
          <w:iCs w:val="1"/>
          <w:color w:val="auto"/>
        </w:rPr>
        <w:t>Merger</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 and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Executive and the Company mutually desire that Executive provide services to the Company on the terms herein provided.</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NOW, THEREFORE, in consideration of the mutual covenants and agreements of the parties set forth in this Agreement, and other good and valuable consideration the receipt and sufficiency of which are acknowledged, the parties agree as follows:</w:t>
      </w:r>
    </w:p>
    <w:p>
      <w:pPr>
        <w:spacing w:after="0" w:line="104" w:lineRule="exact"/>
        <w:rPr>
          <w:sz w:val="20"/>
          <w:szCs w:val="20"/>
          <w:color w:val="auto"/>
        </w:rPr>
      </w:pPr>
    </w:p>
    <w:p>
      <w:pPr>
        <w:jc w:val="both"/>
        <w:ind w:firstLine="656"/>
        <w:spacing w:after="0" w:line="261" w:lineRule="auto"/>
        <w:tabs>
          <w:tab w:leader="none" w:pos="1296"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shall commence on the Closing Date (as defined in the Merger Agreement) (the “</w:t>
      </w:r>
      <w:r>
        <w:rPr>
          <w:rFonts w:ascii="Arial" w:cs="Arial" w:eastAsia="Arial" w:hAnsi="Arial"/>
          <w:sz w:val="21"/>
          <w:szCs w:val="21"/>
          <w:i w:val="1"/>
          <w:iCs w:val="1"/>
          <w:color w:val="auto"/>
        </w:rPr>
        <w:t>Effective Date</w:t>
      </w:r>
      <w:r>
        <w:rPr>
          <w:rFonts w:ascii="Arial" w:cs="Arial" w:eastAsia="Arial" w:hAnsi="Arial"/>
          <w:sz w:val="21"/>
          <w:szCs w:val="21"/>
          <w:color w:val="auto"/>
        </w:rPr>
        <w:t>”) and shall continue, unless earlier terminated pursuant to Section 5 of this Agreement, through the later of (a) March 31, 2022 and (b) the second anniversary of the Closing Date (the “</w:t>
      </w:r>
      <w:r>
        <w:rPr>
          <w:rFonts w:ascii="Arial" w:cs="Arial" w:eastAsia="Arial" w:hAnsi="Arial"/>
          <w:sz w:val="21"/>
          <w:szCs w:val="21"/>
          <w:i w:val="1"/>
          <w:iCs w:val="1"/>
          <w:color w:val="auto"/>
        </w:rPr>
        <w:t>Term</w:t>
      </w:r>
      <w:r>
        <w:rPr>
          <w:rFonts w:ascii="Arial" w:cs="Arial" w:eastAsia="Arial" w:hAnsi="Arial"/>
          <w:sz w:val="21"/>
          <w:szCs w:val="21"/>
          <w:color w:val="auto"/>
        </w:rPr>
        <w:t>”). Unless otherwise mutually agreed to by the parties, Executive shall retire from employment with the Company at the expiration of the Term. This Agreement shall automatically terminate and be of no force or effect if the Merger Agreement is terminated for any reason without the occurrence of the Closing (as defined in the Merger Agreement).</w:t>
      </w:r>
    </w:p>
    <w:p>
      <w:pPr>
        <w:spacing w:after="0" w:line="179" w:lineRule="exact"/>
        <w:rPr>
          <w:rFonts w:ascii="Arial" w:cs="Arial" w:eastAsia="Arial" w:hAnsi="Arial"/>
          <w:sz w:val="21"/>
          <w:szCs w:val="21"/>
          <w:color w:val="auto"/>
        </w:rPr>
      </w:pPr>
    </w:p>
    <w:p>
      <w:pPr>
        <w:ind w:left="1300" w:hanging="644"/>
        <w:spacing w:after="0"/>
        <w:tabs>
          <w:tab w:leader="none" w:pos="130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Position and Responsibilities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firstLine="644"/>
        <w:spacing w:after="0" w:line="263" w:lineRule="auto"/>
        <w:tabs>
          <w:tab w:leader="none" w:pos="1953" w:val="left"/>
        </w:tabs>
        <w:numPr>
          <w:ilvl w:val="1"/>
          <w:numId w:val="26"/>
        </w:numPr>
        <w:rPr>
          <w:rFonts w:ascii="Arial" w:cs="Arial" w:eastAsia="Arial" w:hAnsi="Arial"/>
          <w:sz w:val="22"/>
          <w:szCs w:val="22"/>
          <w:color w:val="auto"/>
        </w:rPr>
      </w:pPr>
      <w:r>
        <w:rPr>
          <w:rFonts w:ascii="Arial" w:cs="Arial" w:eastAsia="Arial" w:hAnsi="Arial"/>
          <w:sz w:val="22"/>
          <w:szCs w:val="22"/>
          <w:color w:val="auto"/>
        </w:rPr>
        <w:t>During the Term, Executive shall serve as Executive Chairman of the Board of Directors of the Company (the “</w:t>
      </w:r>
      <w:r>
        <w:rPr>
          <w:rFonts w:ascii="Arial" w:cs="Arial" w:eastAsia="Arial" w:hAnsi="Arial"/>
          <w:sz w:val="22"/>
          <w:szCs w:val="22"/>
          <w:i w:val="1"/>
          <w:iCs w:val="1"/>
          <w:color w:val="auto"/>
        </w:rPr>
        <w:t>Board</w:t>
      </w:r>
      <w:r>
        <w:rPr>
          <w:rFonts w:ascii="Arial" w:cs="Arial" w:eastAsia="Arial" w:hAnsi="Arial"/>
          <w:sz w:val="22"/>
          <w:szCs w:val="22"/>
          <w:color w:val="auto"/>
        </w:rPr>
        <w:t>”), and a member of the Board, and shall report solely and directly to the Board.</w:t>
      </w:r>
    </w:p>
    <w:p>
      <w:pPr>
        <w:spacing w:after="0" w:line="174" w:lineRule="exact"/>
        <w:rPr>
          <w:rFonts w:ascii="Arial" w:cs="Arial" w:eastAsia="Arial" w:hAnsi="Arial"/>
          <w:sz w:val="22"/>
          <w:szCs w:val="22"/>
          <w:color w:val="auto"/>
        </w:rPr>
      </w:pPr>
    </w:p>
    <w:p>
      <w:pPr>
        <w:jc w:val="both"/>
        <w:ind w:left="660" w:firstLine="644"/>
        <w:spacing w:after="0" w:line="261" w:lineRule="auto"/>
        <w:tabs>
          <w:tab w:leader="none" w:pos="1951" w:val="left"/>
        </w:tabs>
        <w:numPr>
          <w:ilvl w:val="1"/>
          <w:numId w:val="26"/>
        </w:numPr>
        <w:rPr>
          <w:rFonts w:ascii="Arial" w:cs="Arial" w:eastAsia="Arial" w:hAnsi="Arial"/>
          <w:sz w:val="21"/>
          <w:szCs w:val="21"/>
          <w:color w:val="auto"/>
        </w:rPr>
      </w:pPr>
      <w:r>
        <w:rPr>
          <w:rFonts w:ascii="Arial" w:cs="Arial" w:eastAsia="Arial" w:hAnsi="Arial"/>
          <w:sz w:val="21"/>
          <w:szCs w:val="21"/>
          <w:color w:val="auto"/>
        </w:rPr>
        <w:t>In his capacity as Executive Chairman, Executive shall devote his best efforts to the performance of the duties and responsibilities customarily incident to such position and shall perform such other duties as may be reasonably assigned by the Board commensurate with his position and as reasonably agreed to by Executive and the Board. Such duties and responsibilities shall in any event include, and otherwise be consistent with, the duties and responsibilities specifically established and approved by the Board and the Board of Directors of Raytheon in connection with their respective approvals of the Merger Agreement on or prior to the date hereof.</w:t>
      </w:r>
    </w:p>
    <w:p>
      <w:pPr>
        <w:sectPr>
          <w:pgSz w:w="11900" w:h="16838" w:orient="portrait"/>
          <w:cols w:equalWidth="0" w:num="1">
            <w:col w:w="11240"/>
          </w:cols>
          <w:pgMar w:left="320" w:top="850" w:right="339" w:bottom="1440" w:gutter="0" w:footer="0" w:header="0"/>
        </w:sectPr>
      </w:pPr>
    </w:p>
    <w:bookmarkStart w:id="59" w:name="page60"/>
    <w:bookmarkEnd w:id="59"/>
    <w:p>
      <w:pPr>
        <w:ind w:left="1940" w:hanging="636"/>
        <w:spacing w:after="0"/>
        <w:tabs>
          <w:tab w:leader="none" w:pos="1940" w:val="left"/>
        </w:tabs>
        <w:numPr>
          <w:ilvl w:val="1"/>
          <w:numId w:val="27"/>
        </w:numPr>
        <w:rPr>
          <w:rFonts w:ascii="Arial" w:cs="Arial" w:eastAsia="Arial" w:hAnsi="Arial"/>
          <w:sz w:val="19"/>
          <w:szCs w:val="19"/>
          <w:color w:val="auto"/>
        </w:rPr>
      </w:pPr>
      <w:r>
        <w:rPr>
          <w:rFonts w:ascii="Arial" w:cs="Arial" w:eastAsia="Arial" w:hAnsi="Arial"/>
          <w:sz w:val="19"/>
          <w:szCs w:val="19"/>
          <w:color w:val="auto"/>
        </w:rPr>
        <w:t>Executive’s principal place of employment shall be the Company’s headquarters in the Greater Boston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Metro Area.</w:t>
      </w:r>
    </w:p>
    <w:p>
      <w:pPr>
        <w:spacing w:after="0" w:line="201" w:lineRule="exact"/>
        <w:rPr>
          <w:rFonts w:ascii="Arial" w:cs="Arial" w:eastAsia="Arial" w:hAnsi="Arial"/>
          <w:sz w:val="19"/>
          <w:szCs w:val="19"/>
          <w:color w:val="auto"/>
        </w:rPr>
      </w:pPr>
    </w:p>
    <w:p>
      <w:pPr>
        <w:jc w:val="both"/>
        <w:ind w:firstLine="656"/>
        <w:spacing w:after="0" w:line="258" w:lineRule="auto"/>
        <w:tabs>
          <w:tab w:leader="none" w:pos="1296"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Performance of Duties</w:t>
      </w:r>
      <w:r>
        <w:rPr>
          <w:rFonts w:ascii="Arial" w:cs="Arial" w:eastAsia="Arial" w:hAnsi="Arial"/>
          <w:sz w:val="21"/>
          <w:szCs w:val="21"/>
          <w:color w:val="auto"/>
        </w:rPr>
        <w:t>. Executive shall devote his full business time, attention, and energies to the Company’s business (except for periods of absence occasioned by illness, vacation and reasonable leaves of absence) and shall not engage in consulting work or any business for his own account or for any person, firm or corporation other than the Company. Subject to the Company’s corporate governance policies, during the Term it shall not be a violation of this Agreement for Executive to (a) serve on corporate, civic, or charitable boards or committees or (b) manage personal investments, in each case, so long as this service does not interfere with the performance of his duties with the Company in accordance with this Agreement and complies with applicable provisions of any codes of business conduct and ethics of the Company, as in effect from time to time. It is expressly understood and agreed that to the extent that any such activities have been conducted by Executive prior to the Effective Date, the continued conduct of such activities (or the conduct of activities similar in nature and scope thereto) subsequent to the Effective Date shall not thereafter be deemed to interfere with the performance of Executive’s responsibilities to the Company.</w:t>
      </w:r>
    </w:p>
    <w:p>
      <w:pPr>
        <w:spacing w:after="0" w:line="181" w:lineRule="exact"/>
        <w:rPr>
          <w:rFonts w:ascii="Arial" w:cs="Arial" w:eastAsia="Arial" w:hAnsi="Arial"/>
          <w:sz w:val="21"/>
          <w:szCs w:val="21"/>
          <w:color w:val="auto"/>
        </w:rPr>
      </w:pPr>
    </w:p>
    <w:p>
      <w:pPr>
        <w:ind w:left="1300" w:hanging="644"/>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60" w:lineRule="auto"/>
        <w:tabs>
          <w:tab w:leader="none" w:pos="1953"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Salary</w:t>
      </w:r>
      <w:r>
        <w:rPr>
          <w:rFonts w:ascii="Arial" w:cs="Arial" w:eastAsia="Arial" w:hAnsi="Arial"/>
          <w:sz w:val="21"/>
          <w:szCs w:val="21"/>
          <w:color w:val="auto"/>
        </w:rPr>
        <w:t>. During the Term, the Company shall pay Executive an annual base salary of $1,540,864, subject to any upward adjustment made to such amount in the ordinary course of business consistent with past practice prior to the Effective Date, payable in equal installments on the Company’s regularly recurring paydays in accordance with the Company’s normal payroll practice. Increases in annual base salary shall be at the sole discretion of the Board or the compensation committee of the Board (the “</w:t>
      </w:r>
      <w:r>
        <w:rPr>
          <w:rFonts w:ascii="Arial" w:cs="Arial" w:eastAsia="Arial" w:hAnsi="Arial"/>
          <w:sz w:val="21"/>
          <w:szCs w:val="21"/>
          <w:i w:val="1"/>
          <w:iCs w:val="1"/>
          <w:color w:val="auto"/>
        </w:rPr>
        <w:t>Compensation Committee</w:t>
      </w:r>
      <w:r>
        <w:rPr>
          <w:rFonts w:ascii="Arial" w:cs="Arial" w:eastAsia="Arial" w:hAnsi="Arial"/>
          <w:sz w:val="21"/>
          <w:szCs w:val="21"/>
          <w:color w:val="auto"/>
        </w:rPr>
        <w:t>”) and the annual base salary shall not be reduced after any such increase. The base salary as determined herein and increased from time to time shall constitute “Base Salary” for purposes of this Agreement.</w:t>
      </w:r>
    </w:p>
    <w:p>
      <w:pPr>
        <w:spacing w:after="0" w:line="180" w:lineRule="exact"/>
        <w:rPr>
          <w:rFonts w:ascii="Arial" w:cs="Arial" w:eastAsia="Arial" w:hAnsi="Arial"/>
          <w:sz w:val="21"/>
          <w:szCs w:val="21"/>
          <w:color w:val="auto"/>
        </w:rPr>
      </w:pPr>
    </w:p>
    <w:p>
      <w:pPr>
        <w:ind w:left="1940" w:hanging="636"/>
        <w:spacing w:after="0"/>
        <w:tabs>
          <w:tab w:leader="none" w:pos="194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Annual Bonus Incentive Program</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448"/>
        <w:spacing w:after="0" w:line="290" w:lineRule="auto"/>
        <w:tabs>
          <w:tab w:leader="none" w:pos="2005" w:val="left"/>
        </w:tabs>
        <w:numPr>
          <w:ilvl w:val="2"/>
          <w:numId w:val="28"/>
        </w:numPr>
        <w:rPr>
          <w:rFonts w:ascii="Arial" w:cs="Arial" w:eastAsia="Arial" w:hAnsi="Arial"/>
          <w:sz w:val="19"/>
          <w:szCs w:val="19"/>
          <w:color w:val="auto"/>
        </w:rPr>
      </w:pPr>
      <w:r>
        <w:rPr>
          <w:rFonts w:ascii="Arial" w:cs="Arial" w:eastAsia="Arial" w:hAnsi="Arial"/>
          <w:sz w:val="19"/>
          <w:szCs w:val="19"/>
          <w:color w:val="auto"/>
        </w:rPr>
        <w:t>With respect to each fiscal year of the Company during the Term, Executive shall be entitled to participate in the Company’s annual cash incentive bonus program established for the Company’s executives (such bonus program, as in effect from time to time, the “</w:t>
      </w:r>
      <w:r>
        <w:rPr>
          <w:rFonts w:ascii="Arial" w:cs="Arial" w:eastAsia="Arial" w:hAnsi="Arial"/>
          <w:sz w:val="19"/>
          <w:szCs w:val="19"/>
          <w:i w:val="1"/>
          <w:iCs w:val="1"/>
          <w:color w:val="auto"/>
        </w:rPr>
        <w:t>Bonus Program</w:t>
      </w:r>
      <w:r>
        <w:rPr>
          <w:rFonts w:ascii="Arial" w:cs="Arial" w:eastAsia="Arial" w:hAnsi="Arial"/>
          <w:sz w:val="19"/>
          <w:szCs w:val="19"/>
          <w:color w:val="auto"/>
        </w:rPr>
        <w:t>”). Executive’s target annual bonus opportunity under the Bonus Program shall be no less than 200% of Executive’s Base Salary. Executive’s annual bonus under the Bonus Program shall be earned based upon objectives established by the Compensation Committee with respect to each fiscal year of the Company. Any annual bonus earned with respect to any fiscal year during the Term shall be paid to Executive consistent with the Company’s prevailing bonus payment practices, but no later than March 15 following the end of such fiscal year.</w:t>
      </w:r>
    </w:p>
    <w:p>
      <w:pPr>
        <w:spacing w:after="0" w:line="155" w:lineRule="exact"/>
        <w:rPr>
          <w:rFonts w:ascii="Arial" w:cs="Arial" w:eastAsia="Arial" w:hAnsi="Arial"/>
          <w:sz w:val="19"/>
          <w:szCs w:val="19"/>
          <w:color w:val="auto"/>
        </w:rPr>
      </w:pPr>
    </w:p>
    <w:p>
      <w:pPr>
        <w:ind w:left="1300" w:firstLine="388"/>
        <w:spacing w:after="0" w:line="263" w:lineRule="auto"/>
        <w:tabs>
          <w:tab w:leader="none" w:pos="2018" w:val="left"/>
        </w:tabs>
        <w:numPr>
          <w:ilvl w:val="2"/>
          <w:numId w:val="28"/>
        </w:numPr>
        <w:rPr>
          <w:rFonts w:ascii="Arial" w:cs="Arial" w:eastAsia="Arial" w:hAnsi="Arial"/>
          <w:sz w:val="22"/>
          <w:szCs w:val="22"/>
          <w:color w:val="auto"/>
        </w:rPr>
      </w:pPr>
      <w:r>
        <w:rPr>
          <w:rFonts w:ascii="Arial" w:cs="Arial" w:eastAsia="Arial" w:hAnsi="Arial"/>
          <w:sz w:val="22"/>
          <w:szCs w:val="22"/>
          <w:color w:val="auto"/>
        </w:rPr>
        <w:t>Notwithstanding the foregoing, for the year in which the Effective Date occurs, Executive’s annual cash incentive bonus shall consist of: (A) a pro-rated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8" w:right="339" w:bottom="1440" w:gutter="0" w:footer="0" w:header="0"/>
        </w:sectPr>
      </w:pPr>
    </w:p>
    <w:bookmarkStart w:id="60" w:name="page61"/>
    <w:bookmarkEnd w:id="60"/>
    <w:p>
      <w:pPr>
        <w:jc w:val="both"/>
        <w:ind w:left="180"/>
        <w:spacing w:after="0" w:line="288" w:lineRule="auto"/>
        <w:rPr>
          <w:sz w:val="20"/>
          <w:szCs w:val="20"/>
          <w:color w:val="auto"/>
        </w:rPr>
      </w:pPr>
      <w:r>
        <w:rPr>
          <w:rFonts w:ascii="Arial" w:cs="Arial" w:eastAsia="Arial" w:hAnsi="Arial"/>
          <w:sz w:val="19"/>
          <w:szCs w:val="19"/>
          <w:color w:val="auto"/>
        </w:rPr>
        <w:t xml:space="preserve">portion of the bonus for the period that occurs prior to the Effective Date through and including the Effective Date, determined in accordance with the terms of the Raytheon Results-Based Incentive Plan as in effect immediately prior to the Effective Date, based on actual performance during the period from the first day of such year through the latest practicable date prior to the Effective Date (as determined by the Management Development and Compensation Committee of the Board of Directors of Raytheon prior to the Effective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a pro-rated portion of the bonus for the period beginning the day following the date of the Effective Date through the end of the year, paid (x) in accordance with the Bonus Program based on the actual achievement levels of the performance goals established by the Compensation Committee after the Effective Date or (y) based on the greater of target or the payout, as a percentage of target, determined under clause (ii)(A) to the extent that the Compensation Committee does not establish performance goals for such period.</w:t>
      </w:r>
    </w:p>
    <w:p>
      <w:pPr>
        <w:spacing w:after="0" w:line="159" w:lineRule="exact"/>
        <w:rPr>
          <w:sz w:val="20"/>
          <w:szCs w:val="20"/>
          <w:color w:val="auto"/>
        </w:rPr>
      </w:pPr>
    </w:p>
    <w:p>
      <w:pPr>
        <w:jc w:val="both"/>
        <w:ind w:left="-460" w:firstLine="644"/>
        <w:spacing w:after="0" w:line="294" w:lineRule="auto"/>
        <w:tabs>
          <w:tab w:leader="none" w:pos="833"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Long-Term Incentive and Equity Awards</w:t>
      </w:r>
      <w:r>
        <w:rPr>
          <w:rFonts w:ascii="Arial" w:cs="Arial" w:eastAsia="Arial" w:hAnsi="Arial"/>
          <w:sz w:val="19"/>
          <w:szCs w:val="19"/>
          <w:color w:val="auto"/>
        </w:rPr>
        <w:t xml:space="preserve">. Executive shall be eligible to receive equity and other long-term incentive awards under any applicable plan adopted by the Company during the Term for which employees are generally eligible. For each fiscal year of the Term, the Company shall grant Executive annual equity </w:t>
      </w:r>
      <w:r>
        <w:rPr>
          <w:rFonts w:ascii="Arial" w:cs="Arial" w:eastAsia="Arial" w:hAnsi="Arial"/>
          <w:sz w:val="19"/>
          <w:szCs w:val="19"/>
          <w:color w:val="333333"/>
        </w:rPr>
        <w:t>awards with an aggregate</w:t>
      </w:r>
      <w:r>
        <w:rPr>
          <w:rFonts w:ascii="Arial" w:cs="Arial" w:eastAsia="Arial" w:hAnsi="Arial"/>
          <w:sz w:val="19"/>
          <w:szCs w:val="19"/>
          <w:color w:val="auto"/>
        </w:rPr>
        <w:t xml:space="preserve"> </w:t>
      </w:r>
      <w:r>
        <w:rPr>
          <w:rFonts w:ascii="Arial" w:cs="Arial" w:eastAsia="Arial" w:hAnsi="Arial"/>
          <w:sz w:val="19"/>
          <w:szCs w:val="19"/>
          <w:color w:val="333333"/>
        </w:rPr>
        <w:t xml:space="preserve">target grant date value </w:t>
      </w:r>
      <w:r>
        <w:rPr>
          <w:rFonts w:ascii="Arial" w:cs="Arial" w:eastAsia="Arial" w:hAnsi="Arial"/>
          <w:sz w:val="19"/>
          <w:szCs w:val="19"/>
          <w:color w:val="000000"/>
        </w:rPr>
        <w:t>equal to or greater than</w:t>
      </w:r>
      <w:r>
        <w:rPr>
          <w:rFonts w:ascii="Arial" w:cs="Arial" w:eastAsia="Arial" w:hAnsi="Arial"/>
          <w:sz w:val="19"/>
          <w:szCs w:val="19"/>
          <w:color w:val="333333"/>
        </w:rPr>
        <w:t xml:space="preserve"> $10,500,000. </w:t>
      </w:r>
      <w:r>
        <w:rPr>
          <w:rFonts w:ascii="Arial" w:cs="Arial" w:eastAsia="Arial" w:hAnsi="Arial"/>
          <w:sz w:val="19"/>
          <w:szCs w:val="19"/>
          <w:color w:val="000000"/>
        </w:rPr>
        <w:t>The form and terms and conditions of Executive’s annual</w:t>
      </w:r>
      <w:r>
        <w:rPr>
          <w:rFonts w:ascii="Arial" w:cs="Arial" w:eastAsia="Arial" w:hAnsi="Arial"/>
          <w:sz w:val="19"/>
          <w:szCs w:val="19"/>
          <w:color w:val="333333"/>
        </w:rPr>
        <w:t xml:space="preserve"> </w:t>
      </w:r>
      <w:r>
        <w:rPr>
          <w:rFonts w:ascii="Arial" w:cs="Arial" w:eastAsia="Arial" w:hAnsi="Arial"/>
          <w:sz w:val="19"/>
          <w:szCs w:val="19"/>
          <w:color w:val="000000"/>
        </w:rPr>
        <w:t>equity awards will be determined by the Compensation Committee and will be no less favorable than those applicable to equity awards granted to any other executive officer of the Company.</w:t>
      </w:r>
    </w:p>
    <w:p>
      <w:pPr>
        <w:spacing w:after="0" w:line="149" w:lineRule="exact"/>
        <w:rPr>
          <w:rFonts w:ascii="Arial" w:cs="Arial" w:eastAsia="Arial" w:hAnsi="Arial"/>
          <w:sz w:val="19"/>
          <w:szCs w:val="19"/>
          <w:color w:val="auto"/>
        </w:rPr>
      </w:pPr>
    </w:p>
    <w:p>
      <w:pPr>
        <w:jc w:val="both"/>
        <w:ind w:left="-460" w:firstLine="644"/>
        <w:spacing w:after="0" w:line="247" w:lineRule="auto"/>
        <w:tabs>
          <w:tab w:leader="none" w:pos="831"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In accordance with established policies and procedures of the Company as in effect from time to time, the Company shall pay or reimburse Executive for all reasonable and actual out-of-pocket expenses, including, but not limited to, travel, hotel, and similar expenses, incurred by Executive from time to time in performing his obligations under this Agreement. Any reimbursement of Executive’s expenses made by the Company pursuant to this Agreement shall be payable in the normal business course in accordance with the Company’s expense reimbursement policy.</w:t>
      </w:r>
    </w:p>
    <w:p>
      <w:pPr>
        <w:spacing w:after="0" w:line="192" w:lineRule="exact"/>
        <w:rPr>
          <w:rFonts w:ascii="Arial" w:cs="Arial" w:eastAsia="Arial" w:hAnsi="Arial"/>
          <w:sz w:val="22"/>
          <w:szCs w:val="22"/>
          <w:color w:val="auto"/>
        </w:rPr>
      </w:pPr>
    </w:p>
    <w:p>
      <w:pPr>
        <w:jc w:val="both"/>
        <w:ind w:left="-460" w:firstLine="644"/>
        <w:spacing w:after="0" w:line="258" w:lineRule="auto"/>
        <w:tabs>
          <w:tab w:leader="none" w:pos="833"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Other Benefits</w:t>
      </w:r>
      <w:r>
        <w:rPr>
          <w:rFonts w:ascii="Arial" w:cs="Arial" w:eastAsia="Arial" w:hAnsi="Arial"/>
          <w:sz w:val="21"/>
          <w:szCs w:val="21"/>
          <w:color w:val="auto"/>
        </w:rPr>
        <w:t xml:space="preserve">. During the Term, Executive shall be entitled to such other employee benefits and perquisites, including, but not limited, to life insurance, medical and hospitalization, use of Company aircraft, leased car allowance and/or driver, disability, and retirement benefits, as may be provided by the Company and as may be amended from time to time, consistent with the benefits and perquisites provided to other executive officers of the Company;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(i) Executive’s use of the Company aircraft and the Company’s vehicle policy (including</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Executive’s use of a driver) shall be on terms no less favorable than those provided to Executive by Raytheon immediately prior to the Effective Date (or if more favorable, as provided to any other executive officer of the Company) and (ii) the remaining perquisites provided to Executive shall be no less favorable, in the aggregate, than the perquisites in effect for Executive at Raytheon immediately prior to the Effective Date (or if more favorable, as provided to any other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20"/>
          </w:cols>
          <w:pgMar w:left="1440" w:top="1428" w:right="339" w:bottom="1440" w:gutter="0" w:footer="0" w:header="0"/>
        </w:sectPr>
      </w:pPr>
    </w:p>
    <w:bookmarkStart w:id="61" w:name="page62"/>
    <w:bookmarkEnd w:id="61"/>
    <w:p>
      <w:pPr>
        <w:spacing w:after="0" w:line="231" w:lineRule="exact"/>
        <w:rPr>
          <w:sz w:val="20"/>
          <w:szCs w:val="20"/>
          <w:color w:val="auto"/>
        </w:rPr>
      </w:pPr>
    </w:p>
    <w:p>
      <w:pPr>
        <w:ind w:left="644" w:hanging="644"/>
        <w:spacing w:after="0"/>
        <w:tabs>
          <w:tab w:leader="none" w:pos="644"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Employment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4"/>
        <w:spacing w:after="0" w:line="286" w:lineRule="auto"/>
        <w:tabs>
          <w:tab w:leader="none" w:pos="1297"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Subject to the terms of this Section 5, either the Company or Executive can terminate Executive’s employment at any time for any or no reason. Notwithstanding anything to the contrary, during the Term, the affirmative written approval of members of the Board representing at least 75% of the then serving independent members of the Board shall be required to bring before any meeting of the Board (whether organizational, stated, special or otherwise) the termination of Executive’s employment with the Company for any reason as an item of business to be transacted at such meeting (or to present the termination of Executive’s employment for any reason as an item of business to be transacted pursuant to action by written consent of the Board), or to validly include the termination of Executive’s employment as an item of business in any notice of any such meeting. Upon Executive’s termination of employment for any reason, Executive shall be entitled to receive, within 30 days following the date of termination (subject to any applicable deferral election), a cash payment equal to the sum of (1) Executive’s accrued Base Salary through the date of termination, (2) any annual incentive bonus earned by Executive under the Bonus Program for a performance period that was completed prior to the date of termination, and (3) any business expenses incurred by Executive that are unreimbursed as of the date of termination, in each case, to the extent not theretofore paid (the sum of the amounts described in clauses (1), (2), and (3) shall be hereinafter referred to as the “</w:t>
      </w:r>
      <w:r>
        <w:rPr>
          <w:rFonts w:ascii="Arial" w:cs="Arial" w:eastAsia="Arial" w:hAnsi="Arial"/>
          <w:sz w:val="19"/>
          <w:szCs w:val="19"/>
          <w:i w:val="1"/>
          <w:iCs w:val="1"/>
          <w:color w:val="auto"/>
        </w:rPr>
        <w:t>Accrued Obligations</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left="4" w:firstLine="644"/>
        <w:spacing w:after="0" w:line="290" w:lineRule="auto"/>
        <w:tabs>
          <w:tab w:leader="none" w:pos="1295"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Qualifying Termination</w:t>
      </w:r>
      <w:r>
        <w:rPr>
          <w:rFonts w:ascii="Arial" w:cs="Arial" w:eastAsia="Arial" w:hAnsi="Arial"/>
          <w:sz w:val="19"/>
          <w:szCs w:val="19"/>
          <w:color w:val="auto"/>
        </w:rPr>
        <w:t>. If, during the Term, (i) the Company terminates Executive’s employment for any reason other than for Cause or due to Executive’s death or disability (within the meaning of the Company’s long-term disability plan applicable to Executive), or (ii) Executive resigns for Good Reason (each of clauses (i) and (ii), a “</w:t>
      </w:r>
      <w:r>
        <w:rPr>
          <w:rFonts w:ascii="Arial" w:cs="Arial" w:eastAsia="Arial" w:hAnsi="Arial"/>
          <w:sz w:val="19"/>
          <w:szCs w:val="19"/>
          <w:i w:val="1"/>
          <w:iCs w:val="1"/>
          <w:color w:val="auto"/>
        </w:rPr>
        <w:t>Qualifying Termination</w:t>
      </w:r>
      <w:r>
        <w:rPr>
          <w:rFonts w:ascii="Arial" w:cs="Arial" w:eastAsia="Arial" w:hAnsi="Arial"/>
          <w:sz w:val="19"/>
          <w:szCs w:val="19"/>
          <w:color w:val="auto"/>
        </w:rPr>
        <w:t>”), then Executive shall be entitled to receive the severance benefits set forth in Section 5(c), conditioned upon Executive’s execution and delivery of a general release of claims in favor of the Company (which release shall not include any additional restrictive covenants) on the Company’s standard form, and such release becoming effective and irrevocable no later than the 30th day following the Qualifying Termination. The Company shall provide Executive with the form of release no later than two days after the Qualifying Termination.</w:t>
      </w:r>
    </w:p>
    <w:p>
      <w:pPr>
        <w:spacing w:after="0" w:line="155" w:lineRule="exact"/>
        <w:rPr>
          <w:rFonts w:ascii="Arial" w:cs="Arial" w:eastAsia="Arial" w:hAnsi="Arial"/>
          <w:sz w:val="19"/>
          <w:szCs w:val="19"/>
          <w:color w:val="auto"/>
        </w:rPr>
      </w:pPr>
    </w:p>
    <w:p>
      <w:pPr>
        <w:jc w:val="both"/>
        <w:ind w:left="4" w:firstLine="644"/>
        <w:spacing w:after="0" w:line="312" w:lineRule="auto"/>
        <w:tabs>
          <w:tab w:leader="none" w:pos="1297"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The severance benefits due upon a Qualifying Termination shall consist of the following, with cash payments pursuant to clauses (i) and (ii) payable, subject to any applicable deferral election in the case of clause (ii), on the date that is six months following the date of termination due to a Qualifying Termination:</w:t>
      </w:r>
    </w:p>
    <w:p>
      <w:pPr>
        <w:spacing w:after="0" w:line="133" w:lineRule="exact"/>
        <w:rPr>
          <w:rFonts w:ascii="Arial" w:cs="Arial" w:eastAsia="Arial" w:hAnsi="Arial"/>
          <w:sz w:val="19"/>
          <w:szCs w:val="19"/>
          <w:color w:val="auto"/>
        </w:rPr>
      </w:pPr>
    </w:p>
    <w:p>
      <w:pPr>
        <w:jc w:val="both"/>
        <w:ind w:left="644" w:firstLine="448"/>
        <w:spacing w:after="0" w:line="250" w:lineRule="auto"/>
        <w:tabs>
          <w:tab w:leader="none" w:pos="1346" w:val="left"/>
        </w:tabs>
        <w:numPr>
          <w:ilvl w:val="2"/>
          <w:numId w:val="30"/>
        </w:numPr>
        <w:rPr>
          <w:rFonts w:ascii="Arial" w:cs="Arial" w:eastAsia="Arial" w:hAnsi="Arial"/>
          <w:sz w:val="22"/>
          <w:szCs w:val="22"/>
          <w:color w:val="auto"/>
        </w:rPr>
      </w:pPr>
      <w:r>
        <w:rPr>
          <w:rFonts w:ascii="Arial" w:cs="Arial" w:eastAsia="Arial" w:hAnsi="Arial"/>
          <w:sz w:val="22"/>
          <w:szCs w:val="22"/>
          <w:color w:val="auto"/>
        </w:rPr>
        <w:t>a lump sum cash payment equal to the product of (A) the sum of (1) Executive’s Base Salary (disregarding any reduction thereto that serves as a basis for Executive’s resignation for Good Reason), and (2) the greater of (x) Executive’s annual bonus earned for the fiscal year immediately prior to the Effective Date and (y) Executive’s target annual bonus established for the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4"/>
          </w:cols>
          <w:pgMar w:left="976" w:top="1440" w:right="339" w:bottom="1440" w:gutter="0" w:footer="0" w:header="0"/>
        </w:sectPr>
      </w:pPr>
    </w:p>
    <w:bookmarkStart w:id="62" w:name="page63"/>
    <w:bookmarkEnd w:id="62"/>
    <w:p>
      <w:pPr>
        <w:jc w:val="both"/>
        <w:ind w:left="180"/>
        <w:spacing w:after="0" w:line="312" w:lineRule="auto"/>
        <w:rPr>
          <w:sz w:val="20"/>
          <w:szCs w:val="20"/>
          <w:color w:val="auto"/>
        </w:rPr>
      </w:pPr>
      <w:r>
        <w:rPr>
          <w:rFonts w:ascii="Arial" w:cs="Arial" w:eastAsia="Arial" w:hAnsi="Arial"/>
          <w:sz w:val="19"/>
          <w:szCs w:val="19"/>
          <w:color w:val="auto"/>
        </w:rPr>
        <w:t xml:space="preserve">year in which a Qualifying Termination occurs or, if not yet established, the target annual bonus for the prior fiscal year (disregarding any reduction thereto that serves as a basis for Executive’s resignation for Good Reason),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target annual bonus shall not be less than 200% of Base Salary,</w:t>
      </w:r>
      <w:r>
        <w:rPr>
          <w:rFonts w:ascii="Arial" w:cs="Arial" w:eastAsia="Arial" w:hAnsi="Arial"/>
          <w:sz w:val="19"/>
          <w:szCs w:val="19"/>
          <w:i w:val="1"/>
          <w:iCs w:val="1"/>
          <w:color w:val="auto"/>
        </w:rPr>
        <w:t xml:space="preserve"> multiplied by </w:t>
      </w:r>
      <w:r>
        <w:rPr>
          <w:rFonts w:ascii="Arial" w:cs="Arial" w:eastAsia="Arial" w:hAnsi="Arial"/>
          <w:sz w:val="19"/>
          <w:szCs w:val="19"/>
          <w:color w:val="auto"/>
        </w:rPr>
        <w:t>(B) three (3);</w:t>
      </w:r>
    </w:p>
    <w:p>
      <w:pPr>
        <w:spacing w:after="0" w:line="133" w:lineRule="exact"/>
        <w:rPr>
          <w:sz w:val="20"/>
          <w:szCs w:val="20"/>
          <w:color w:val="auto"/>
        </w:rPr>
      </w:pPr>
    </w:p>
    <w:p>
      <w:pPr>
        <w:jc w:val="both"/>
        <w:ind w:left="180" w:firstLine="388"/>
        <w:spacing w:after="0" w:line="294" w:lineRule="auto"/>
        <w:tabs>
          <w:tab w:leader="none" w:pos="892"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 lump sum cash payment equal to the product of (A) Executive’s target annual bonus established for the fiscal year in which the Qualifying Termination occurs or, if not yet established, the target annual bonus for the prior fiscal year (disregarding any reduction thereto that serves as a basis for Executive’s resignation for Good Reason),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target annual bonus shall not be less than 200% of Base Salary,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(B) a fraction, the numerator of which is the number of days elapsed from the first day of the fiscal year in which the Qualifying Termination occurs to the Qualifying Termination, and the denominator of which is 365;</w:t>
      </w:r>
    </w:p>
    <w:p>
      <w:pPr>
        <w:spacing w:after="0" w:line="149" w:lineRule="exact"/>
        <w:rPr>
          <w:rFonts w:ascii="Arial" w:cs="Arial" w:eastAsia="Arial" w:hAnsi="Arial"/>
          <w:sz w:val="19"/>
          <w:szCs w:val="19"/>
          <w:color w:val="auto"/>
        </w:rPr>
      </w:pPr>
    </w:p>
    <w:p>
      <w:pPr>
        <w:jc w:val="both"/>
        <w:ind w:left="180" w:firstLine="328"/>
        <w:spacing w:after="0" w:line="292" w:lineRule="auto"/>
        <w:tabs>
          <w:tab w:leader="none" w:pos="894"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with respect to Company equity awards granted prior to the Effective Date and held by Executive as of the Qualifying Termination, Executive’s Qualifying Termination shall be treated as an “Involuntary Termination” as such term is used in the award agreements applicable to such awards (subject to the modification to such term described in Section 4(e)), and (B) with respect to Company equity awards granted after the Effective Date and held by Executive as of the Qualifying Termination, Executive’s Qualifying Termination shall be treated as a retirement for purposes of the applicable terms and conditions, and any minimum holding period that would otherwise apply as a condition to vesting upon retirement shall be waived; and</w:t>
      </w:r>
    </w:p>
    <w:p>
      <w:pPr>
        <w:spacing w:after="0" w:line="150" w:lineRule="exact"/>
        <w:rPr>
          <w:rFonts w:ascii="Arial" w:cs="Arial" w:eastAsia="Arial" w:hAnsi="Arial"/>
          <w:sz w:val="19"/>
          <w:szCs w:val="19"/>
          <w:color w:val="auto"/>
        </w:rPr>
      </w:pPr>
    </w:p>
    <w:p>
      <w:pPr>
        <w:jc w:val="both"/>
        <w:ind w:left="180" w:firstLine="340"/>
        <w:spacing w:after="0" w:line="286" w:lineRule="auto"/>
        <w:tabs>
          <w:tab w:leader="none" w:pos="884" w:val="left"/>
        </w:tabs>
        <w:numPr>
          <w:ilvl w:val="0"/>
          <w:numId w:val="31"/>
        </w:numPr>
        <w:rPr>
          <w:rFonts w:ascii="Arial" w:cs="Arial" w:eastAsia="Arial" w:hAnsi="Arial"/>
          <w:sz w:val="19"/>
          <w:szCs w:val="19"/>
          <w:color w:val="auto"/>
        </w:rPr>
      </w:pPr>
      <w:r>
        <w:rPr>
          <w:rFonts w:ascii="Arial" w:cs="Arial" w:eastAsia="Arial" w:hAnsi="Arial"/>
          <w:sz w:val="19"/>
          <w:szCs w:val="19"/>
          <w:color w:val="auto"/>
        </w:rPr>
        <w:t>for the period of 12 months (the “</w:t>
      </w:r>
      <w:r>
        <w:rPr>
          <w:rFonts w:ascii="Arial" w:cs="Arial" w:eastAsia="Arial" w:hAnsi="Arial"/>
          <w:sz w:val="19"/>
          <w:szCs w:val="19"/>
          <w:i w:val="1"/>
          <w:iCs w:val="1"/>
          <w:color w:val="auto"/>
        </w:rPr>
        <w:t>Benefit Continuation Period</w:t>
      </w:r>
      <w:r>
        <w:rPr>
          <w:rFonts w:ascii="Arial" w:cs="Arial" w:eastAsia="Arial" w:hAnsi="Arial"/>
          <w:sz w:val="19"/>
          <w:szCs w:val="19"/>
          <w:color w:val="auto"/>
        </w:rPr>
        <w:t>”) following the Qualifying Termination, the Company shall continue to provide to Executive (and Executive’s dependents who were covered by healthcare benefit coverage from the Company as of immediately prior to the date of termination, if any (the “</w:t>
      </w:r>
      <w:r>
        <w:rPr>
          <w:rFonts w:ascii="Arial" w:cs="Arial" w:eastAsia="Arial" w:hAnsi="Arial"/>
          <w:sz w:val="19"/>
          <w:szCs w:val="19"/>
          <w:i w:val="1"/>
          <w:iCs w:val="1"/>
          <w:color w:val="auto"/>
        </w:rPr>
        <w:t>eligible</w:t>
      </w:r>
      <w:r>
        <w:rPr>
          <w:rFonts w:ascii="Arial" w:cs="Arial" w:eastAsia="Arial" w:hAnsi="Arial"/>
          <w:sz w:val="19"/>
          <w:szCs w:val="19"/>
          <w:color w:val="auto"/>
        </w:rPr>
        <w:t xml:space="preserve"> </w:t>
      </w:r>
      <w:r>
        <w:rPr>
          <w:rFonts w:ascii="Arial" w:cs="Arial" w:eastAsia="Arial" w:hAnsi="Arial"/>
          <w:sz w:val="19"/>
          <w:szCs w:val="19"/>
          <w:i w:val="1"/>
          <w:iCs w:val="1"/>
          <w:color w:val="auto"/>
        </w:rPr>
        <w:t>dependents</w:t>
      </w:r>
      <w:r>
        <w:rPr>
          <w:rFonts w:ascii="Arial" w:cs="Arial" w:eastAsia="Arial" w:hAnsi="Arial"/>
          <w:sz w:val="19"/>
          <w:szCs w:val="19"/>
          <w:color w:val="auto"/>
        </w:rPr>
        <w:t>”)), without any requirement for Executive (or the eligible dependents) to pay a monthly premium,</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healthcare benefit coverage (including medical, prescription, dental, vision, basic life, employee assistance program coverage, and annual executive physicals) at least equal to the coverage that would have been provided to Executive (and Executive’s eligible dependents, if any) if Executive had continued employment with the Company during the Benefit Continuation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Executive becomes reemployed with another employer and is eligible to receive any of the types of healthcare benefits under another employer-provided plan, the healthcare benefit coverage that is duplicative of the type of coverage provided hereunder shall cease. Executive shall promptly notify the Company that Executive has become eligible to receive healthcare benefits under another employer-provided plan. The period for providing continuation coverage under the group health plans of the Company and its affiliates as described in Section 4980B of the Internal Revenue Code of 1986, as amended (the “</w:t>
      </w:r>
      <w:r>
        <w:rPr>
          <w:rFonts w:ascii="Arial" w:cs="Arial" w:eastAsia="Arial" w:hAnsi="Arial"/>
          <w:sz w:val="19"/>
          <w:szCs w:val="19"/>
          <w:i w:val="1"/>
          <w:iCs w:val="1"/>
          <w:color w:val="auto"/>
        </w:rPr>
        <w:t>Code</w:t>
      </w:r>
      <w:r>
        <w:rPr>
          <w:rFonts w:ascii="Arial" w:cs="Arial" w:eastAsia="Arial" w:hAnsi="Arial"/>
          <w:sz w:val="19"/>
          <w:szCs w:val="19"/>
          <w:color w:val="auto"/>
        </w:rPr>
        <w:t>”) (</w:t>
      </w:r>
      <w:r>
        <w:rPr>
          <w:rFonts w:ascii="Arial" w:cs="Arial" w:eastAsia="Arial" w:hAnsi="Arial"/>
          <w:sz w:val="19"/>
          <w:szCs w:val="19"/>
          <w:i w:val="1"/>
          <w:iCs w:val="1"/>
          <w:color w:val="auto"/>
        </w:rPr>
        <w:t>i.e.</w:t>
      </w:r>
      <w:r>
        <w:rPr>
          <w:rFonts w:ascii="Arial" w:cs="Arial" w:eastAsia="Arial" w:hAnsi="Arial"/>
          <w:sz w:val="19"/>
          <w:szCs w:val="19"/>
          <w:color w:val="auto"/>
        </w:rPr>
        <w:t>, “COBRA” continuation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20"/>
          </w:cols>
          <w:pgMar w:left="1440" w:top="1428" w:right="339" w:bottom="1440" w:gutter="0" w:footer="0" w:header="0"/>
        </w:sectPr>
      </w:pPr>
    </w:p>
    <w:bookmarkStart w:id="63" w:name="page64"/>
    <w:bookmarkEnd w:id="63"/>
    <w:p>
      <w:pPr>
        <w:jc w:val="both"/>
        <w:ind w:left="180"/>
        <w:spacing w:after="0" w:line="263" w:lineRule="auto"/>
        <w:rPr>
          <w:sz w:val="20"/>
          <w:szCs w:val="20"/>
          <w:color w:val="auto"/>
        </w:rPr>
      </w:pPr>
      <w:r>
        <w:rPr>
          <w:rFonts w:ascii="Arial" w:cs="Arial" w:eastAsia="Arial" w:hAnsi="Arial"/>
          <w:sz w:val="21"/>
          <w:szCs w:val="21"/>
          <w:color w:val="auto"/>
        </w:rPr>
        <w:t>shall commence upon the expiration of the Benefits Continuation Period (or, if earlier, upon the cessation of the healthcare benefits coverage provided hereunder). For purposes of determining eligibility (but not the time of commencement of benefits) of Executive for retiree benefits pursuant to any applicable plans, practices, programs, and policies of the Company, Executive shall be considered to have remained employed during the Benefit Continuation Period and to have retired on the last day of such period.</w:t>
      </w:r>
    </w:p>
    <w:p>
      <w:pPr>
        <w:spacing w:after="0" w:line="175" w:lineRule="exact"/>
        <w:rPr>
          <w:sz w:val="20"/>
          <w:szCs w:val="20"/>
          <w:color w:val="auto"/>
        </w:rPr>
      </w:pPr>
    </w:p>
    <w:p>
      <w:pPr>
        <w:ind w:left="-460" w:firstLine="644"/>
        <w:spacing w:after="0" w:line="263" w:lineRule="auto"/>
        <w:tabs>
          <w:tab w:leader="none" w:pos="831"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For purposes of this Agreement and for purposes of all Company equity awards held by Executive, “</w:t>
      </w:r>
      <w:r>
        <w:rPr>
          <w:rFonts w:ascii="Arial" w:cs="Arial" w:eastAsia="Arial" w:hAnsi="Arial"/>
          <w:sz w:val="22"/>
          <w:szCs w:val="22"/>
          <w:i w:val="1"/>
          <w:iCs w:val="1"/>
          <w:color w:val="auto"/>
        </w:rPr>
        <w:t>Cause</w:t>
      </w:r>
      <w:r>
        <w:rPr>
          <w:rFonts w:ascii="Arial" w:cs="Arial" w:eastAsia="Arial" w:hAnsi="Arial"/>
          <w:sz w:val="22"/>
          <w:szCs w:val="22"/>
          <w:color w:val="auto"/>
        </w:rPr>
        <w:t>” means Executive’s:</w:t>
      </w:r>
    </w:p>
    <w:p>
      <w:pPr>
        <w:spacing w:after="0" w:line="174" w:lineRule="exact"/>
        <w:rPr>
          <w:rFonts w:ascii="Arial" w:cs="Arial" w:eastAsia="Arial" w:hAnsi="Arial"/>
          <w:sz w:val="22"/>
          <w:szCs w:val="22"/>
          <w:color w:val="auto"/>
        </w:rPr>
      </w:pPr>
    </w:p>
    <w:p>
      <w:pPr>
        <w:jc w:val="both"/>
        <w:ind w:left="180" w:firstLine="448"/>
        <w:spacing w:after="0" w:line="271" w:lineRule="auto"/>
        <w:tabs>
          <w:tab w:leader="none" w:pos="906" w:val="left"/>
        </w:tabs>
        <w:numPr>
          <w:ilvl w:val="1"/>
          <w:numId w:val="32"/>
        </w:numPr>
        <w:rPr>
          <w:rFonts w:ascii="Arial" w:cs="Arial" w:eastAsia="Arial" w:hAnsi="Arial"/>
          <w:sz w:val="21"/>
          <w:szCs w:val="21"/>
          <w:color w:val="auto"/>
        </w:rPr>
      </w:pPr>
      <w:r>
        <w:rPr>
          <w:rFonts w:ascii="Arial" w:cs="Arial" w:eastAsia="Arial" w:hAnsi="Arial"/>
          <w:sz w:val="21"/>
          <w:szCs w:val="21"/>
          <w:color w:val="auto"/>
        </w:rPr>
        <w:t>willful and continued failure to perform substantially Executive’s duties with the Company pursuant to this Agreement after the Company delivers to Executive written demand for substantial performance specifically identifying the manner in which Executive has not substantially performed Executive’s duties;</w:t>
      </w:r>
    </w:p>
    <w:p>
      <w:pPr>
        <w:spacing w:after="0" w:line="167" w:lineRule="exact"/>
        <w:rPr>
          <w:rFonts w:ascii="Arial" w:cs="Arial" w:eastAsia="Arial" w:hAnsi="Arial"/>
          <w:sz w:val="21"/>
          <w:szCs w:val="21"/>
          <w:color w:val="auto"/>
        </w:rPr>
      </w:pPr>
    </w:p>
    <w:p>
      <w:pPr>
        <w:ind w:left="880" w:hanging="312"/>
        <w:spacing w:after="0"/>
        <w:tabs>
          <w:tab w:leader="none" w:pos="880" w:val="left"/>
        </w:tabs>
        <w:numPr>
          <w:ilvl w:val="1"/>
          <w:numId w:val="32"/>
        </w:numPr>
        <w:rPr>
          <w:rFonts w:ascii="Arial" w:cs="Arial" w:eastAsia="Arial" w:hAnsi="Arial"/>
          <w:sz w:val="22"/>
          <w:szCs w:val="22"/>
          <w:color w:val="auto"/>
        </w:rPr>
      </w:pPr>
      <w:r>
        <w:rPr>
          <w:rFonts w:ascii="Arial" w:cs="Arial" w:eastAsia="Arial" w:hAnsi="Arial"/>
          <w:sz w:val="22"/>
          <w:szCs w:val="22"/>
          <w:color w:val="auto"/>
        </w:rPr>
        <w:t>conviction of a felony; or</w:t>
      </w:r>
    </w:p>
    <w:p>
      <w:pPr>
        <w:spacing w:after="0" w:line="219" w:lineRule="exact"/>
        <w:rPr>
          <w:rFonts w:ascii="Arial" w:cs="Arial" w:eastAsia="Arial" w:hAnsi="Arial"/>
          <w:sz w:val="22"/>
          <w:szCs w:val="22"/>
          <w:color w:val="auto"/>
        </w:rPr>
      </w:pPr>
    </w:p>
    <w:p>
      <w:pPr>
        <w:jc w:val="both"/>
        <w:ind w:left="180" w:firstLine="328"/>
        <w:spacing w:after="0" w:line="253" w:lineRule="auto"/>
        <w:tabs>
          <w:tab w:leader="none" w:pos="887" w:val="left"/>
        </w:tabs>
        <w:numPr>
          <w:ilvl w:val="1"/>
          <w:numId w:val="32"/>
        </w:numPr>
        <w:rPr>
          <w:rFonts w:ascii="Arial" w:cs="Arial" w:eastAsia="Arial" w:hAnsi="Arial"/>
          <w:sz w:val="22"/>
          <w:szCs w:val="22"/>
          <w:color w:val="auto"/>
        </w:rPr>
      </w:pPr>
      <w:r>
        <w:rPr>
          <w:rFonts w:ascii="Arial" w:cs="Arial" w:eastAsia="Arial" w:hAnsi="Arial"/>
          <w:sz w:val="22"/>
          <w:szCs w:val="22"/>
          <w:color w:val="auto"/>
        </w:rPr>
        <w:t>willfully engaging in illegal conduct or gross misconduct (including a willful and material violation of the code of business conduct and ethics of the Company, as in effect from time to time), which is materially and demonstrably injurious to the Company.</w:t>
      </w:r>
    </w:p>
    <w:p>
      <w:pPr>
        <w:spacing w:after="0" w:line="185" w:lineRule="exact"/>
        <w:rPr>
          <w:sz w:val="20"/>
          <w:szCs w:val="20"/>
          <w:color w:val="auto"/>
        </w:rPr>
      </w:pPr>
    </w:p>
    <w:p>
      <w:pPr>
        <w:jc w:val="both"/>
        <w:ind w:left="180"/>
        <w:spacing w:after="0" w:line="288" w:lineRule="auto"/>
        <w:rPr>
          <w:sz w:val="20"/>
          <w:szCs w:val="20"/>
          <w:color w:val="auto"/>
        </w:rPr>
      </w:pPr>
      <w:r>
        <w:rPr>
          <w:rFonts w:ascii="Arial" w:cs="Arial" w:eastAsia="Arial" w:hAnsi="Arial"/>
          <w:sz w:val="19"/>
          <w:szCs w:val="19"/>
          <w:color w:val="auto"/>
        </w:rPr>
        <w:t>For purposes of this Section 5(d), no act or omission by Executive shall be considered “willful” unless it is done or omitted in bad faith or without reasonable belief that Executive’s action or omission was in the best interests of the Company. Any act or failure to act based upon authority given pursuant to a resolution duly adopted by the Board, or advice of counsel for the Company, shall be conclusively presumed to be done or omitted to be done by Executive in good faith and in the best interests of the Company. For purposes of subsections (i) and (iii) above, Executive shall not be deemed to be terminated for Cause unless and until there shall have been delivered to Executive a copy of a resolution duly adopted by the Board in compliance with the process set forth in Section 5(a) (after reasonable notice is provided to Executive and Executive is given an opportunity, together with counsel, to be heard before the Board), finding that, in the good faith opinion of the Board, Executive is guilty of the conduct described in subsection (i) or (iii) above and specifying the particulars thereof in detail.</w:t>
      </w:r>
    </w:p>
    <w:p>
      <w:pPr>
        <w:spacing w:after="0" w:line="186" w:lineRule="exact"/>
        <w:rPr>
          <w:sz w:val="20"/>
          <w:szCs w:val="20"/>
          <w:color w:val="auto"/>
        </w:rPr>
      </w:pPr>
    </w:p>
    <w:p>
      <w:pPr>
        <w:jc w:val="both"/>
        <w:ind w:left="-460" w:firstLine="644"/>
        <w:spacing w:after="0" w:line="265" w:lineRule="auto"/>
        <w:tabs>
          <w:tab w:leader="none" w:pos="833"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and for purposes of all Company equity awards held by Executive that were granted to Executive prior to the Effective Date, “</w:t>
      </w:r>
      <w:r>
        <w:rPr>
          <w:rFonts w:ascii="Arial" w:cs="Arial" w:eastAsia="Arial" w:hAnsi="Arial"/>
          <w:sz w:val="21"/>
          <w:szCs w:val="21"/>
          <w:i w:val="1"/>
          <w:iCs w:val="1"/>
          <w:color w:val="auto"/>
        </w:rPr>
        <w:t>Good Reason</w:t>
      </w:r>
      <w:r>
        <w:rPr>
          <w:rFonts w:ascii="Arial" w:cs="Arial" w:eastAsia="Arial" w:hAnsi="Arial"/>
          <w:sz w:val="21"/>
          <w:szCs w:val="21"/>
          <w:color w:val="auto"/>
        </w:rPr>
        <w:t>” (and any term of similar import used in the terms and conditions applicable to such equity awards, including “Involuntary Termination”) means any breach by the Company of a material provision of this Agreement,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120"/>
          </w:cols>
          <w:pgMar w:left="1440" w:top="1428" w:right="339" w:bottom="1440" w:gutter="0" w:footer="0" w:header="0"/>
        </w:sectPr>
      </w:pPr>
    </w:p>
    <w:bookmarkStart w:id="64" w:name="page65"/>
    <w:bookmarkEnd w:id="64"/>
    <w:p>
      <w:pPr>
        <w:jc w:val="both"/>
        <w:ind w:left="644" w:firstLine="448"/>
        <w:spacing w:after="0" w:line="265" w:lineRule="auto"/>
        <w:tabs>
          <w:tab w:leader="none" w:pos="1362" w:val="left"/>
        </w:tabs>
        <w:numPr>
          <w:ilvl w:val="0"/>
          <w:numId w:val="34"/>
        </w:numPr>
        <w:rPr>
          <w:rFonts w:ascii="Arial" w:cs="Arial" w:eastAsia="Arial" w:hAnsi="Arial"/>
          <w:sz w:val="21"/>
          <w:szCs w:val="21"/>
          <w:color w:val="auto"/>
        </w:rPr>
      </w:pPr>
      <w:r>
        <w:rPr>
          <w:rFonts w:ascii="Arial" w:cs="Arial" w:eastAsia="Arial" w:hAnsi="Arial"/>
          <w:sz w:val="21"/>
          <w:szCs w:val="21"/>
          <w:color w:val="auto"/>
        </w:rPr>
        <w:t>a diminution of Executive’s duties or responsibilities, authorities, powers or functions, including ceasing to serve in the positions contemplated by this Agreement or the assignment to Executive of any duties inconsistent with Executive’s positions (including offices, titles and reporting requirements), authority, powers, functions, duties or responsibilities as contemplated by Section 2 of this Agreement;</w:t>
      </w:r>
    </w:p>
    <w:p>
      <w:pPr>
        <w:spacing w:after="0" w:line="175" w:lineRule="exact"/>
        <w:rPr>
          <w:rFonts w:ascii="Arial" w:cs="Arial" w:eastAsia="Arial" w:hAnsi="Arial"/>
          <w:sz w:val="21"/>
          <w:szCs w:val="21"/>
          <w:color w:val="auto"/>
        </w:rPr>
      </w:pPr>
    </w:p>
    <w:p>
      <w:pPr>
        <w:jc w:val="both"/>
        <w:ind w:left="644" w:firstLine="388"/>
        <w:spacing w:after="0" w:line="253" w:lineRule="auto"/>
        <w:tabs>
          <w:tab w:leader="none" w:pos="1346"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requiring Executive (A) to be based at any office or location in excess of 50 miles from the Greater Boston Metro Area or (B) to travel on Company business to a substantially greater extent than required immediately prior to the Effective Time;</w:t>
      </w:r>
    </w:p>
    <w:p>
      <w:pPr>
        <w:spacing w:after="0" w:line="185" w:lineRule="exact"/>
        <w:rPr>
          <w:rFonts w:ascii="Arial" w:cs="Arial" w:eastAsia="Arial" w:hAnsi="Arial"/>
          <w:sz w:val="22"/>
          <w:szCs w:val="22"/>
          <w:color w:val="auto"/>
        </w:rPr>
      </w:pPr>
    </w:p>
    <w:p>
      <w:pPr>
        <w:ind w:left="1344" w:hanging="372"/>
        <w:spacing w:after="0"/>
        <w:tabs>
          <w:tab w:leader="none" w:pos="1344"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reducing Executive’s Base Salary;</w:t>
      </w:r>
    </w:p>
    <w:p>
      <w:pPr>
        <w:spacing w:after="0" w:line="219" w:lineRule="exact"/>
        <w:rPr>
          <w:rFonts w:ascii="Arial" w:cs="Arial" w:eastAsia="Arial" w:hAnsi="Arial"/>
          <w:sz w:val="22"/>
          <w:szCs w:val="22"/>
          <w:color w:val="auto"/>
        </w:rPr>
      </w:pPr>
    </w:p>
    <w:p>
      <w:pPr>
        <w:ind w:left="1344" w:hanging="360"/>
        <w:spacing w:after="0"/>
        <w:tabs>
          <w:tab w:leader="none" w:pos="1344"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reducing Executive’s incentive opportunities as described in Sections 4(b) and 4(c) of this Agreement; and</w:t>
      </w:r>
    </w:p>
    <w:p>
      <w:pPr>
        <w:spacing w:after="0" w:line="254" w:lineRule="exact"/>
        <w:rPr>
          <w:rFonts w:ascii="Arial" w:cs="Arial" w:eastAsia="Arial" w:hAnsi="Arial"/>
          <w:sz w:val="19"/>
          <w:szCs w:val="19"/>
          <w:color w:val="auto"/>
        </w:rPr>
      </w:pPr>
    </w:p>
    <w:p>
      <w:pPr>
        <w:ind w:left="1344" w:hanging="300"/>
        <w:spacing w:after="0"/>
        <w:tabs>
          <w:tab w:leader="none" w:pos="1344" w:val="left"/>
        </w:tabs>
        <w:numPr>
          <w:ilvl w:val="0"/>
          <w:numId w:val="34"/>
        </w:numPr>
        <w:rPr>
          <w:rFonts w:ascii="Arial" w:cs="Arial" w:eastAsia="Arial" w:hAnsi="Arial"/>
          <w:sz w:val="22"/>
          <w:szCs w:val="22"/>
          <w:color w:val="auto"/>
        </w:rPr>
      </w:pPr>
      <w:r>
        <w:rPr>
          <w:rFonts w:ascii="Arial" w:cs="Arial" w:eastAsia="Arial" w:hAnsi="Arial"/>
          <w:sz w:val="22"/>
          <w:szCs w:val="22"/>
          <w:color w:val="auto"/>
        </w:rPr>
        <w:t>failing to maintain Executive’s benefits and perquisites as described in this Agreement.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Executive’s resignation from employment shall not constitute a resignation for “Good Reason” as defined above unless</w:t>
      </w:r>
    </w:p>
    <w:p>
      <w:pPr>
        <w:spacing w:after="0" w:line="56" w:lineRule="exact"/>
        <w:rPr>
          <w:sz w:val="20"/>
          <w:szCs w:val="20"/>
          <w:color w:val="auto"/>
        </w:rPr>
      </w:pPr>
    </w:p>
    <w:p>
      <w:pPr>
        <w:jc w:val="both"/>
        <w:ind w:left="4" w:hanging="4"/>
        <w:spacing w:after="0" w:line="292" w:lineRule="auto"/>
        <w:tabs>
          <w:tab w:leader="none" w:pos="395" w:val="left"/>
        </w:tabs>
        <w:numPr>
          <w:ilvl w:val="0"/>
          <w:numId w:val="35"/>
        </w:numPr>
        <w:rPr>
          <w:rFonts w:ascii="Arial" w:cs="Arial" w:eastAsia="Arial" w:hAnsi="Arial"/>
          <w:sz w:val="19"/>
          <w:szCs w:val="19"/>
          <w:color w:val="auto"/>
        </w:rPr>
      </w:pPr>
      <w:r>
        <w:rPr>
          <w:rFonts w:ascii="Arial" w:cs="Arial" w:eastAsia="Arial" w:hAnsi="Arial"/>
          <w:sz w:val="19"/>
          <w:szCs w:val="19"/>
          <w:color w:val="auto"/>
        </w:rPr>
        <w:t>Executive has first delivered to the Company, not later than 90 days after the initial occurrence of the event or circumstance underlying Executive’s claim that Good Reason exists, a written notice of termination indicating Executive’s intention to resign for Good Reason and describing in reasonable detail the event that Executive believes to constitute Good Reason, (B) the Company has not cured such event or circumstance within 30 days after its receipt of such written notice and (C) Executive actually resigns within 30 days after the expiration of such cure period.</w:t>
      </w:r>
    </w:p>
    <w:p>
      <w:pPr>
        <w:spacing w:after="0" w:line="151" w:lineRule="exact"/>
        <w:rPr>
          <w:rFonts w:ascii="Arial" w:cs="Arial" w:eastAsia="Arial" w:hAnsi="Arial"/>
          <w:sz w:val="19"/>
          <w:szCs w:val="19"/>
          <w:color w:val="auto"/>
        </w:rPr>
      </w:pPr>
    </w:p>
    <w:p>
      <w:pPr>
        <w:ind w:left="1304" w:hanging="656"/>
        <w:spacing w:after="0"/>
        <w:tabs>
          <w:tab w:leader="none" w:pos="1304"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Section 280G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4" w:firstLine="448"/>
        <w:spacing w:after="0" w:line="259" w:lineRule="auto"/>
        <w:tabs>
          <w:tab w:leader="none" w:pos="1355" w:val="left"/>
        </w:tabs>
        <w:numPr>
          <w:ilvl w:val="2"/>
          <w:numId w:val="35"/>
        </w:numPr>
        <w:rPr>
          <w:rFonts w:ascii="Arial" w:cs="Arial" w:eastAsia="Arial" w:hAnsi="Arial"/>
          <w:sz w:val="21"/>
          <w:szCs w:val="21"/>
          <w:color w:val="auto"/>
        </w:rPr>
      </w:pPr>
      <w:r>
        <w:rPr>
          <w:rFonts w:ascii="Arial" w:cs="Arial" w:eastAsia="Arial" w:hAnsi="Arial"/>
          <w:sz w:val="21"/>
          <w:szCs w:val="21"/>
          <w:color w:val="auto"/>
        </w:rPr>
        <w:t>If any payment or benefit Executive would receive under this Agreement, when combined with any other payment or benefit Executive receives pursuant to the termination of Executive’s employment with the Company (“</w:t>
      </w:r>
      <w:r>
        <w:rPr>
          <w:rFonts w:ascii="Arial" w:cs="Arial" w:eastAsia="Arial" w:hAnsi="Arial"/>
          <w:sz w:val="21"/>
          <w:szCs w:val="21"/>
          <w:i w:val="1"/>
          <w:iCs w:val="1"/>
          <w:color w:val="auto"/>
        </w:rPr>
        <w:t>Payment</w:t>
      </w:r>
      <w:r>
        <w:rPr>
          <w:rFonts w:ascii="Arial" w:cs="Arial" w:eastAsia="Arial" w:hAnsi="Arial"/>
          <w:sz w:val="21"/>
          <w:szCs w:val="21"/>
          <w:color w:val="auto"/>
        </w:rPr>
        <w:t>”), would constitute a “parachute payment” within the meaning of Section 280G of the Code, and would, but for this sentence, be subject to the excise tax imposed by Section 4999 of the Code (the “</w:t>
      </w:r>
      <w:r>
        <w:rPr>
          <w:rFonts w:ascii="Arial" w:cs="Arial" w:eastAsia="Arial" w:hAnsi="Arial"/>
          <w:sz w:val="21"/>
          <w:szCs w:val="21"/>
          <w:i w:val="1"/>
          <w:iCs w:val="1"/>
          <w:color w:val="auto"/>
        </w:rPr>
        <w:t>Excise Tax</w:t>
      </w:r>
      <w:r>
        <w:rPr>
          <w:rFonts w:ascii="Arial" w:cs="Arial" w:eastAsia="Arial" w:hAnsi="Arial"/>
          <w:sz w:val="21"/>
          <w:szCs w:val="21"/>
          <w:color w:val="auto"/>
        </w:rPr>
        <w:t>”), then such Payment shall either be (A) delivered in full or (B) delivered in such amount that no portion of the Payment would be subject to the Excise Tax, whichever of the foregoing results in the receipt by Executive of the greatest benefit on an after-tax basis (taking into account the applicable federal, state and local income taxes and the Excise Tax).</w:t>
      </w:r>
    </w:p>
    <w:p>
      <w:pPr>
        <w:spacing w:after="0" w:line="183" w:lineRule="exact"/>
        <w:rPr>
          <w:rFonts w:ascii="Arial" w:cs="Arial" w:eastAsia="Arial" w:hAnsi="Arial"/>
          <w:sz w:val="21"/>
          <w:szCs w:val="21"/>
          <w:color w:val="auto"/>
        </w:rPr>
      </w:pPr>
    </w:p>
    <w:p>
      <w:pPr>
        <w:jc w:val="both"/>
        <w:ind w:left="644" w:firstLine="388"/>
        <w:spacing w:after="0" w:line="271" w:lineRule="auto"/>
        <w:tabs>
          <w:tab w:leader="none" w:pos="1357" w:val="left"/>
        </w:tabs>
        <w:numPr>
          <w:ilvl w:val="2"/>
          <w:numId w:val="35"/>
        </w:numPr>
        <w:rPr>
          <w:rFonts w:ascii="Arial" w:cs="Arial" w:eastAsia="Arial" w:hAnsi="Arial"/>
          <w:sz w:val="21"/>
          <w:szCs w:val="21"/>
          <w:color w:val="auto"/>
        </w:rPr>
      </w:pPr>
      <w:r>
        <w:rPr>
          <w:rFonts w:ascii="Arial" w:cs="Arial" w:eastAsia="Arial" w:hAnsi="Arial"/>
          <w:sz w:val="21"/>
          <w:szCs w:val="21"/>
          <w:color w:val="auto"/>
        </w:rPr>
        <w:t>All determinations required to be made under this Section 5(d), including whether and to what extent the Payment shall be reduced and the assumptions to be utilized in arriving at such determination, shall be made by a national independent accounting firm registered with the Public Company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584"/>
          </w:cols>
          <w:pgMar w:left="976" w:top="1428" w:right="339" w:bottom="1440" w:gutter="0" w:footer="0" w:header="0"/>
        </w:sectPr>
      </w:pPr>
    </w:p>
    <w:bookmarkStart w:id="65" w:name="page66"/>
    <w:bookmarkEnd w:id="65"/>
    <w:p>
      <w:pPr>
        <w:jc w:val="both"/>
        <w:ind w:left="1300"/>
        <w:spacing w:after="0" w:line="261" w:lineRule="auto"/>
        <w:rPr>
          <w:sz w:val="20"/>
          <w:szCs w:val="20"/>
          <w:color w:val="auto"/>
        </w:rPr>
      </w:pPr>
      <w:r>
        <w:rPr>
          <w:rFonts w:ascii="Arial" w:cs="Arial" w:eastAsia="Arial" w:hAnsi="Arial"/>
          <w:sz w:val="21"/>
          <w:szCs w:val="21"/>
          <w:color w:val="auto"/>
        </w:rPr>
        <w:t>Oversight Board as shall be designated by the Company (the “</w:t>
      </w:r>
      <w:r>
        <w:rPr>
          <w:rFonts w:ascii="Arial" w:cs="Arial" w:eastAsia="Arial" w:hAnsi="Arial"/>
          <w:sz w:val="21"/>
          <w:szCs w:val="21"/>
          <w:i w:val="1"/>
          <w:iCs w:val="1"/>
          <w:color w:val="auto"/>
        </w:rPr>
        <w:t>Accounting Firm</w:t>
      </w:r>
      <w:r>
        <w:rPr>
          <w:rFonts w:ascii="Arial" w:cs="Arial" w:eastAsia="Arial" w:hAnsi="Arial"/>
          <w:sz w:val="21"/>
          <w:szCs w:val="21"/>
          <w:color w:val="auto"/>
        </w:rPr>
        <w:t>”). The Accounting Firm shall provide detailed supporting calculations both to Executive and the Company at such time as is requested by the Company. All fees and expenses of the Accounting Firm shall be borne solely by the Company. For purposes of making the calculations required by this Section 5(e), the Accounting Firm may make reasonable assumptions and approximations concerning applicable taxes and may rely on reasonable, good-faith interpretations concerning the application of Sections 280G and 4999 of the Code.</w:t>
      </w:r>
    </w:p>
    <w:p>
      <w:pPr>
        <w:spacing w:after="0" w:line="179" w:lineRule="exact"/>
        <w:rPr>
          <w:sz w:val="20"/>
          <w:szCs w:val="20"/>
          <w:color w:val="auto"/>
        </w:rPr>
      </w:pPr>
    </w:p>
    <w:p>
      <w:pPr>
        <w:jc w:val="both"/>
        <w:ind w:left="1300" w:firstLine="328"/>
        <w:spacing w:after="0" w:line="289" w:lineRule="auto"/>
        <w:tabs>
          <w:tab w:leader="none" w:pos="2011" w:val="left"/>
        </w:tabs>
        <w:numPr>
          <w:ilvl w:val="2"/>
          <w:numId w:val="36"/>
        </w:numPr>
        <w:rPr>
          <w:rFonts w:ascii="Arial" w:cs="Arial" w:eastAsia="Arial" w:hAnsi="Arial"/>
          <w:sz w:val="19"/>
          <w:szCs w:val="19"/>
          <w:color w:val="auto"/>
        </w:rPr>
      </w:pPr>
      <w:r>
        <w:rPr>
          <w:rFonts w:ascii="Arial" w:cs="Arial" w:eastAsia="Arial" w:hAnsi="Arial"/>
          <w:sz w:val="19"/>
          <w:szCs w:val="19"/>
          <w:color w:val="auto"/>
        </w:rPr>
        <w:t xml:space="preserve">To the extent any reduction of the Payment becomes necessary pursuant to this Section 5(e), payments or benefits included in the Payment shall be reduced or eliminated by applying the following principles in order: (A) the payment or benefit with the higher ratio of the parachute payment value to present economic value (determined using reasonable actuarial assumptions) shall be reduced or eliminated before a payment or benefit with a lower ratio; (B) the payment or benefit with the later possible payment date shall be reduced or eliminated before a payment or benefit with an earlier payment date; and (C) cash payments shall be reduced prior to non-cash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foregoing order or reduction or elimination would violate Section 409A of the Code, then the reduction shall be made pro rata among the payments or benefits included in the Payment (on the basis of the relative present value of the parachute payments).</w:t>
      </w:r>
    </w:p>
    <w:p>
      <w:pPr>
        <w:spacing w:after="0" w:line="156" w:lineRule="exact"/>
        <w:rPr>
          <w:rFonts w:ascii="Arial" w:cs="Arial" w:eastAsia="Arial" w:hAnsi="Arial"/>
          <w:sz w:val="19"/>
          <w:szCs w:val="19"/>
          <w:color w:val="auto"/>
        </w:rPr>
      </w:pPr>
    </w:p>
    <w:p>
      <w:pPr>
        <w:jc w:val="both"/>
        <w:ind w:firstLine="656"/>
        <w:spacing w:after="0" w:line="247"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Resignation as a Member of the Board of Directors</w:t>
      </w:r>
      <w:r>
        <w:rPr>
          <w:rFonts w:ascii="Arial" w:cs="Arial" w:eastAsia="Arial" w:hAnsi="Arial"/>
          <w:sz w:val="22"/>
          <w:szCs w:val="22"/>
          <w:color w:val="auto"/>
        </w:rPr>
        <w:t>. In all cases of termination of Executive’s employment, including upon the expiration of this Agreement (if applicable), unless otherwise agreed to in writing, Executive shall be deemed to have contemporaneously resigned from his position as a member of the Board and any other position he then holds with the Company or any of its subsidiaries or other entities controlled by, controlling, or under common control with, the Company (“</w:t>
      </w:r>
      <w:r>
        <w:rPr>
          <w:rFonts w:ascii="Arial" w:cs="Arial" w:eastAsia="Arial" w:hAnsi="Arial"/>
          <w:sz w:val="22"/>
          <w:szCs w:val="22"/>
          <w:i w:val="1"/>
          <w:iCs w:val="1"/>
          <w:color w:val="auto"/>
        </w:rPr>
        <w:t>Affiliated Entities</w:t>
      </w:r>
      <w:r>
        <w:rPr>
          <w:rFonts w:ascii="Arial" w:cs="Arial" w:eastAsia="Arial" w:hAnsi="Arial"/>
          <w:sz w:val="22"/>
          <w:szCs w:val="22"/>
          <w:color w:val="auto"/>
        </w:rPr>
        <w:t>”) and shall execute any documentation reasonably required by the Company in order to effectuate such resignation.</w:t>
      </w:r>
    </w:p>
    <w:p>
      <w:pPr>
        <w:spacing w:after="0" w:line="192" w:lineRule="exact"/>
        <w:rPr>
          <w:rFonts w:ascii="Arial" w:cs="Arial" w:eastAsia="Arial" w:hAnsi="Arial"/>
          <w:sz w:val="22"/>
          <w:szCs w:val="22"/>
          <w:color w:val="auto"/>
        </w:rPr>
      </w:pPr>
    </w:p>
    <w:p>
      <w:pPr>
        <w:jc w:val="both"/>
        <w:ind w:firstLine="656"/>
        <w:spacing w:after="0" w:line="261" w:lineRule="auto"/>
        <w:tabs>
          <w:tab w:leader="none" w:pos="1296"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Cooperation in Proceedings</w:t>
      </w:r>
      <w:r>
        <w:rPr>
          <w:rFonts w:ascii="Arial" w:cs="Arial" w:eastAsia="Arial" w:hAnsi="Arial"/>
          <w:sz w:val="21"/>
          <w:szCs w:val="21"/>
          <w:color w:val="auto"/>
        </w:rPr>
        <w:t>. In all cases of termination of Executive’s employment, including upon Executive’s termination of employment upon the expiration of this Agreement, unless otherwise agreed to in writing, Executive agrees to cooperate with the Company and its Affiliated Entities with respect to any litigation or administrative proceedings involving any matters with which Executive was involved during Executive’s employment with the Company. Such cooperation shall be at such time or times requested by the Company upon reasonable advance notice to Executive and the Company shall cover any reasonable out-of-pocket expenses of Executive in so cooperating.</w:t>
      </w:r>
    </w:p>
    <w:p>
      <w:pPr>
        <w:spacing w:after="0" w:line="179" w:lineRule="exact"/>
        <w:rPr>
          <w:rFonts w:ascii="Arial" w:cs="Arial" w:eastAsia="Arial" w:hAnsi="Arial"/>
          <w:sz w:val="21"/>
          <w:szCs w:val="21"/>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312" w:lineRule="auto"/>
        <w:tabs>
          <w:tab w:leader="none" w:pos="1953" w:val="left"/>
        </w:tabs>
        <w:numPr>
          <w:ilvl w:val="1"/>
          <w:numId w:val="37"/>
        </w:numPr>
        <w:rPr>
          <w:rFonts w:ascii="Arial" w:cs="Arial" w:eastAsia="Arial" w:hAnsi="Arial"/>
          <w:sz w:val="19"/>
          <w:szCs w:val="19"/>
          <w:color w:val="auto"/>
        </w:rPr>
      </w:pPr>
      <w:r>
        <w:rPr>
          <w:rFonts w:ascii="Arial" w:cs="Arial" w:eastAsia="Arial" w:hAnsi="Arial"/>
          <w:sz w:val="19"/>
          <w:szCs w:val="19"/>
          <w:color w:val="auto"/>
        </w:rPr>
        <w:t>Executive understands and agrees that Executive’s employment creates a relationship of confidence and trust between Executive and the Company with respect to all Confidential Information (as defined below). At all times, both during Executive’s employment with the Company and after its termination, Executive shall keep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28" w:right="339" w:bottom="1440" w:gutter="0" w:footer="0" w:header="0"/>
        </w:sectPr>
      </w:pPr>
    </w:p>
    <w:bookmarkStart w:id="66" w:name="page67"/>
    <w:bookmarkEnd w:id="66"/>
    <w:p>
      <w:pPr>
        <w:jc w:val="both"/>
        <w:spacing w:after="0" w:line="284" w:lineRule="auto"/>
        <w:rPr>
          <w:sz w:val="20"/>
          <w:szCs w:val="20"/>
          <w:color w:val="auto"/>
        </w:rPr>
      </w:pPr>
      <w:r>
        <w:rPr>
          <w:rFonts w:ascii="Arial" w:cs="Arial" w:eastAsia="Arial" w:hAnsi="Arial"/>
          <w:sz w:val="19"/>
          <w:szCs w:val="19"/>
          <w:color w:val="auto"/>
        </w:rPr>
        <w:t>confidence and trust all such Confidential Information, and shall not use or disclose any such Confidential Information without the written consent of the Company, except as may be necessary in the ordinary course of performing Executive’s duties to the Company. Nothing in this Agreement shall be construed to prevent disclosure of Confidential Information as may be required by applicable law or regulation, or pursuant to the valid order of a court of competent jurisdiction or an authorized government agency. Upon receipt of any such order, Executive shall promptly provide written notice to the Company of any such order, and shall consult with and assist the Company in seeking a protective order or request for other appropriate remedy. Notwithstanding any provision of this Agreement to the contrary, the provisions of this Agreement are not intended to, and shall be interpreted in a manner that does not, limit or restrict Executive from exercising any legally protected whistleblower rights (including pursuant to Rule 21F under the Securities Exchange Act of 1934). As used in this Agreement,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information belonging to the Company that is of value to the Company in the course of conducting its business and the disclosure of which could result in a competitive or other disadvantage to the Company. Confidential Information includes, without limitation, financial information, reports, and forecasts; inventions, improvements and other intellectual property; trade secrets; know-how; designs, processes or formulae; software; market or sales information or plans; customer lists; and business plans, prospects and opportunities (such as possible acquisitions or dispositions of businesses or facilities) which have been discussed or considered by the management or Board of the Company. Confidential Information includes information developed by Executive in the course of Executive’s employment by the Company, as well as other information to which Executive may have access in connection with Executive’s employment. Confidential Information also includes the confidential information of others with which the Company has a relationship. Notwithstanding the foregoing, Confidential Information does not include information in the public domain, unless due to breach of Executive’s duties under this Section 8.</w:t>
      </w:r>
    </w:p>
    <w:p>
      <w:pPr>
        <w:spacing w:after="0" w:line="175" w:lineRule="exact"/>
        <w:rPr>
          <w:sz w:val="20"/>
          <w:szCs w:val="20"/>
          <w:color w:val="auto"/>
        </w:rPr>
      </w:pPr>
    </w:p>
    <w:p>
      <w:pPr>
        <w:jc w:val="both"/>
        <w:ind w:firstLine="644"/>
        <w:spacing w:after="0" w:line="288" w:lineRule="auto"/>
        <w:tabs>
          <w:tab w:leader="none" w:pos="1291" w:val="left"/>
        </w:tabs>
        <w:numPr>
          <w:ilvl w:val="0"/>
          <w:numId w:val="38"/>
        </w:numPr>
        <w:rPr>
          <w:rFonts w:ascii="Arial" w:cs="Arial" w:eastAsia="Arial" w:hAnsi="Arial"/>
          <w:sz w:val="19"/>
          <w:szCs w:val="19"/>
          <w:color w:val="auto"/>
        </w:rPr>
      </w:pPr>
      <w:r>
        <w:rPr>
          <w:rFonts w:ascii="Arial" w:cs="Arial" w:eastAsia="Arial" w:hAnsi="Arial"/>
          <w:sz w:val="19"/>
          <w:szCs w:val="19"/>
          <w:color w:val="auto"/>
        </w:rPr>
        <w:t>To further ensure the protection of the Confidential Information, Executive agrees that, for a period of one year after Executive’s date of termination of employment, including upon Executive’s termination of employment upon the expiration of this Agreement, Executive shall not accept employment with or provide services in any form to (including serving as a director, partner or founder, or entering into a consulting relationship or similar arrangements) a business that (i) competes, directly or indirectly, with any of the Company’s principal business units as of the date of termination; or (ii) is a material customer of or a material supplier to any of the Company’s businesses as of the date of termination (a “</w:t>
      </w:r>
      <w:r>
        <w:rPr>
          <w:rFonts w:ascii="Arial" w:cs="Arial" w:eastAsia="Arial" w:hAnsi="Arial"/>
          <w:sz w:val="19"/>
          <w:szCs w:val="19"/>
          <w:i w:val="1"/>
          <w:iCs w:val="1"/>
          <w:color w:val="auto"/>
        </w:rPr>
        <w:t>Competitive Business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it shall not be considered a breach of this Agreement for Executive to be a passive owner of not more than 5% of the outstanding stock or other securities or interests of a corporation or other entity that is a Competitive Business, so long as Executive has no direct or indirect active participation in the business or management of such corporation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580"/>
          </w:cols>
          <w:pgMar w:left="980" w:top="1428" w:right="339" w:bottom="1440" w:gutter="0" w:footer="0" w:header="0"/>
        </w:sectPr>
      </w:pPr>
    </w:p>
    <w:bookmarkStart w:id="67" w:name="page68"/>
    <w:bookmarkEnd w:id="67"/>
    <w:p>
      <w:pPr>
        <w:jc w:val="both"/>
        <w:ind w:left="4" w:firstLine="644"/>
        <w:spacing w:after="0" w:line="284" w:lineRule="auto"/>
        <w:tabs>
          <w:tab w:leader="none" w:pos="1297" w:val="left"/>
        </w:tabs>
        <w:numPr>
          <w:ilvl w:val="1"/>
          <w:numId w:val="39"/>
        </w:numPr>
        <w:rPr>
          <w:rFonts w:ascii="Arial" w:cs="Arial" w:eastAsia="Arial" w:hAnsi="Arial"/>
          <w:sz w:val="19"/>
          <w:szCs w:val="19"/>
          <w:color w:val="auto"/>
        </w:rPr>
      </w:pPr>
      <w:r>
        <w:rPr>
          <w:rFonts w:ascii="Arial" w:cs="Arial" w:eastAsia="Arial" w:hAnsi="Arial"/>
          <w:sz w:val="19"/>
          <w:szCs w:val="19"/>
          <w:color w:val="auto"/>
        </w:rPr>
        <w:t>Executive agrees that, for a period of two years after Executive’s date of termination of employment, including upon Executive’s termination of employment upon the expiration of this Agreement, Executive shall not, directly or indirectly: (i) solicit any individual who is, at the time of such solicitation (or was during the three-month period prior to the date of such solicitation), employed by the Company or one of its Affiliated Entities with whom Executive had direct contact (other than incidental) during the two-year period prior to the date of termination to terminate or refrain from rendering services to the Company or its Affiliated Entities for the purpose of becoming employed by, or becoming a consultant to, any individual or entity other than the Company or its Affiliated Entities, or</w:t>
      </w:r>
    </w:p>
    <w:p>
      <w:pPr>
        <w:spacing w:after="0" w:line="3" w:lineRule="exact"/>
        <w:rPr>
          <w:rFonts w:ascii="Arial" w:cs="Arial" w:eastAsia="Arial" w:hAnsi="Arial"/>
          <w:sz w:val="19"/>
          <w:szCs w:val="19"/>
          <w:color w:val="auto"/>
        </w:rPr>
      </w:pPr>
    </w:p>
    <w:p>
      <w:pPr>
        <w:jc w:val="both"/>
        <w:ind w:left="4" w:hanging="4"/>
        <w:spacing w:after="0" w:line="244" w:lineRule="auto"/>
        <w:tabs>
          <w:tab w:leader="none" w:pos="369"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induce or attempt to induce any current customer, investor, supplier, licensee, or other business relation of the Company or any of its Affiliated Entities with whom or which Executive had direct contact (other than incidental) during the two-year period prior to the date of termination (“</w:t>
      </w:r>
      <w:r>
        <w:rPr>
          <w:rFonts w:ascii="Arial" w:cs="Arial" w:eastAsia="Arial" w:hAnsi="Arial"/>
          <w:sz w:val="22"/>
          <w:szCs w:val="22"/>
          <w:i w:val="1"/>
          <w:iCs w:val="1"/>
          <w:color w:val="auto"/>
        </w:rPr>
        <w:t>Customer</w:t>
      </w:r>
      <w:r>
        <w:rPr>
          <w:rFonts w:ascii="Arial" w:cs="Arial" w:eastAsia="Arial" w:hAnsi="Arial"/>
          <w:sz w:val="22"/>
          <w:szCs w:val="22"/>
          <w:color w:val="auto"/>
        </w:rPr>
        <w:t>”) to cease doing business with the Company or its Affiliated Entities, or in any way interfere with the relationship between any such Customer, on the one hand, and the Company or any of its Affiliated Entities, on the other hand.</w:t>
      </w:r>
    </w:p>
    <w:p>
      <w:pPr>
        <w:spacing w:after="0" w:line="194" w:lineRule="exact"/>
        <w:rPr>
          <w:rFonts w:ascii="Arial" w:cs="Arial" w:eastAsia="Arial" w:hAnsi="Arial"/>
          <w:sz w:val="22"/>
          <w:szCs w:val="22"/>
          <w:color w:val="auto"/>
        </w:rPr>
      </w:pPr>
    </w:p>
    <w:p>
      <w:pPr>
        <w:jc w:val="both"/>
        <w:ind w:left="4" w:firstLine="644"/>
        <w:spacing w:after="0" w:line="294" w:lineRule="auto"/>
        <w:tabs>
          <w:tab w:leader="none" w:pos="1295" w:val="left"/>
        </w:tabs>
        <w:numPr>
          <w:ilvl w:val="1"/>
          <w:numId w:val="40"/>
        </w:numPr>
        <w:rPr>
          <w:rFonts w:ascii="Arial" w:cs="Arial" w:eastAsia="Arial" w:hAnsi="Arial"/>
          <w:sz w:val="19"/>
          <w:szCs w:val="19"/>
          <w:color w:val="auto"/>
        </w:rPr>
      </w:pPr>
      <w:r>
        <w:rPr>
          <w:rFonts w:ascii="Arial" w:cs="Arial" w:eastAsia="Arial" w:hAnsi="Arial"/>
          <w:sz w:val="19"/>
          <w:szCs w:val="19"/>
          <w:color w:val="auto"/>
        </w:rPr>
        <w:t>Executive agrees that it would be difficult to measure any damages caused to the Company that might result from any breach by Executive of Sections 8(a), (b), or (c), that in any event money damages would be an inadequate remedy for any such breach and that the Company and its Affiliated Entities would be irreparably injured by any such breach. Accordingly, Executive agrees that the Company shall be entitled to a preliminary injunction, temporary restraining order or other equivalent relief, restraining Executive from any actual or threatened material breach of any of Sections 8(a), (b), or (c) of this Agreement without showing or proving any actual damage to the Company.</w:t>
      </w:r>
    </w:p>
    <w:p>
      <w:pPr>
        <w:spacing w:after="0" w:line="149" w:lineRule="exact"/>
        <w:rPr>
          <w:rFonts w:ascii="Arial" w:cs="Arial" w:eastAsia="Arial" w:hAnsi="Arial"/>
          <w:sz w:val="19"/>
          <w:szCs w:val="19"/>
          <w:color w:val="auto"/>
        </w:rPr>
      </w:pPr>
    </w:p>
    <w:p>
      <w:pPr>
        <w:jc w:val="both"/>
        <w:ind w:left="4" w:firstLine="644"/>
        <w:spacing w:after="0" w:line="263" w:lineRule="auto"/>
        <w:tabs>
          <w:tab w:leader="none" w:pos="1297" w:val="left"/>
        </w:tabs>
        <w:numPr>
          <w:ilvl w:val="1"/>
          <w:numId w:val="40"/>
        </w:numPr>
        <w:rPr>
          <w:rFonts w:ascii="Arial" w:cs="Arial" w:eastAsia="Arial" w:hAnsi="Arial"/>
          <w:sz w:val="21"/>
          <w:szCs w:val="21"/>
          <w:color w:val="auto"/>
        </w:rPr>
      </w:pPr>
      <w:r>
        <w:rPr>
          <w:rFonts w:ascii="Arial" w:cs="Arial" w:eastAsia="Arial" w:hAnsi="Arial"/>
          <w:sz w:val="21"/>
          <w:szCs w:val="21"/>
          <w:color w:val="auto"/>
        </w:rPr>
        <w:t>To the extent that any court action is permitted consistent with or to enforce Section 8(a) of this Agreement, the parties hereby consent to the jurisdiction of the State of Delaware and the United States District Court for the District of Delaware. Accordingly, with respect to any such court action, Executive (i) submits to the personal jurisdiction of such courts; (ii) consents to service process; and (iii) waives any other requirement (whether imposed by statute, rule of court, or otherwise) with respect to personal jurisdiction or service of process.</w:t>
      </w:r>
    </w:p>
    <w:p>
      <w:pPr>
        <w:spacing w:after="0" w:line="175" w:lineRule="exact"/>
        <w:rPr>
          <w:sz w:val="20"/>
          <w:szCs w:val="20"/>
          <w:color w:val="auto"/>
        </w:rPr>
      </w:pPr>
    </w:p>
    <w:p>
      <w:pPr>
        <w:ind w:left="644" w:hanging="644"/>
        <w:spacing w:after="0"/>
        <w:tabs>
          <w:tab w:leader="none" w:pos="644"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4"/>
        <w:spacing w:after="0" w:line="263" w:lineRule="auto"/>
        <w:tabs>
          <w:tab w:leader="none" w:pos="1297" w:val="left"/>
        </w:tabs>
        <w:numPr>
          <w:ilvl w:val="1"/>
          <w:numId w:val="41"/>
        </w:numPr>
        <w:rPr>
          <w:rFonts w:ascii="Arial" w:cs="Arial" w:eastAsia="Arial" w:hAnsi="Arial"/>
          <w:sz w:val="21"/>
          <w:szCs w:val="21"/>
          <w:color w:val="auto"/>
        </w:rPr>
      </w:pPr>
      <w:r>
        <w:rPr>
          <w:rFonts w:ascii="Arial" w:cs="Arial" w:eastAsia="Arial" w:hAnsi="Arial"/>
          <w:sz w:val="21"/>
          <w:szCs w:val="21"/>
          <w:color w:val="auto"/>
        </w:rPr>
        <w:t>Subject to Section 8(e), Executive shall have the right to have settled by arbitration any dispute or controversy arising in connection herewith. Such arbitration shall be conducted in accordance with the rules of the American Arbitration Association before a panel of three arbitrators sitting in a location selected by Executive. Judgment may be entered on the award of the arbitrators in any court having proper jurisdiction. All expenses of such arbitration shall be borne by the Company in accordance with Section 9(b) hereof.</w:t>
      </w:r>
    </w:p>
    <w:p>
      <w:pPr>
        <w:spacing w:after="0" w:line="175" w:lineRule="exact"/>
        <w:rPr>
          <w:rFonts w:ascii="Arial" w:cs="Arial" w:eastAsia="Arial" w:hAnsi="Arial"/>
          <w:sz w:val="21"/>
          <w:szCs w:val="21"/>
          <w:color w:val="auto"/>
        </w:rPr>
      </w:pPr>
    </w:p>
    <w:p>
      <w:pPr>
        <w:ind w:left="4" w:right="20" w:firstLine="644"/>
        <w:spacing w:after="0" w:line="263" w:lineRule="auto"/>
        <w:tabs>
          <w:tab w:leader="none" w:pos="1295"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Company agrees to pay as incurred, to the full extent permitted by law, all legal fees and expenses that Executive may reasonably incur as a result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84"/>
          </w:cols>
          <w:pgMar w:left="976" w:top="1428" w:right="339" w:bottom="1440" w:gutter="0" w:footer="0" w:header="0"/>
        </w:sectPr>
      </w:pPr>
    </w:p>
    <w:bookmarkStart w:id="68" w:name="page69"/>
    <w:bookmarkEnd w:id="68"/>
    <w:p>
      <w:pPr>
        <w:jc w:val="both"/>
        <w:ind w:left="4"/>
        <w:spacing w:after="0" w:line="265" w:lineRule="auto"/>
        <w:rPr>
          <w:sz w:val="20"/>
          <w:szCs w:val="20"/>
          <w:color w:val="auto"/>
        </w:rPr>
      </w:pPr>
      <w:r>
        <w:rPr>
          <w:rFonts w:ascii="Arial" w:cs="Arial" w:eastAsia="Arial" w:hAnsi="Arial"/>
          <w:sz w:val="21"/>
          <w:szCs w:val="21"/>
          <w:color w:val="auto"/>
        </w:rPr>
        <w:t>contest (regardless of the outcome thereof) by the Company, Executive, or others of the validity or enforceability of, or liability under, any provision of this Agreement or any guarantee of performance thereof (including as a result of any contest by Executive about the amount of payment pursuant to this Agreement), plus in each case interest on any delayed payment at the applicable federal rate provided for in Section 7872(f)(2)(A) of the Code.</w:t>
      </w:r>
    </w:p>
    <w:p>
      <w:pPr>
        <w:spacing w:after="0" w:line="175" w:lineRule="exact"/>
        <w:rPr>
          <w:sz w:val="20"/>
          <w:szCs w:val="20"/>
          <w:color w:val="auto"/>
        </w:rPr>
      </w:pPr>
    </w:p>
    <w:p>
      <w:pPr>
        <w:jc w:val="both"/>
        <w:ind w:left="4" w:firstLine="644"/>
        <w:spacing w:after="0" w:line="253" w:lineRule="auto"/>
        <w:tabs>
          <w:tab w:leader="none" w:pos="1297"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This arbitration provision does not limit Executive’s right to file an administrative charge with the National Labor Relations Board, the Equal Employment Opportunity Commission, or any state agency charged with the enforcement of fair employment practice laws.</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left="644" w:hanging="644"/>
        <w:spacing w:after="0"/>
        <w:tabs>
          <w:tab w:leader="none" w:pos="64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4"/>
        <w:spacing w:after="0" w:line="250" w:lineRule="auto"/>
        <w:tabs>
          <w:tab w:leader="none" w:pos="1297"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supersedes any prior agreements or understandings, oral or written, between Executive and the Company with respect to the subject matter hereof, including the Change in Control Severance Agreement, dated March 31, 2014, between Executive and Raytheon, as amended to date, and constitutes the entire agreement of the parties with respect thereto.</w:t>
      </w:r>
    </w:p>
    <w:p>
      <w:pPr>
        <w:spacing w:after="0" w:line="187" w:lineRule="exact"/>
        <w:rPr>
          <w:rFonts w:ascii="Arial" w:cs="Arial" w:eastAsia="Arial" w:hAnsi="Arial"/>
          <w:sz w:val="22"/>
          <w:szCs w:val="22"/>
          <w:color w:val="auto"/>
        </w:rPr>
      </w:pPr>
    </w:p>
    <w:p>
      <w:pPr>
        <w:ind w:left="4" w:firstLine="644"/>
        <w:spacing w:after="0" w:line="263" w:lineRule="auto"/>
        <w:tabs>
          <w:tab w:leader="none" w:pos="1295"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This Agreement shall not be varied, altered, modified, cancelled, changed or in any way amended except by mutual agreement of the parties in a written instrument executed by the parties.</w:t>
      </w:r>
    </w:p>
    <w:p>
      <w:pPr>
        <w:spacing w:after="0" w:line="174" w:lineRule="exact"/>
        <w:rPr>
          <w:rFonts w:ascii="Arial" w:cs="Arial" w:eastAsia="Arial" w:hAnsi="Arial"/>
          <w:sz w:val="22"/>
          <w:szCs w:val="22"/>
          <w:color w:val="auto"/>
        </w:rPr>
      </w:pPr>
    </w:p>
    <w:p>
      <w:pPr>
        <w:jc w:val="both"/>
        <w:ind w:left="4" w:firstLine="644"/>
        <w:spacing w:after="0" w:line="253" w:lineRule="auto"/>
        <w:tabs>
          <w:tab w:leader="none" w:pos="1297"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provision or portion of this Agreement shall be determined to be invalid or unenforceable for any reason, the remaining provisions of this Agreement shall be unaffected and shall remain in full force and effect.</w:t>
      </w:r>
    </w:p>
    <w:p>
      <w:pPr>
        <w:spacing w:after="0" w:line="185" w:lineRule="exact"/>
        <w:rPr>
          <w:rFonts w:ascii="Arial" w:cs="Arial" w:eastAsia="Arial" w:hAnsi="Arial"/>
          <w:sz w:val="22"/>
          <w:szCs w:val="22"/>
          <w:color w:val="auto"/>
        </w:rPr>
      </w:pPr>
    </w:p>
    <w:p>
      <w:pPr>
        <w:ind w:left="4" w:firstLine="644"/>
        <w:spacing w:after="0" w:line="263" w:lineRule="auto"/>
        <w:tabs>
          <w:tab w:leader="none" w:pos="1295"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Company may withhold all Federal, state, city or other taxes required pursuant to any law or governmental regulation or ruling.</w:t>
      </w:r>
    </w:p>
    <w:p>
      <w:pPr>
        <w:spacing w:after="0" w:line="174" w:lineRule="exact"/>
        <w:rPr>
          <w:rFonts w:ascii="Arial" w:cs="Arial" w:eastAsia="Arial" w:hAnsi="Arial"/>
          <w:sz w:val="22"/>
          <w:szCs w:val="22"/>
          <w:color w:val="auto"/>
        </w:rPr>
      </w:pPr>
    </w:p>
    <w:p>
      <w:pPr>
        <w:ind w:left="4" w:firstLine="644"/>
        <w:spacing w:after="0" w:line="263" w:lineRule="auto"/>
        <w:tabs>
          <w:tab w:leader="none" w:pos="1297"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bind and inure to the benefit of each of the parties and their respective heirs, successors, administrators, executors, and assigns.</w:t>
      </w:r>
    </w:p>
    <w:p>
      <w:pPr>
        <w:spacing w:after="0" w:line="174" w:lineRule="exact"/>
        <w:rPr>
          <w:rFonts w:ascii="Arial" w:cs="Arial" w:eastAsia="Arial" w:hAnsi="Arial"/>
          <w:sz w:val="22"/>
          <w:szCs w:val="22"/>
          <w:color w:val="auto"/>
        </w:rPr>
      </w:pPr>
    </w:p>
    <w:p>
      <w:pPr>
        <w:ind w:left="4" w:firstLine="644"/>
        <w:spacing w:after="0" w:line="263" w:lineRule="auto"/>
        <w:tabs>
          <w:tab w:leader="none" w:pos="1300"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provisions of this Agreement shall be construed and enforced in accordance with the laws of the State of Delaware, without regard to its principles of conflicts of law.</w:t>
      </w:r>
    </w:p>
    <w:p>
      <w:pPr>
        <w:spacing w:after="0" w:line="174" w:lineRule="exact"/>
        <w:rPr>
          <w:rFonts w:ascii="Arial" w:cs="Arial" w:eastAsia="Arial" w:hAnsi="Arial"/>
          <w:sz w:val="22"/>
          <w:szCs w:val="22"/>
          <w:color w:val="auto"/>
        </w:rPr>
      </w:pPr>
    </w:p>
    <w:p>
      <w:pPr>
        <w:jc w:val="both"/>
        <w:ind w:left="4" w:firstLine="644"/>
        <w:spacing w:after="0" w:line="247" w:lineRule="auto"/>
        <w:tabs>
          <w:tab w:leader="none" w:pos="1295"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notices, requests, demands, or other communications required by or provided for in this Agreement shall be sufficient if in writing and (i) if addressed to Executive, delivered personally to Executive, or sent by registered or certified mail to Executive at the last address Executive has filed in writing with the Company or by electronic mail to Executive’s Company email address prior to the date of termination of Executive’s employment, or thereafter to the email address provided by Executive to the Company, or (ii) if addressed to the Company, delivered personally to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584"/>
          </w:cols>
          <w:pgMar w:left="976" w:top="1428" w:right="339" w:bottom="1440" w:gutter="0" w:footer="0" w:header="0"/>
        </w:sectPr>
      </w:pPr>
    </w:p>
    <w:bookmarkStart w:id="69" w:name="page70"/>
    <w:bookmarkEnd w:id="69"/>
    <w:p>
      <w:pPr>
        <w:spacing w:after="0" w:line="263" w:lineRule="auto"/>
        <w:rPr>
          <w:sz w:val="20"/>
          <w:szCs w:val="20"/>
          <w:color w:val="auto"/>
        </w:rPr>
      </w:pPr>
      <w:r>
        <w:rPr>
          <w:rFonts w:ascii="Arial" w:cs="Arial" w:eastAsia="Arial" w:hAnsi="Arial"/>
          <w:sz w:val="22"/>
          <w:szCs w:val="22"/>
          <w:color w:val="auto"/>
        </w:rPr>
        <w:t>Counsel of the Company or sent by registered or certified mail to the Company at its principal office, or by electronic mail to the Company’s General Counsel at such individual’s Company email address.</w:t>
      </w:r>
    </w:p>
    <w:p>
      <w:pPr>
        <w:spacing w:after="0" w:line="175" w:lineRule="exact"/>
        <w:rPr>
          <w:sz w:val="20"/>
          <w:szCs w:val="20"/>
          <w:color w:val="auto"/>
        </w:rPr>
      </w:pPr>
    </w:p>
    <w:p>
      <w:pPr>
        <w:jc w:val="both"/>
        <w:ind w:firstLine="644"/>
        <w:spacing w:after="0" w:line="250" w:lineRule="auto"/>
        <w:tabs>
          <w:tab w:leader="none" w:pos="1291"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Compliance with Company Policies</w:t>
      </w:r>
      <w:r>
        <w:rPr>
          <w:rFonts w:ascii="Arial" w:cs="Arial" w:eastAsia="Arial" w:hAnsi="Arial"/>
          <w:sz w:val="22"/>
          <w:szCs w:val="22"/>
          <w:color w:val="auto"/>
        </w:rPr>
        <w:t>. Executive acknowledges and agrees that Executive will be subject to all applicable compensation and benefit and governance policies of the Company applicable to executive officers, as in effect from time to time (including, for the avoidance of doubt, any applicable policy related to the recoupment of incentive compensation).</w:t>
      </w:r>
    </w:p>
    <w:p>
      <w:pPr>
        <w:spacing w:after="0" w:line="214" w:lineRule="exact"/>
        <w:rPr>
          <w:rFonts w:ascii="Arial" w:cs="Arial" w:eastAsia="Arial" w:hAnsi="Arial"/>
          <w:sz w:val="22"/>
          <w:szCs w:val="22"/>
          <w:color w:val="auto"/>
        </w:rPr>
      </w:pPr>
    </w:p>
    <w:p>
      <w:pPr>
        <w:ind w:left="1280" w:hanging="636"/>
        <w:spacing w:after="0"/>
        <w:tabs>
          <w:tab w:leader="none" w:pos="12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640" w:firstLine="448"/>
        <w:spacing w:after="0" w:line="287" w:lineRule="auto"/>
        <w:tabs>
          <w:tab w:leader="none" w:pos="1355"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obligations under this Agreement are intended to comply with the requirements of Section 409A of the Code or an exemption or exclusion therefrom and shall in all respects be administered in accordance with Section 409A of the Code. Any payments that qualify for the “short-term deferral” exception, the separation pay exception, or another exception under Section 409A of the Code shall be paid under the applicable exception to the maximum extent possible. For purposes of the limitations on nonqualified deferred compensation under Section 409A of the Code, each payment of compensation under this Agreement shall be treated as a separate payment of compensation for purposes of applying the exclusion under Section 409A of the Code for short-term deferral amounts, the separation pay exception or any other exception or exclusion under Section 409A of the Code.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w:t>
      </w:r>
    </w:p>
    <w:p>
      <w:pPr>
        <w:spacing w:after="0" w:line="163" w:lineRule="exact"/>
        <w:rPr>
          <w:rFonts w:ascii="Arial" w:cs="Arial" w:eastAsia="Arial" w:hAnsi="Arial"/>
          <w:sz w:val="19"/>
          <w:szCs w:val="19"/>
          <w:color w:val="auto"/>
        </w:rPr>
      </w:pPr>
    </w:p>
    <w:p>
      <w:pPr>
        <w:jc w:val="both"/>
        <w:ind w:left="640" w:firstLine="388"/>
        <w:spacing w:after="0" w:line="288" w:lineRule="auto"/>
        <w:tabs>
          <w:tab w:leader="none" w:pos="1356"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Reimbursements and In-Kind Benefits</w:t>
      </w:r>
      <w:r>
        <w:rPr>
          <w:rFonts w:ascii="Arial" w:cs="Arial" w:eastAsia="Arial" w:hAnsi="Arial"/>
          <w:sz w:val="19"/>
          <w:szCs w:val="19"/>
          <w:color w:val="auto"/>
        </w:rPr>
        <w:t xml:space="preserve">. Notwithstanding anything to the contrary in this Agreement, all reimbursements and in-kind benefits provided under this Agreement that are subject to Section 409A of the Code shall be made in accordance with the requirements of Section 409A of the Code, including without limitation, where applicable, the requirement that (A) the amount of expenses eligible for reimbursement, or in-kind benefits provided, during a calendar year may not affect the expenses eligible for reimbursement, or in-kind benefits to be provided, in any other calendar year; (B) the reimbursement of eligible fees and expenses shall be made no later than the last day of the calendar year following the year in which the applicable fees and expenses were incurred;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Executive shall have submitted an invoice for such fees and expenses at least 30 days before the end</w:t>
      </w:r>
      <w:r>
        <w:rPr>
          <w:rFonts w:ascii="Arial" w:cs="Arial" w:eastAsia="Arial" w:hAnsi="Arial"/>
          <w:sz w:val="19"/>
          <w:szCs w:val="19"/>
          <w:i w:val="1"/>
          <w:iCs w:val="1"/>
          <w:color w:val="auto"/>
        </w:rPr>
        <w:t xml:space="preserve"> </w:t>
      </w:r>
      <w:r>
        <w:rPr>
          <w:rFonts w:ascii="Arial" w:cs="Arial" w:eastAsia="Arial" w:hAnsi="Arial"/>
          <w:sz w:val="19"/>
          <w:szCs w:val="19"/>
          <w:color w:val="auto"/>
        </w:rPr>
        <w:t>of the calendar year next following the calendar year in which such fees and expenses were incurred; and (C) the right to reimbursement or in-kind benefits is not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580"/>
          </w:cols>
          <w:pgMar w:left="980" w:top="1428" w:right="339" w:bottom="1440" w:gutter="0" w:footer="0" w:header="0"/>
        </w:sectPr>
      </w:pPr>
    </w:p>
    <w:bookmarkStart w:id="70" w:name="page71"/>
    <w:bookmarkEnd w:id="70"/>
    <w:p>
      <w:pPr>
        <w:jc w:val="both"/>
        <w:ind w:left="180" w:firstLine="328"/>
        <w:spacing w:after="0" w:line="287" w:lineRule="auto"/>
        <w:tabs>
          <w:tab w:leader="none" w:pos="882"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Delay of Payments</w:t>
      </w:r>
      <w:r>
        <w:rPr>
          <w:rFonts w:ascii="Arial" w:cs="Arial" w:eastAsia="Arial" w:hAnsi="Arial"/>
          <w:sz w:val="19"/>
          <w:szCs w:val="19"/>
          <w:color w:val="auto"/>
        </w:rPr>
        <w:t>. Notwithstanding any other provision of this Agreement to the contrary, if Executive is considered a “specified employee” for purposes of Section 409A of the Code (as determined in accordance with the methodology established by the Company as in effect on the Date of Termination), any payment or benefit that constitutes nonqualified deferred compensation within the meaning of Section 409A of the Code that is otherwise due to be paid to Executive under this Agreement during the six-month period immediately following Executive’s separation from service (as determined in accordance with Section 409A of the Code) because of Executive’s separation from service shall be accumulated and paid to Executive on the first business day of the seventh month following Executive’s separation from service, to the extent necessary to avoid penalty taxes or accelerated taxation pursuant to Section 409A of the Code. If Executive dies during the postponement period, the amounts and entitlements delayed on account of Section 409A of the Code shall be paid to the personal representative of his or her estate within 30 days following Executive’s death.</w:t>
      </w:r>
    </w:p>
    <w:p>
      <w:pPr>
        <w:spacing w:after="0" w:line="163" w:lineRule="exact"/>
        <w:rPr>
          <w:rFonts w:ascii="Arial" w:cs="Arial" w:eastAsia="Arial" w:hAnsi="Arial"/>
          <w:sz w:val="19"/>
          <w:szCs w:val="19"/>
          <w:color w:val="auto"/>
        </w:rPr>
      </w:pPr>
    </w:p>
    <w:p>
      <w:pPr>
        <w:jc w:val="both"/>
        <w:ind w:left="-460" w:firstLine="644"/>
        <w:spacing w:after="0" w:line="260" w:lineRule="auto"/>
        <w:tabs>
          <w:tab w:leader="none" w:pos="824"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No Mitigation or Offset</w:t>
      </w:r>
      <w:r>
        <w:rPr>
          <w:rFonts w:ascii="Arial" w:cs="Arial" w:eastAsia="Arial" w:hAnsi="Arial"/>
          <w:sz w:val="21"/>
          <w:szCs w:val="21"/>
          <w:color w:val="auto"/>
        </w:rPr>
        <w:t>. The Company’s obligation to provide the payments and benefits under this Agreement and otherwise to perform its obligations hereunder shall be absolute and unconditional and shall not be affected by any setoff, counterclaim, recoupment, defense, or other claim, right, or action that the Company may have against Executive. In no event shall Executive be obligated to seek other employment or take any other action by way of mitigation of the amounts payable to Executive under Section 5(c) of the Agreement, and, except as provided in Section 5(c)(iv) regarding healthcare benefits, no payments or benefits received from other employment shall serve to mitigate the payments and benefits hereunder.</w:t>
      </w:r>
    </w:p>
    <w:p>
      <w:pPr>
        <w:spacing w:after="0" w:line="207" w:lineRule="exact"/>
        <w:rPr>
          <w:rFonts w:ascii="Arial" w:cs="Arial" w:eastAsia="Arial" w:hAnsi="Arial"/>
          <w:sz w:val="21"/>
          <w:szCs w:val="21"/>
          <w:color w:val="auto"/>
        </w:rPr>
      </w:pPr>
    </w:p>
    <w:p>
      <w:pPr>
        <w:ind w:left="-460" w:firstLine="644"/>
        <w:spacing w:after="0" w:line="263" w:lineRule="auto"/>
        <w:tabs>
          <w:tab w:leader="none" w:pos="831"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Any provision of this Agreement that by its terms continues after the expiration of the Term or the termination of Executive’s employment shall survive in accordance with its terms.</w:t>
      </w:r>
    </w:p>
    <w:p>
      <w:pPr>
        <w:spacing w:after="0" w:line="201" w:lineRule="exact"/>
        <w:rPr>
          <w:rFonts w:ascii="Arial" w:cs="Arial" w:eastAsia="Arial" w:hAnsi="Arial"/>
          <w:sz w:val="22"/>
          <w:szCs w:val="22"/>
          <w:color w:val="auto"/>
        </w:rPr>
      </w:pPr>
    </w:p>
    <w:p>
      <w:pPr>
        <w:jc w:val="both"/>
        <w:ind w:left="-460" w:firstLine="644"/>
        <w:spacing w:after="0" w:line="248" w:lineRule="auto"/>
        <w:tabs>
          <w:tab w:leader="none" w:pos="82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Counterparts; Facsimiles</w:t>
      </w:r>
      <w:r>
        <w:rPr>
          <w:rFonts w:ascii="Arial" w:cs="Arial" w:eastAsia="Arial" w:hAnsi="Arial"/>
          <w:sz w:val="22"/>
          <w:szCs w:val="22"/>
          <w:color w:val="auto"/>
        </w:rPr>
        <w:t>. This Agreement may be executed in counterparts, each of which shall be deemed an original, and all of which, taken together, shall constitute one and the same instrument. This Agreement may be executed and delivered by exchange of facsimile copies showing the signatures of the parties, and those signatures need not be affixed to the same copy. The facsimile copies so signed shall constitute originally signed copies of the same consent requiring no further execution.</w:t>
      </w:r>
    </w:p>
    <w:p>
      <w:pPr>
        <w:spacing w:after="0" w:line="192"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120"/>
          </w:cols>
          <w:pgMar w:left="1440" w:top="1428" w:right="339" w:bottom="1440" w:gutter="0" w:footer="0" w:header="0"/>
        </w:sectPr>
      </w:pPr>
    </w:p>
    <w:bookmarkStart w:id="71" w:name="page72"/>
    <w:bookmarkEnd w:id="71"/>
    <w:p>
      <w:pPr>
        <w:spacing w:after="0" w:line="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Executive and the Company have executed this Agreement as of the date first above written.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Charles D. Gill</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Charles D. Gill</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Executive Vice President and</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General Counsel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Thomas A. Kennedy</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Thomas A. Kennedy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EXECUTIVE CHAIRMAN EMPLOYMENT AGREEMENT</w:t>
      </w:r>
      <w:r>
        <w:rPr>
          <w:rFonts w:ascii="Arial" w:cs="Arial" w:eastAsia="Arial" w:hAnsi="Arial"/>
          <w:sz w:val="22"/>
          <w:szCs w:val="22"/>
          <w:color w:val="auto"/>
        </w:rPr>
        <w:t>]</w:t>
      </w:r>
    </w:p>
    <w:p>
      <w:pPr>
        <w:sectPr>
          <w:pgSz w:w="11900" w:h="16838" w:orient="portrait"/>
          <w:cols w:equalWidth="0" w:num="1">
            <w:col w:w="11060"/>
          </w:cols>
          <w:pgMar w:left="320" w:top="1440" w:right="5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10.3</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EMPLOYMENT AGREEMENT</w:t>
      </w:r>
    </w:p>
    <w:p>
      <w:pPr>
        <w:spacing w:after="0" w:line="249"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This First Amendment to the Employment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as of March 4, 2021 by and between Thomas A. Kennedy (the “Executive”) and Raytheon Technologies Corporation (formerly known as United Technologies Corporation) (the “Company”).</w:t>
      </w:r>
    </w:p>
    <w:p>
      <w:pPr>
        <w:spacing w:after="0" w:line="213"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WHEREAS the Company and the Executive entered into an Employment Agreement on June 9, 2019, which became effective as of April 3, 2020 (the “Employment Agreement”); and</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WHEREAS the parties desire to enter into this Amendment to effect changes to the Employment Agreement as set forth herein;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it is hereby mutually agreed as follows:</w:t>
      </w:r>
    </w:p>
    <w:p>
      <w:pPr>
        <w:spacing w:after="0" w:line="243" w:lineRule="exact"/>
        <w:rPr>
          <w:sz w:val="20"/>
          <w:szCs w:val="20"/>
          <w:color w:val="auto"/>
        </w:rPr>
      </w:pPr>
    </w:p>
    <w:p>
      <w:pPr>
        <w:ind w:left="860" w:hanging="204"/>
        <w:spacing w:after="0"/>
        <w:tabs>
          <w:tab w:leader="none" w:pos="8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Paragraph 4(c) is deleted in its entirety and replaced with the following:</w:t>
      </w:r>
    </w:p>
    <w:p>
      <w:pPr>
        <w:spacing w:after="0" w:line="242" w:lineRule="exact"/>
        <w:rPr>
          <w:rFonts w:ascii="Arial" w:cs="Arial" w:eastAsia="Arial" w:hAnsi="Arial"/>
          <w:sz w:val="20"/>
          <w:szCs w:val="20"/>
          <w:color w:val="auto"/>
        </w:rPr>
      </w:pPr>
    </w:p>
    <w:p>
      <w:pPr>
        <w:ind w:left="980" w:right="60"/>
        <w:spacing w:after="0" w:line="260" w:lineRule="auto"/>
        <w:tabs>
          <w:tab w:leader="none" w:pos="1249"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Long-Term Incentive and Equity Awards</w:t>
      </w:r>
      <w:r>
        <w:rPr>
          <w:rFonts w:ascii="Arial" w:cs="Arial" w:eastAsia="Arial" w:hAnsi="Arial"/>
          <w:sz w:val="19"/>
          <w:szCs w:val="19"/>
          <w:color w:val="auto"/>
        </w:rPr>
        <w:t>. Executive shall be eligible to receive equity and other long-term incentive awards under any applicable plan adopted by the Company during the Term for which employees are generally eligible. The amount, form, and terms and conditions of Executive’s annual equity awards will be determined by the Compensation Committee and the form and terms and conditions of Executive’s annual equity awards will be no less favorable than those applicable to equity awards granted to any other executive officer of the Company.</w:t>
      </w:r>
    </w:p>
    <w:p>
      <w:pPr>
        <w:spacing w:after="0" w:line="207" w:lineRule="exact"/>
        <w:rPr>
          <w:rFonts w:ascii="Arial" w:cs="Arial" w:eastAsia="Arial" w:hAnsi="Arial"/>
          <w:sz w:val="19"/>
          <w:szCs w:val="19"/>
          <w:color w:val="auto"/>
        </w:rPr>
      </w:pPr>
    </w:p>
    <w:p>
      <w:pPr>
        <w:ind w:left="860" w:hanging="204"/>
        <w:spacing w:after="0"/>
        <w:tabs>
          <w:tab w:leader="none" w:pos="8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Section (iv) of Paragraph 5(e) is deleted in its entirety and replaced with the following:</w:t>
      </w:r>
    </w:p>
    <w:p>
      <w:pPr>
        <w:spacing w:after="0" w:line="243" w:lineRule="exact"/>
        <w:rPr>
          <w:sz w:val="20"/>
          <w:szCs w:val="20"/>
          <w:color w:val="auto"/>
        </w:rPr>
      </w:pPr>
    </w:p>
    <w:p>
      <w:pPr>
        <w:ind w:left="980" w:right="260"/>
        <w:spacing w:after="0" w:line="250" w:lineRule="auto"/>
        <w:tabs>
          <w:tab w:leader="none" w:pos="1315"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reducing Executive’s annual bonus incentive opportunity as described in Section 4(b), or (B) a diminution in the Executive’s target annual long-term incentive opportunity from the level in effect as of immediately prior to the signing of this Agreement on June 9, 2019 or a material breach by the Company of Section 4(c);</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Except as expressly amended by this Amendment, the Employment Agreement shall remain in full force and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240"/>
          </w:cols>
          <w:pgMar w:left="320" w:top="85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IN WITNESS WHEREOF, the Executive and the Company have executed this Amendment as of the date first above written.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RAYTHEON TECHNOLOGIES CORPORATION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Dantaya M. Williams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Dantaya M. Williams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Executive Vice President and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w:t>
      </w:r>
    </w:p>
    <w:p>
      <w:pPr>
        <w:spacing w:after="0" w:line="262"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u w:val="single" w:color="auto"/>
          <w:color w:val="auto"/>
        </w:rPr>
        <w:t>/s/</w:t>
      </w:r>
      <w:r>
        <w:rPr>
          <w:sz w:val="20"/>
          <w:szCs w:val="20"/>
          <w:color w:val="auto"/>
        </w:rPr>
        <w:tab/>
      </w:r>
      <w:r>
        <w:rPr>
          <w:rFonts w:ascii="Arial" w:cs="Arial" w:eastAsia="Arial" w:hAnsi="Arial"/>
          <w:sz w:val="18"/>
          <w:szCs w:val="18"/>
          <w:u w:val="single" w:color="auto"/>
          <w:color w:val="auto"/>
        </w:rPr>
        <w:t>Thomas A. Kennedy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Thomas A. Kennedy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[SIGNATURE PAGE TO FIRST AMENDMENT TO EMPLOYMENT AGREEMENT]</w:t>
      </w:r>
    </w:p>
    <w:p>
      <w:pPr>
        <w:sectPr>
          <w:pgSz w:w="11900" w:h="16838" w:orient="portrait"/>
          <w:cols w:equalWidth="0" w:num="1">
            <w:col w:w="10139"/>
          </w:cols>
          <w:pgMar w:left="320" w:top="1432"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Raytheon Technologies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Restricted Stock Unit Award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 xml:space="preserve">This Schedule of Terms describes the material features of the Participant’s Restricted Stock Unit Award (the “RSU Award” or the “Award”) granted under the Raytheon Technologies Corporation 2018 Long-Term Incentive Plan (the “LTIP”), subject to this Schedule of Terms, the Award Agreement, and the terms and conditions set forth in the LTIP. The LTIP Prospectus contains further information about the LTIP and this Award and is available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color w:val="221E1F"/>
        </w:rPr>
        <w:t>Certain Definitions</w:t>
      </w:r>
    </w:p>
    <w:p>
      <w:pPr>
        <w:spacing w:after="0" w:line="213" w:lineRule="exact"/>
        <w:rPr>
          <w:sz w:val="20"/>
          <w:szCs w:val="20"/>
          <w:color w:val="auto"/>
        </w:rPr>
      </w:pPr>
    </w:p>
    <w:p>
      <w:pPr>
        <w:spacing w:after="0" w:line="225" w:lineRule="auto"/>
        <w:rPr>
          <w:sz w:val="20"/>
          <w:szCs w:val="20"/>
          <w:color w:val="auto"/>
        </w:rPr>
      </w:pPr>
      <w:r>
        <w:rPr>
          <w:rFonts w:ascii="Arial" w:cs="Arial" w:eastAsia="Arial" w:hAnsi="Arial"/>
          <w:sz w:val="19"/>
          <w:szCs w:val="19"/>
          <w:color w:val="221E1F"/>
        </w:rPr>
        <w:t xml:space="preserve">A Restricted Stock Unit (an “RSU”) represents the right to receive one share of Common Stock of Raytheon Technologies </w:t>
      </w:r>
      <w:r>
        <w:rPr>
          <w:rFonts w:ascii="Arial" w:cs="Arial" w:eastAsia="Arial" w:hAnsi="Arial"/>
          <w:sz w:val="19"/>
          <w:szCs w:val="19"/>
          <w:color w:val="000000"/>
        </w:rPr>
        <w:t xml:space="preserve">Corporation </w:t>
      </w:r>
      <w:r>
        <w:rPr>
          <w:rFonts w:ascii="Arial" w:cs="Arial" w:eastAsia="Arial" w:hAnsi="Arial"/>
          <w:sz w:val="19"/>
          <w:szCs w:val="19"/>
          <w:color w:val="221E1F"/>
        </w:rPr>
        <w:t>(the “Common Stock”) (or a cash payment equal to the Fair Market Value thereof). RSUs generally vest and are</w:t>
      </w:r>
      <w:r>
        <w:rPr>
          <w:rFonts w:ascii="Arial" w:cs="Arial" w:eastAsia="Arial" w:hAnsi="Arial"/>
          <w:sz w:val="19"/>
          <w:szCs w:val="19"/>
          <w:color w:val="000000"/>
        </w:rPr>
        <w:t xml:space="preserve"> </w:t>
      </w:r>
      <w:r>
        <w:rPr>
          <w:rFonts w:ascii="Arial" w:cs="Arial" w:eastAsia="Arial" w:hAnsi="Arial"/>
          <w:sz w:val="19"/>
          <w:szCs w:val="19"/>
          <w:color w:val="221E1F"/>
        </w:rPr>
        <w:t xml:space="preserve">converted into shares of Common Stock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w:t>
      </w:r>
      <w:r>
        <w:rPr>
          <w:rFonts w:ascii="Arial" w:cs="Arial" w:eastAsia="Arial" w:hAnsi="Arial"/>
          <w:sz w:val="19"/>
          <w:szCs w:val="19"/>
          <w:color w:val="000000"/>
        </w:rPr>
        <w:t>“Company” means Raytheon Technologies</w:t>
      </w:r>
      <w:r>
        <w:rPr>
          <w:rFonts w:ascii="Arial" w:cs="Arial" w:eastAsia="Arial" w:hAnsi="Arial"/>
          <w:sz w:val="19"/>
          <w:szCs w:val="19"/>
          <w:color w:val="221E1F"/>
        </w:rPr>
        <w:t xml:space="preserve"> </w:t>
      </w:r>
      <w:r>
        <w:rPr>
          <w:rFonts w:ascii="Arial" w:cs="Arial" w:eastAsia="Arial" w:hAnsi="Arial"/>
          <w:sz w:val="19"/>
          <w:szCs w:val="19"/>
          <w:color w:val="000000"/>
        </w:rPr>
        <w:t xml:space="preserve">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w:t>
      </w:r>
      <w:r>
        <w:rPr>
          <w:rFonts w:ascii="Arial" w:cs="Arial" w:eastAsia="Arial" w:hAnsi="Arial"/>
          <w:sz w:val="19"/>
          <w:szCs w:val="19"/>
          <w:color w:val="221E1F"/>
        </w:rPr>
        <w:t>the Compensation Committee of the Board.</w:t>
      </w:r>
      <w:r>
        <w:rPr>
          <w:rFonts w:ascii="Arial" w:cs="Arial" w:eastAsia="Arial" w:hAnsi="Arial"/>
          <w:sz w:val="19"/>
          <w:szCs w:val="19"/>
          <w:color w:val="000000"/>
        </w:rPr>
        <w:t xml:space="preserve"> Capitalized terms not otherwise defined in this Schedule of Terms have the same meaning as defined in the LTIP.</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13" w:lineRule="exact"/>
        <w:rPr>
          <w:sz w:val="20"/>
          <w:szCs w:val="20"/>
          <w:color w:val="auto"/>
        </w:rPr>
      </w:pPr>
    </w:p>
    <w:p>
      <w:pPr>
        <w:ind w:right="80"/>
        <w:spacing w:after="0" w:line="220" w:lineRule="auto"/>
        <w:rPr>
          <w:sz w:val="20"/>
          <w:szCs w:val="20"/>
          <w:color w:val="auto"/>
        </w:rPr>
      </w:pPr>
      <w:r>
        <w:rPr>
          <w:rFonts w:ascii="Arial" w:cs="Arial" w:eastAsia="Arial" w:hAnsi="Arial"/>
          <w:sz w:val="20"/>
          <w:szCs w:val="20"/>
          <w:color w:val="auto"/>
        </w:rPr>
        <w:t>The number of RSUs awarded is set forth in the Award Agreement. An LTIP Award recipient (a “Participant”) must affirmatively acknowledge and accept the terms and conditions of the RSU Award within 150 days following the Grant Date. A failure to acknowledge and accept the RSU Award subject to the LTIP and this Schedule of Terms, within such 150-day period may result in forfeiture of the RSU Award, effective as of the 150th day following the Grant Date.</w:t>
      </w:r>
    </w:p>
    <w:p>
      <w:pPr>
        <w:spacing w:after="0" w:line="163"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 xml:space="preserve">Participants must acknowledge and accept the terms and conditions of this RSU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 xml:space="preserve">. Participants based in certain countries may be required to acknowledge and accept the terms and conditions of this RSU Award by signing and returning the designated hard copy portion of the Award Agreement to the Stock Plan Administrator. </w:t>
      </w:r>
      <w:r>
        <w:rPr>
          <w:rFonts w:ascii="Arial" w:cs="Arial" w:eastAsia="Arial" w:hAnsi="Arial"/>
          <w:sz w:val="20"/>
          <w:szCs w:val="20"/>
          <w:color w:val="221E1F"/>
        </w:rPr>
        <w:t>These countries currently include Russia, Turkey, Hungary, and Slovenia.</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Dividends</w:t>
      </w:r>
    </w:p>
    <w:p>
      <w:pPr>
        <w:spacing w:after="0" w:line="213" w:lineRule="exact"/>
        <w:rPr>
          <w:sz w:val="20"/>
          <w:szCs w:val="20"/>
          <w:color w:val="auto"/>
        </w:rPr>
      </w:pPr>
    </w:p>
    <w:p>
      <w:pPr>
        <w:ind w:right="140"/>
        <w:spacing w:after="0" w:line="217" w:lineRule="auto"/>
        <w:rPr>
          <w:sz w:val="20"/>
          <w:szCs w:val="20"/>
          <w:color w:val="auto"/>
        </w:rPr>
      </w:pPr>
      <w:r>
        <w:rPr>
          <w:rFonts w:ascii="Arial" w:cs="Arial" w:eastAsia="Arial" w:hAnsi="Arial"/>
          <w:sz w:val="20"/>
          <w:szCs w:val="20"/>
          <w:color w:val="221E1F"/>
        </w:rPr>
        <w:t>RSUs granted under this Award will earn dividend equivalent units each time the Corporation pays a cash dividend to Common Stock shareholders of record. Dividend equivalents will be credited as additional RSUs to Awards outstanding on the dividend payment date and will vest on the same date as the underlying RSUs. The number of additional RSUs that will be credited on any dividend payment date will equal (1) the per share cash dividend amount, multiplied by (2) the number of RSUs subject to the RSU Award (including RSUs resulting from prior dividend equivalents), divided by (3) the Fair Market Value of a share of Common Stock on the dividend payment date, rounded down to the nearest whole number of RSUs.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w:t>
      </w:r>
    </w:p>
    <w:p>
      <w:pPr>
        <w:spacing w:after="0" w:line="213" w:lineRule="exact"/>
        <w:rPr>
          <w:sz w:val="20"/>
          <w:szCs w:val="20"/>
          <w:color w:val="auto"/>
        </w:rPr>
      </w:pPr>
    </w:p>
    <w:p>
      <w:pPr>
        <w:ind w:right="440"/>
        <w:spacing w:after="0" w:line="220" w:lineRule="auto"/>
        <w:rPr>
          <w:sz w:val="20"/>
          <w:szCs w:val="20"/>
          <w:color w:val="auto"/>
        </w:rPr>
      </w:pPr>
      <w:r>
        <w:rPr>
          <w:rFonts w:ascii="Arial" w:cs="Arial" w:eastAsia="Arial" w:hAnsi="Arial"/>
          <w:sz w:val="20"/>
          <w:szCs w:val="20"/>
          <w:color w:val="221E1F"/>
        </w:rPr>
        <w:t>RSUs will vest in accordance with the schedule set forth in the Award Agreement, subject to the Participant’s continued employment with the Company through each applicable vesting date. RSUs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394" w:right="339" w:bottom="1440" w:gutter="0" w:footer="0" w:header="0"/>
        </w:sectPr>
      </w:pPr>
    </w:p>
    <w:bookmarkStart w:id="76" w:name="page77"/>
    <w:bookmarkEnd w:id="76"/>
    <w:p>
      <w:pPr>
        <w:ind w:right="260"/>
        <w:spacing w:after="0" w:line="229" w:lineRule="auto"/>
        <w:rPr>
          <w:sz w:val="20"/>
          <w:szCs w:val="20"/>
          <w:color w:val="auto"/>
        </w:rPr>
      </w:pPr>
      <w:r>
        <w:rPr>
          <w:rFonts w:ascii="Arial" w:cs="Arial" w:eastAsia="Arial" w:hAnsi="Arial"/>
          <w:sz w:val="20"/>
          <w:szCs w:val="20"/>
          <w:color w:val="auto"/>
        </w:rPr>
        <w:t>RSUs may also be forfeited and value realized from previously vested RSUs may be recouped by the Company under certain circumstances (see “Forfeiture of Award and Repayment of Realized Gains” below).</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3" w:lineRule="exact"/>
        <w:rPr>
          <w:sz w:val="20"/>
          <w:szCs w:val="20"/>
          <w:color w:val="auto"/>
        </w:rPr>
      </w:pPr>
    </w:p>
    <w:p>
      <w:pPr>
        <w:ind w:right="240"/>
        <w:spacing w:after="0" w:line="223" w:lineRule="auto"/>
        <w:rPr>
          <w:sz w:val="20"/>
          <w:szCs w:val="20"/>
          <w:color w:val="auto"/>
        </w:rPr>
      </w:pPr>
      <w:r>
        <w:rPr>
          <w:rFonts w:ascii="Arial" w:cs="Arial" w:eastAsia="Arial" w:hAnsi="Arial"/>
          <w:sz w:val="20"/>
          <w:szCs w:val="20"/>
          <w:color w:val="221E1F"/>
        </w:rPr>
        <w:t>An RSU is the right to receive a share of Common Stock in the future (or a cash payment equal to the Fair Market Value), subject to continued employment and certain other conditions. The holder of an RSU has no voting or other rights accorded to owners of Common Stock, unless and until RSUs are converted into shares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Payment / Conversion of RSUs</w:t>
      </w:r>
    </w:p>
    <w:p>
      <w:pPr>
        <w:spacing w:after="0" w:line="213" w:lineRule="exact"/>
        <w:rPr>
          <w:sz w:val="20"/>
          <w:szCs w:val="20"/>
          <w:color w:val="auto"/>
        </w:rPr>
      </w:pPr>
    </w:p>
    <w:p>
      <w:pPr>
        <w:ind w:right="120"/>
        <w:spacing w:after="0" w:line="223" w:lineRule="auto"/>
        <w:rPr>
          <w:sz w:val="20"/>
          <w:szCs w:val="20"/>
          <w:color w:val="auto"/>
        </w:rPr>
      </w:pPr>
      <w:r>
        <w:rPr>
          <w:rFonts w:ascii="Arial" w:cs="Arial" w:eastAsia="Arial" w:hAnsi="Arial"/>
          <w:sz w:val="20"/>
          <w:szCs w:val="20"/>
          <w:color w:val="221E1F"/>
        </w:rPr>
        <w:t>Vested RSUs will be converted into shares of Common Stock to be delivered to the Participant as soon as administratively practicable following the vesting date. RSUs may instead be paid in cash if the Committee so determines, including where local law restricts the distribution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13" w:lineRule="exact"/>
        <w:rPr>
          <w:sz w:val="20"/>
          <w:szCs w:val="20"/>
          <w:color w:val="auto"/>
        </w:rPr>
      </w:pPr>
    </w:p>
    <w:p>
      <w:pPr>
        <w:spacing w:after="0" w:line="223" w:lineRule="auto"/>
        <w:rPr>
          <w:sz w:val="20"/>
          <w:szCs w:val="20"/>
          <w:color w:val="auto"/>
        </w:rPr>
      </w:pPr>
      <w:r>
        <w:rPr>
          <w:rFonts w:ascii="Arial" w:cs="Arial" w:eastAsia="Arial" w:hAnsi="Arial"/>
          <w:sz w:val="20"/>
          <w:szCs w:val="20"/>
          <w:color w:val="221E1F"/>
        </w:rPr>
        <w:t>The treatment of RSUs upon Termination of Service depends upon the reason for termination, as detailed in the following sections. RSUs held for less than one year as of the Termination Date will be forfeited, except in the event of Death, Disability, or Change-in-Control Termination, as discussed below.</w:t>
      </w:r>
    </w:p>
    <w:p>
      <w:pPr>
        <w:spacing w:after="0" w:line="196"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66" w:lineRule="exact"/>
        <w:rPr>
          <w:sz w:val="20"/>
          <w:szCs w:val="20"/>
          <w:color w:val="auto"/>
        </w:rPr>
      </w:pPr>
    </w:p>
    <w:p>
      <w:pPr>
        <w:ind w:right="240"/>
        <w:spacing w:after="0" w:line="226"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RSUs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convert into shares of Common Stock (or cash) to be delivered to the Participant as soon as administratively practicable thereafter. For this purpose, Retirement means either a Normal Retirement or Early Retirement as defined below:</w:t>
      </w:r>
    </w:p>
    <w:p>
      <w:pPr>
        <w:spacing w:after="0" w:line="184"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20"/>
          <w:szCs w:val="20"/>
          <w:color w:val="221E1F"/>
        </w:rPr>
      </w:pPr>
      <w:r>
        <w:rPr>
          <w:rFonts w:ascii="Arial" w:cs="Arial" w:eastAsia="Arial" w:hAnsi="Arial"/>
          <w:sz w:val="20"/>
          <w:szCs w:val="20"/>
          <w:color w:val="221E1F"/>
        </w:rPr>
        <w:t>“Normal Retirement” means retirement on or after age 65;</w:t>
      </w:r>
    </w:p>
    <w:p>
      <w:pPr>
        <w:spacing w:after="0" w:line="188" w:lineRule="exact"/>
        <w:rPr>
          <w:rFonts w:ascii="Arial" w:cs="Arial" w:eastAsia="Arial" w:hAnsi="Arial"/>
          <w:sz w:val="20"/>
          <w:szCs w:val="20"/>
          <w:color w:val="221E1F"/>
        </w:rPr>
      </w:pPr>
    </w:p>
    <w:p>
      <w:pPr>
        <w:ind w:left="700" w:hanging="368"/>
        <w:spacing w:after="0"/>
        <w:tabs>
          <w:tab w:leader="none" w:pos="700" w:val="left"/>
        </w:tabs>
        <w:numPr>
          <w:ilvl w:val="0"/>
          <w:numId w:val="49"/>
        </w:numPr>
        <w:rPr>
          <w:rFonts w:ascii="Arial" w:cs="Arial" w:eastAsia="Arial" w:hAnsi="Arial"/>
          <w:sz w:val="20"/>
          <w:szCs w:val="20"/>
          <w:color w:val="221E1F"/>
        </w:rPr>
      </w:pPr>
      <w:r>
        <w:rPr>
          <w:rFonts w:ascii="Arial" w:cs="Arial" w:eastAsia="Arial" w:hAnsi="Arial"/>
          <w:sz w:val="20"/>
          <w:szCs w:val="20"/>
          <w:color w:val="221E1F"/>
        </w:rPr>
        <w:t>“Early Retirement” means retirement on or after:</w:t>
      </w:r>
    </w:p>
    <w:p>
      <w:pPr>
        <w:spacing w:after="0" w:line="177" w:lineRule="exact"/>
        <w:rPr>
          <w:rFonts w:ascii="Arial" w:cs="Arial" w:eastAsia="Arial" w:hAnsi="Arial"/>
          <w:sz w:val="20"/>
          <w:szCs w:val="20"/>
          <w:color w:val="221E1F"/>
        </w:rPr>
      </w:pPr>
    </w:p>
    <w:p>
      <w:pPr>
        <w:ind w:left="1300" w:hanging="320"/>
        <w:spacing w:after="0"/>
        <w:tabs>
          <w:tab w:leader="none" w:pos="1300" w:val="left"/>
        </w:tabs>
        <w:numPr>
          <w:ilvl w:val="1"/>
          <w:numId w:val="49"/>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194" w:lineRule="exact"/>
        <w:rPr>
          <w:rFonts w:ascii="Courier New" w:cs="Courier New" w:eastAsia="Courier New" w:hAnsi="Courier New"/>
          <w:sz w:val="20"/>
          <w:szCs w:val="20"/>
          <w:color w:val="221E1F"/>
        </w:rPr>
      </w:pPr>
    </w:p>
    <w:p>
      <w:pPr>
        <w:ind w:left="1300" w:right="160" w:hanging="320"/>
        <w:spacing w:after="0" w:line="227" w:lineRule="auto"/>
        <w:tabs>
          <w:tab w:leader="none" w:pos="1297" w:val="left"/>
        </w:tabs>
        <w:numPr>
          <w:ilvl w:val="1"/>
          <w:numId w:val="49"/>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83" w:lineRule="exact"/>
        <w:rPr>
          <w:sz w:val="20"/>
          <w:szCs w:val="20"/>
          <w:color w:val="auto"/>
        </w:rPr>
      </w:pPr>
    </w:p>
    <w:p>
      <w:pPr>
        <w:jc w:val="both"/>
        <w:ind w:right="180"/>
        <w:spacing w:after="0" w:line="242"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determined under the UTC Savings Plan. The calculation to determine Early Retirement will include partial years, rounded down to the nearest full month.</w:t>
      </w:r>
    </w:p>
    <w:p>
      <w:pPr>
        <w:spacing w:after="0" w:line="180" w:lineRule="exact"/>
        <w:rPr>
          <w:sz w:val="20"/>
          <w:szCs w:val="20"/>
          <w:color w:val="auto"/>
        </w:rPr>
      </w:pPr>
    </w:p>
    <w:p>
      <w:pPr>
        <w:ind w:right="580"/>
        <w:spacing w:after="0" w:line="229"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18" w:right="339" w:bottom="1440" w:gutter="0" w:footer="0" w:header="0"/>
        </w:sectPr>
      </w:pPr>
    </w:p>
    <w:bookmarkStart w:id="77" w:name="page78"/>
    <w:bookmarkEnd w:id="77"/>
    <w:p>
      <w:pPr>
        <w:ind w:right="100"/>
        <w:spacing w:after="0" w:line="250" w:lineRule="auto"/>
        <w:rPr>
          <w:sz w:val="20"/>
          <w:szCs w:val="20"/>
          <w:color w:val="auto"/>
        </w:rPr>
      </w:pPr>
      <w:r>
        <w:rPr>
          <w:rFonts w:ascii="Arial" w:cs="Arial" w:eastAsia="Arial" w:hAnsi="Arial"/>
          <w:sz w:val="20"/>
          <w:szCs w:val="20"/>
          <w:b w:val="1"/>
          <w:bCs w:val="1"/>
          <w:color w:val="auto"/>
        </w:rPr>
        <w:t xml:space="preserve">Involuntary Termination for Cause. </w:t>
      </w:r>
      <w:r>
        <w:rPr>
          <w:rFonts w:ascii="Arial" w:cs="Arial" w:eastAsia="Arial" w:hAnsi="Arial"/>
          <w:sz w:val="20"/>
          <w:szCs w:val="20"/>
          <w:color w:val="auto"/>
        </w:rPr>
        <w:t>If the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(as defined in the LTIP), unvested RSUs will be forfeited as of the Termination Date regardless of the Participant’s Retirement eligibility. In addition, value realized from previously vested RSUs is subject to repayment in the event of termination for Cause or certain other occurrences (see “Forfeiture of Award and Repayment of Realized Gains” below).</w:t>
      </w:r>
    </w:p>
    <w:p>
      <w:pPr>
        <w:spacing w:after="0" w:line="203"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other than Cause, unvested RSUs held for at least one year as of the Termination Date will receive pro-rata vesting treatment, subject to the Participant providing the Company with a release of claims against the Company in a form and manner satisfactory to the Company. The pro-rata vesting of an RSU Award held for at least one year will be based on the number of months worked during the vesting period, including partial months, relative to the full vesting period. RSUs not vested under this pro-rata vesting formula will be forfeited </w:t>
      </w:r>
      <w:r>
        <w:rPr>
          <w:rFonts w:ascii="Arial" w:cs="Arial" w:eastAsia="Arial" w:hAnsi="Arial"/>
          <w:sz w:val="20"/>
          <w:szCs w:val="20"/>
          <w:color w:val="000000"/>
        </w:rPr>
        <w:t>as of the</w:t>
      </w:r>
      <w:r>
        <w:rPr>
          <w:rFonts w:ascii="Arial" w:cs="Arial" w:eastAsia="Arial" w:hAnsi="Arial"/>
          <w:sz w:val="20"/>
          <w:szCs w:val="20"/>
          <w:color w:val="221E1F"/>
        </w:rPr>
        <w:t xml:space="preserve"> Termination </w:t>
      </w:r>
      <w:r>
        <w:rPr>
          <w:rFonts w:ascii="Arial" w:cs="Arial" w:eastAsia="Arial" w:hAnsi="Arial"/>
          <w:sz w:val="20"/>
          <w:szCs w:val="20"/>
          <w:color w:val="000000"/>
        </w:rPr>
        <w:t>Date</w:t>
      </w:r>
      <w:r>
        <w:rPr>
          <w:rFonts w:ascii="Arial" w:cs="Arial" w:eastAsia="Arial" w:hAnsi="Arial"/>
          <w:sz w:val="20"/>
          <w:szCs w:val="20"/>
          <w:color w:val="221E1F"/>
        </w:rPr>
        <w:t>.</w:t>
      </w:r>
    </w:p>
    <w:p>
      <w:pPr>
        <w:spacing w:after="0" w:line="235"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Absences from employment because of notice periods, garden leaves, or similar paid leaves associated with a Termination of Service will not be recognized as service in determining the pro-rata vesting percentage.</w:t>
      </w:r>
    </w:p>
    <w:p>
      <w:pPr>
        <w:spacing w:after="0" w:line="217" w:lineRule="exact"/>
        <w:rPr>
          <w:sz w:val="20"/>
          <w:szCs w:val="20"/>
          <w:color w:val="auto"/>
        </w:rPr>
      </w:pPr>
    </w:p>
    <w:p>
      <w:pPr>
        <w:ind w:right="480"/>
        <w:spacing w:after="0" w:line="229" w:lineRule="auto"/>
        <w:rPr>
          <w:sz w:val="20"/>
          <w:szCs w:val="20"/>
          <w:color w:val="auto"/>
        </w:rPr>
      </w:pPr>
      <w:r>
        <w:rPr>
          <w:rFonts w:ascii="Arial" w:cs="Arial" w:eastAsia="Arial" w:hAnsi="Arial"/>
          <w:sz w:val="20"/>
          <w:szCs w:val="20"/>
          <w:color w:val="auto"/>
        </w:rPr>
        <w:t>Pro-rata vesting will occur for involuntary terminations resulting from workforce reductions, location closings, restructurings, layoffs</w:t>
      </w:r>
      <w:r>
        <w:rPr>
          <w:rFonts w:ascii="Arial" w:cs="Arial" w:eastAsia="Arial" w:hAnsi="Arial"/>
          <w:sz w:val="20"/>
          <w:szCs w:val="20"/>
          <w:color w:val="221E1F"/>
        </w:rPr>
        <w:t>,</w:t>
      </w:r>
      <w:r>
        <w:rPr>
          <w:rFonts w:ascii="Arial" w:cs="Arial" w:eastAsia="Arial" w:hAnsi="Arial"/>
          <w:sz w:val="20"/>
          <w:szCs w:val="20"/>
          <w:color w:val="auto"/>
        </w:rPr>
        <w:t xml:space="preserve"> or similar events, as determined by the Committee.</w:t>
      </w:r>
    </w:p>
    <w:p>
      <w:pPr>
        <w:spacing w:after="0" w:line="182" w:lineRule="exact"/>
        <w:rPr>
          <w:sz w:val="20"/>
          <w:szCs w:val="20"/>
          <w:color w:val="auto"/>
        </w:rPr>
      </w:pPr>
    </w:p>
    <w:p>
      <w:pPr>
        <w:jc w:val="both"/>
        <w:ind w:right="680"/>
        <w:spacing w:after="0" w:line="223" w:lineRule="auto"/>
        <w:rPr>
          <w:sz w:val="20"/>
          <w:szCs w:val="20"/>
          <w:color w:val="auto"/>
        </w:rPr>
      </w:pPr>
      <w:r>
        <w:rPr>
          <w:rFonts w:ascii="Arial" w:cs="Arial" w:eastAsia="Arial" w:hAnsi="Arial"/>
          <w:sz w:val="20"/>
          <w:szCs w:val="20"/>
          <w:color w:val="auto"/>
        </w:rPr>
        <w:t>Retirement eligible Participants will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spacing w:after="0" w:line="158"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is not entitled to pro-rata vesting and will forfeit all unvested RSUs.</w:t>
      </w:r>
    </w:p>
    <w:p>
      <w:pPr>
        <w:spacing w:after="0" w:line="155" w:lineRule="exact"/>
        <w:rPr>
          <w:sz w:val="20"/>
          <w:szCs w:val="20"/>
          <w:color w:val="auto"/>
        </w:rPr>
      </w:pPr>
    </w:p>
    <w:p>
      <w:pPr>
        <w:ind w:right="460"/>
        <w:spacing w:after="0" w:line="226"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unvested RSUs will not be forfeited while a Participant</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remains disabled under a Company sponsored long-term disability plan. </w:t>
      </w:r>
      <w:r>
        <w:rPr>
          <w:rFonts w:ascii="Arial" w:cs="Arial" w:eastAsia="Arial" w:hAnsi="Arial"/>
          <w:sz w:val="20"/>
          <w:szCs w:val="20"/>
          <w:color w:val="000000"/>
        </w:rPr>
        <w:t>Unvested RSUs will remain eligible to vest on the</w:t>
      </w:r>
      <w:r>
        <w:rPr>
          <w:rFonts w:ascii="Arial" w:cs="Arial" w:eastAsia="Arial" w:hAnsi="Arial"/>
          <w:sz w:val="20"/>
          <w:szCs w:val="20"/>
          <w:color w:val="221E1F"/>
        </w:rPr>
        <w:t xml:space="preserve"> </w:t>
      </w:r>
      <w:r>
        <w:rPr>
          <w:rFonts w:ascii="Arial" w:cs="Arial" w:eastAsia="Arial" w:hAnsi="Arial"/>
          <w:sz w:val="20"/>
          <w:szCs w:val="20"/>
          <w:color w:val="000000"/>
        </w:rPr>
        <w:t>earlier of (</w:t>
      </w:r>
      <w:r>
        <w:rPr>
          <w:rFonts w:ascii="Arial" w:cs="Arial" w:eastAsia="Arial" w:hAnsi="Arial"/>
          <w:sz w:val="20"/>
          <w:szCs w:val="20"/>
          <w:color w:val="221E1F"/>
        </w:rPr>
        <w:t>i</w:t>
      </w:r>
      <w:r>
        <w:rPr>
          <w:rFonts w:ascii="Arial" w:cs="Arial" w:eastAsia="Arial" w:hAnsi="Arial"/>
          <w:sz w:val="20"/>
          <w:szCs w:val="20"/>
          <w:color w:val="000000"/>
        </w:rPr>
        <w:t>) the vesting date specified in the Award Agreement; or (</w:t>
      </w:r>
      <w:r>
        <w:rPr>
          <w:rFonts w:ascii="Arial" w:cs="Arial" w:eastAsia="Arial" w:hAnsi="Arial"/>
          <w:sz w:val="20"/>
          <w:szCs w:val="20"/>
          <w:color w:val="221E1F"/>
        </w:rPr>
        <w:t>ii</w:t>
      </w:r>
      <w:r>
        <w:rPr>
          <w:rFonts w:ascii="Arial" w:cs="Arial" w:eastAsia="Arial" w:hAnsi="Arial"/>
          <w:sz w:val="20"/>
          <w:szCs w:val="20"/>
          <w:color w:val="000000"/>
        </w:rPr>
        <w:t>) 29 months following the date a Participant incurs a Disability.</w:t>
      </w:r>
    </w:p>
    <w:p>
      <w:pPr>
        <w:spacing w:after="0" w:line="160" w:lineRule="exact"/>
        <w:rPr>
          <w:sz w:val="20"/>
          <w:szCs w:val="20"/>
          <w:color w:val="auto"/>
        </w:rPr>
      </w:pPr>
    </w:p>
    <w:p>
      <w:pPr>
        <w:ind w:right="240"/>
        <w:spacing w:after="0" w:line="231"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RSUs will vest as of the date of death</w:t>
      </w:r>
      <w:r>
        <w:rPr>
          <w:rFonts w:ascii="Arial" w:cs="Arial" w:eastAsia="Arial" w:hAnsi="Arial"/>
          <w:sz w:val="20"/>
          <w:szCs w:val="20"/>
          <w:b w:val="1"/>
          <w:bCs w:val="1"/>
          <w:color w:val="221E1F"/>
        </w:rPr>
        <w:t xml:space="preserve"> </w:t>
      </w:r>
      <w:r>
        <w:rPr>
          <w:rFonts w:ascii="Arial" w:cs="Arial" w:eastAsia="Arial" w:hAnsi="Arial"/>
          <w:sz w:val="20"/>
          <w:szCs w:val="20"/>
          <w:color w:val="221E1F"/>
        </w:rPr>
        <w:t>and be converted to shares of Common Stock to be delivered to the Participant’s estate, net of taxes (where applicable), as soon as administratively practicable.</w:t>
      </w:r>
    </w:p>
    <w:p>
      <w:pPr>
        <w:spacing w:after="0" w:line="173" w:lineRule="exact"/>
        <w:rPr>
          <w:sz w:val="20"/>
          <w:szCs w:val="20"/>
          <w:color w:val="auto"/>
        </w:rPr>
      </w:pPr>
    </w:p>
    <w:p>
      <w:pPr>
        <w:ind w:right="260"/>
        <w:spacing w:after="0" w:line="245" w:lineRule="auto"/>
        <w:rPr>
          <w:sz w:val="20"/>
          <w:szCs w:val="20"/>
          <w:color w:val="auto"/>
        </w:rPr>
      </w:pPr>
      <w:r>
        <w:rPr>
          <w:rFonts w:ascii="Arial" w:cs="Arial" w:eastAsia="Arial" w:hAnsi="Arial"/>
          <w:sz w:val="20"/>
          <w:szCs w:val="20"/>
          <w:b w:val="1"/>
          <w:bCs w:val="1"/>
          <w:color w:val="221E1F"/>
        </w:rPr>
        <w:t xml:space="preserve">Change-in-Control Termination. </w:t>
      </w:r>
      <w:r>
        <w:rPr>
          <w:rFonts w:ascii="Arial" w:cs="Arial" w:eastAsia="Arial" w:hAnsi="Arial"/>
          <w:sz w:val="20"/>
          <w:szCs w:val="20"/>
          <w:color w:val="000000"/>
        </w:rPr>
        <w:t>If a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000000"/>
        </w:rPr>
        <w:t>reasons other than for Cause, or due to the Participant’s voluntary termination for “Good Reason,” in each case, within 24 months following a Change-in-Control in accordance with Section 10(d) of the LTIP (such Termination of Service, a “CIC Termination”), then all unvested RSUs will vest as of the Termination Date and be converted into shares of Common Stock (or cash) to be delivered to the Participant as soon as administratively practicable after the Termination Date, subject to the six-month delay noted below under “Specified Employees”,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08" w:right="339" w:bottom="1440" w:gutter="0" w:footer="0" w:header="0"/>
        </w:sectPr>
      </w:pPr>
    </w:p>
    <w:bookmarkStart w:id="78" w:name="page79"/>
    <w:bookmarkEnd w:id="78"/>
    <w:p>
      <w:pPr>
        <w:ind w:right="100"/>
        <w:spacing w:after="0" w:line="220" w:lineRule="auto"/>
        <w:rPr>
          <w:sz w:val="20"/>
          <w:szCs w:val="20"/>
          <w:color w:val="auto"/>
        </w:rPr>
      </w:pPr>
      <w:r>
        <w:rPr>
          <w:rFonts w:ascii="Arial" w:cs="Arial" w:eastAsia="Arial" w:hAnsi="Arial"/>
          <w:sz w:val="20"/>
          <w:szCs w:val="20"/>
          <w:b w:val="1"/>
          <w:bCs w:val="1"/>
          <w:color w:val="221E1F"/>
        </w:rPr>
        <w:t>Specified Employees</w:t>
      </w:r>
      <w:r>
        <w:rPr>
          <w:rFonts w:ascii="Arial" w:cs="Arial" w:eastAsia="Arial" w:hAnsi="Arial"/>
          <w:sz w:val="20"/>
          <w:szCs w:val="20"/>
          <w:color w:val="221E1F"/>
        </w:rPr>
        <w:t>. If a Participant is a “specified employee” within the meaning of Section 409A of the Code (i.e., generally</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the fifty highest paid employees, as determined by the Company) at the time of the Participant’s Termination of Service, and the RSUs will vest by reason of such Participant’s Termination of Service, then, to the extent necessary to avoid the application of any additional tax or penalty under IRC Section 409A and consistent with the terms of the Plan, RSUs will be held in the Participant’s UBS account and will vest on the first day of the seventh month following the Termination Date. </w:t>
      </w:r>
      <w:r>
        <w:rPr>
          <w:rFonts w:ascii="Arial" w:cs="Arial" w:eastAsia="Arial" w:hAnsi="Arial"/>
          <w:sz w:val="20"/>
          <w:szCs w:val="20"/>
          <w:color w:val="000000"/>
        </w:rPr>
        <w:t>Upon vest, RSUs</w:t>
      </w:r>
      <w:r>
        <w:rPr>
          <w:rFonts w:ascii="Arial" w:cs="Arial" w:eastAsia="Arial" w:hAnsi="Arial"/>
          <w:sz w:val="20"/>
          <w:szCs w:val="20"/>
          <w:color w:val="221E1F"/>
        </w:rPr>
        <w:t xml:space="preserve"> </w:t>
      </w:r>
      <w:r>
        <w:rPr>
          <w:rFonts w:ascii="Arial" w:cs="Arial" w:eastAsia="Arial" w:hAnsi="Arial"/>
          <w:sz w:val="20"/>
          <w:szCs w:val="20"/>
          <w:color w:val="000000"/>
        </w:rPr>
        <w:t>will convert into an equal number of shares of Common Stock (or cash) to be delivered to the Participant as soon as administratively practicable. The value of the RSUs will be determined as of the vest date.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13" w:lineRule="exact"/>
        <w:rPr>
          <w:sz w:val="20"/>
          <w:szCs w:val="20"/>
          <w:color w:val="auto"/>
        </w:rPr>
      </w:pPr>
    </w:p>
    <w:p>
      <w:pPr>
        <w:ind w:right="80"/>
        <w:spacing w:after="0" w:line="220" w:lineRule="auto"/>
        <w:rPr>
          <w:sz w:val="20"/>
          <w:szCs w:val="20"/>
          <w:color w:val="auto"/>
        </w:rPr>
      </w:pPr>
      <w:r>
        <w:rPr>
          <w:rFonts w:ascii="Arial" w:cs="Arial" w:eastAsia="Arial" w:hAnsi="Arial"/>
          <w:sz w:val="20"/>
          <w:szCs w:val="20"/>
          <w:color w:val="221E1F"/>
        </w:rPr>
        <w:t xml:space="preserve">RSU Awards, including common stock delivered for vested RSUs, are subject to the Raytheon Technologies Corporation Clawback Policy, as amended from time to time, available on </w:t>
      </w:r>
      <w:r>
        <w:rPr>
          <w:rFonts w:ascii="Arial" w:cs="Arial" w:eastAsia="Arial" w:hAnsi="Arial"/>
          <w:sz w:val="20"/>
          <w:szCs w:val="20"/>
          <w:u w:val="single" w:color="auto"/>
          <w:color w:val="0000FF"/>
        </w:rPr>
        <w:t>www.rtx.com</w:t>
      </w:r>
      <w:r>
        <w:rPr>
          <w:rFonts w:ascii="Arial" w:cs="Arial" w:eastAsia="Arial" w:hAnsi="Arial"/>
          <w:sz w:val="20"/>
          <w:szCs w:val="20"/>
          <w:color w:val="221E1F"/>
        </w:rPr>
        <w:t>. RSUs will be immediately forfeited and a Participant will be obligated to repay to the Company the value realized from previously vested RSUs upon the occurrence of any of the following events:</w:t>
      </w:r>
    </w:p>
    <w:p>
      <w:pPr>
        <w:spacing w:after="0" w:line="196"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215" w:lineRule="exact"/>
        <w:rPr>
          <w:rFonts w:ascii="Arial" w:cs="Arial" w:eastAsia="Arial" w:hAnsi="Arial"/>
          <w:sz w:val="20"/>
          <w:szCs w:val="20"/>
          <w:color w:val="auto"/>
        </w:rPr>
      </w:pPr>
    </w:p>
    <w:p>
      <w:pPr>
        <w:ind w:left="660" w:right="140" w:hanging="328"/>
        <w:spacing w:after="0" w:line="246" w:lineRule="auto"/>
        <w:tabs>
          <w:tab w:leader="none" w:pos="65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Within twenty-four months following the Termination Date, the Participant:</w:t>
      </w:r>
    </w:p>
    <w:p>
      <w:pPr>
        <w:spacing w:after="0" w:line="215" w:lineRule="exact"/>
        <w:rPr>
          <w:rFonts w:ascii="Arial" w:cs="Arial" w:eastAsia="Arial" w:hAnsi="Arial"/>
          <w:sz w:val="20"/>
          <w:szCs w:val="20"/>
          <w:color w:val="auto"/>
        </w:rPr>
      </w:pPr>
    </w:p>
    <w:p>
      <w:pPr>
        <w:ind w:left="1300" w:right="700" w:hanging="320"/>
        <w:spacing w:after="0" w:line="246" w:lineRule="auto"/>
        <w:tabs>
          <w:tab w:leader="none" w:pos="1294" w:val="left"/>
        </w:tabs>
        <w:numPr>
          <w:ilvl w:val="1"/>
          <w:numId w:val="50"/>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203" w:lineRule="exact"/>
        <w:rPr>
          <w:rFonts w:ascii="Arial" w:cs="Arial" w:eastAsia="Arial" w:hAnsi="Arial"/>
          <w:sz w:val="20"/>
          <w:szCs w:val="20"/>
          <w:color w:val="auto"/>
        </w:rPr>
      </w:pPr>
    </w:p>
    <w:p>
      <w:pPr>
        <w:ind w:left="1300" w:right="100" w:hanging="320"/>
        <w:spacing w:after="0" w:line="246" w:lineRule="auto"/>
        <w:tabs>
          <w:tab w:leader="none" w:pos="1294" w:val="left"/>
        </w:tabs>
        <w:numPr>
          <w:ilvl w:val="1"/>
          <w:numId w:val="50"/>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203" w:lineRule="exact"/>
        <w:rPr>
          <w:rFonts w:ascii="Arial" w:cs="Arial" w:eastAsia="Arial" w:hAnsi="Arial"/>
          <w:sz w:val="20"/>
          <w:szCs w:val="20"/>
          <w:color w:val="auto"/>
        </w:rPr>
      </w:pPr>
    </w:p>
    <w:p>
      <w:pPr>
        <w:ind w:left="660" w:right="60" w:hanging="328"/>
        <w:spacing w:after="0"/>
        <w:tabs>
          <w:tab w:leader="none" w:pos="648" w:val="left"/>
        </w:tabs>
        <w:numPr>
          <w:ilvl w:val="0"/>
          <w:numId w:val="50"/>
        </w:numPr>
        <w:rPr>
          <w:rFonts w:ascii="Arial" w:cs="Arial" w:eastAsia="Arial" w:hAnsi="Arial"/>
          <w:sz w:val="20"/>
          <w:szCs w:val="20"/>
          <w:color w:val="auto"/>
        </w:rPr>
      </w:pPr>
      <w:r>
        <w:rPr>
          <w:rFonts w:ascii="Arial" w:cs="Arial" w:eastAsia="Arial" w:hAnsi="Arial"/>
          <w:sz w:val="20"/>
          <w:szCs w:val="20"/>
          <w:color w:val="auto"/>
        </w:rPr>
        <w:t>At any time during the twelve-month period following the Termination Date: (A) the Participant becomes employed by, consults for, or otherwise renders services to any business entity or person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12" w:lineRule="exact"/>
        <w:rPr>
          <w:rFonts w:ascii="Arial" w:cs="Arial" w:eastAsia="Arial" w:hAnsi="Arial"/>
          <w:sz w:val="20"/>
          <w:szCs w:val="20"/>
          <w:color w:val="auto"/>
        </w:rPr>
      </w:pPr>
    </w:p>
    <w:p>
      <w:pPr>
        <w:ind w:left="660" w:right="360" w:hanging="328"/>
        <w:spacing w:after="0" w:line="246" w:lineRule="auto"/>
        <w:tabs>
          <w:tab w:leader="none" w:pos="651" w:val="left"/>
        </w:tabs>
        <w:numPr>
          <w:ilvl w:val="0"/>
          <w:numId w:val="50"/>
        </w:numPr>
        <w:rPr>
          <w:rFonts w:ascii="Arial" w:cs="Arial" w:eastAsia="Arial" w:hAnsi="Arial"/>
          <w:sz w:val="20"/>
          <w:szCs w:val="20"/>
          <w:color w:val="auto"/>
        </w:rPr>
      </w:pPr>
      <w:r>
        <w:rPr>
          <w:rFonts w:ascii="Arial" w:cs="Arial" w:eastAsia="Arial" w:hAnsi="Arial"/>
          <w:sz w:val="20"/>
          <w:szCs w:val="20"/>
          <w:color w:val="auto"/>
        </w:rPr>
        <w:t>Negligent conduct injurious to the Company, including negligent supervision of a subordinate whose action requires a restatement of financial results, or other significant harm to the Company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394" w:right="339" w:bottom="1440" w:gutter="0" w:footer="0" w:header="0"/>
        </w:sectPr>
      </w:pPr>
    </w:p>
    <w:bookmarkStart w:id="79" w:name="page80"/>
    <w:bookmarkEnd w:id="79"/>
    <w:p>
      <w:pPr>
        <w:spacing w:after="0" w:line="73" w:lineRule="exact"/>
        <w:rPr>
          <w:sz w:val="20"/>
          <w:szCs w:val="20"/>
          <w:color w:val="auto"/>
        </w:rPr>
      </w:pPr>
    </w:p>
    <w:p>
      <w:pPr>
        <w:ind w:right="180"/>
        <w:spacing w:after="0" w:line="223" w:lineRule="auto"/>
        <w:rPr>
          <w:sz w:val="20"/>
          <w:szCs w:val="20"/>
          <w:color w:val="auto"/>
        </w:rPr>
      </w:pPr>
      <w:r>
        <w:rPr>
          <w:rFonts w:ascii="Arial" w:cs="Arial" w:eastAsia="Arial" w:hAnsi="Arial"/>
          <w:sz w:val="20"/>
          <w:szCs w:val="20"/>
          <w:color w:val="auto"/>
        </w:rPr>
        <w:t>In addition, the Committee reserves the right to require repayment of all or any portion of an RSU Award under item (iii) above, without regard to whether a restatement is attributable to the Participant’s actions, as appropriate and determined at the Committee’s sole discretion.</w:t>
      </w:r>
    </w:p>
    <w:p>
      <w:pPr>
        <w:spacing w:after="0" w:line="182" w:lineRule="exact"/>
        <w:rPr>
          <w:sz w:val="20"/>
          <w:szCs w:val="20"/>
          <w:color w:val="auto"/>
        </w:rPr>
      </w:pPr>
    </w:p>
    <w:p>
      <w:pPr>
        <w:ind w:right="200"/>
        <w:spacing w:after="0" w:line="216" w:lineRule="auto"/>
        <w:rPr>
          <w:sz w:val="20"/>
          <w:szCs w:val="20"/>
          <w:color w:val="auto"/>
        </w:rPr>
      </w:pPr>
      <w:r>
        <w:rPr>
          <w:rFonts w:ascii="Arial" w:cs="Arial" w:eastAsia="Arial" w:hAnsi="Arial"/>
          <w:sz w:val="20"/>
          <w:szCs w:val="20"/>
          <w:color w:val="auto"/>
        </w:rPr>
        <w:t xml:space="preserve">The Participant agrees that the foregoing restrictions are reasonable and that the value of </w:t>
      </w:r>
      <w:r>
        <w:rPr>
          <w:rFonts w:ascii="Arial" w:cs="Arial" w:eastAsia="Arial" w:hAnsi="Arial"/>
          <w:sz w:val="20"/>
          <w:szCs w:val="20"/>
          <w:color w:val="221E1F"/>
        </w:rPr>
        <w:t>the</w:t>
      </w:r>
      <w:r>
        <w:rPr>
          <w:rFonts w:ascii="Arial" w:cs="Arial" w:eastAsia="Arial" w:hAnsi="Arial"/>
          <w:sz w:val="20"/>
          <w:szCs w:val="20"/>
          <w:color w:val="auto"/>
        </w:rPr>
        <w:t xml:space="preserve"> LTIP awards is reasonable consideration for accepting such restrictions and forfeiture contingencies. </w:t>
      </w:r>
      <w:r>
        <w:rPr>
          <w:rFonts w:ascii="Arial" w:cs="Arial" w:eastAsia="Arial" w:hAnsi="Arial"/>
          <w:sz w:val="20"/>
          <w:szCs w:val="20"/>
          <w:color w:val="221E1F"/>
        </w:rPr>
        <w:t>However, if any portion of this section is held by</w:t>
      </w:r>
      <w:r>
        <w:rPr>
          <w:rFonts w:ascii="Arial" w:cs="Arial" w:eastAsia="Arial" w:hAnsi="Arial"/>
          <w:sz w:val="20"/>
          <w:szCs w:val="20"/>
          <w:color w:val="auto"/>
        </w:rPr>
        <w:t xml:space="preserve"> </w:t>
      </w:r>
      <w:r>
        <w:rPr>
          <w:rFonts w:ascii="Arial" w:cs="Arial" w:eastAsia="Arial" w:hAnsi="Arial"/>
          <w:sz w:val="20"/>
          <w:szCs w:val="20"/>
          <w:color w:val="221E1F"/>
        </w:rPr>
        <w:t xml:space="preserve">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w:t>
      </w:r>
      <w:r>
        <w:rPr>
          <w:rFonts w:ascii="Arial" w:cs="Arial" w:eastAsia="Arial" w:hAnsi="Arial"/>
          <w:sz w:val="20"/>
          <w:szCs w:val="20"/>
          <w:color w:val="000000"/>
        </w:rPr>
        <w:t>Further details concerning the forfeiture of awards and</w:t>
      </w:r>
      <w:r>
        <w:rPr>
          <w:rFonts w:ascii="Arial" w:cs="Arial" w:eastAsia="Arial" w:hAnsi="Arial"/>
          <w:sz w:val="20"/>
          <w:szCs w:val="20"/>
          <w:color w:val="221E1F"/>
        </w:rPr>
        <w:t xml:space="preserve"> </w:t>
      </w:r>
      <w:r>
        <w:rPr>
          <w:rFonts w:ascii="Arial" w:cs="Arial" w:eastAsia="Arial" w:hAnsi="Arial"/>
          <w:sz w:val="20"/>
          <w:szCs w:val="20"/>
          <w:color w:val="000000"/>
        </w:rPr>
        <w:t xml:space="preserve">the obligation to repay gains realized from LTIP awards are set forth in Section 14(i) of the LTIP, available </w:t>
      </w:r>
      <w:r>
        <w:rPr>
          <w:rFonts w:ascii="Arial" w:cs="Arial" w:eastAsia="Arial" w:hAnsi="Arial"/>
          <w:sz w:val="20"/>
          <w:szCs w:val="20"/>
          <w:color w:val="221E1F"/>
        </w:rPr>
        <w:t>at</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 and the Raytheon Technologies Corporation Clawback Policy, available on</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0"/>
          <w:szCs w:val="20"/>
          <w:color w:val="221E1F"/>
        </w:rPr>
        <w: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Adjustments</w:t>
      </w:r>
    </w:p>
    <w:p>
      <w:pPr>
        <w:spacing w:after="0" w:line="213" w:lineRule="exact"/>
        <w:rPr>
          <w:sz w:val="20"/>
          <w:szCs w:val="20"/>
          <w:color w:val="auto"/>
        </w:rPr>
      </w:pPr>
    </w:p>
    <w:p>
      <w:pPr>
        <w:jc w:val="both"/>
        <w:ind w:right="400"/>
        <w:spacing w:after="0" w:line="235"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RSU awards may be adjusted as determined by the Committee, in its sole discretion.</w:t>
      </w:r>
    </w:p>
    <w:p>
      <w:pPr>
        <w:spacing w:after="0" w:line="182" w:lineRule="exact"/>
        <w:rPr>
          <w:sz w:val="20"/>
          <w:szCs w:val="20"/>
          <w:color w:val="auto"/>
        </w:rPr>
      </w:pPr>
    </w:p>
    <w:p>
      <w:pPr>
        <w:ind w:right="2400"/>
        <w:spacing w:after="0" w:line="229"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available at </w:t>
      </w:r>
      <w:r>
        <w:rPr>
          <w:rFonts w:ascii="Arial" w:cs="Arial" w:eastAsia="Arial" w:hAnsi="Arial"/>
          <w:sz w:val="20"/>
          <w:szCs w:val="20"/>
          <w:u w:val="single" w:color="auto"/>
          <w:color w:val="0000FF"/>
        </w:rPr>
        <w:t>www.ubs.com/onesource/rtx.</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13" w:lineRule="exact"/>
        <w:rPr>
          <w:sz w:val="20"/>
          <w:szCs w:val="20"/>
          <w:color w:val="auto"/>
        </w:rPr>
      </w:pPr>
    </w:p>
    <w:p>
      <w:pPr>
        <w:spacing w:after="0" w:line="217" w:lineRule="auto"/>
        <w:rPr>
          <w:sz w:val="20"/>
          <w:szCs w:val="20"/>
          <w:color w:val="auto"/>
        </w:rPr>
      </w:pPr>
      <w:r>
        <w:rPr>
          <w:rFonts w:ascii="Arial" w:cs="Arial" w:eastAsia="Arial" w:hAnsi="Arial"/>
          <w:sz w:val="20"/>
          <w:szCs w:val="20"/>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which can be located at </w:t>
      </w:r>
      <w:r>
        <w:rPr>
          <w:rFonts w:ascii="Arial" w:cs="Arial" w:eastAsia="Arial" w:hAnsi="Arial"/>
          <w:sz w:val="20"/>
          <w:szCs w:val="20"/>
          <w:u w:val="single" w:color="auto"/>
          <w:color w:val="0000FF"/>
        </w:rPr>
        <w:t>www.ubs.com/onesource/rtx</w:t>
      </w:r>
      <w:r>
        <w:rPr>
          <w:rFonts w:ascii="Arial" w:cs="Arial" w:eastAsia="Arial" w:hAnsi="Arial"/>
          <w:sz w:val="20"/>
          <w:szCs w:val="20"/>
          <w:u w:val="single" w:color="auto"/>
          <w:color w:val="221E1F"/>
        </w:rPr>
        <w: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13" w:lineRule="exact"/>
        <w:rPr>
          <w:sz w:val="20"/>
          <w:szCs w:val="20"/>
          <w:color w:val="auto"/>
        </w:rPr>
      </w:pPr>
    </w:p>
    <w:p>
      <w:pPr>
        <w:ind w:right="360"/>
        <w:spacing w:after="0" w:line="230" w:lineRule="auto"/>
        <w:rPr>
          <w:sz w:val="20"/>
          <w:szCs w:val="20"/>
          <w:color w:val="auto"/>
        </w:rPr>
      </w:pPr>
      <w:r>
        <w:rPr>
          <w:rFonts w:ascii="Arial" w:cs="Arial" w:eastAsia="Arial" w:hAnsi="Arial"/>
          <w:sz w:val="19"/>
          <w:szCs w:val="19"/>
          <w:color w:val="221E1F"/>
        </w:rPr>
        <w:t>RSU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40" w:right="3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color w:val="221E1F"/>
        </w:rPr>
        <w:t>Taxes / Withholding</w:t>
      </w:r>
    </w:p>
    <w:p>
      <w:pPr>
        <w:spacing w:after="0" w:line="213" w:lineRule="exact"/>
        <w:rPr>
          <w:sz w:val="20"/>
          <w:szCs w:val="20"/>
          <w:color w:val="auto"/>
        </w:rPr>
      </w:pPr>
    </w:p>
    <w:p>
      <w:pPr>
        <w:ind w:right="20"/>
        <w:spacing w:after="0" w:line="213"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RSUs. The provisions of Section 14(d) (Required Taxes) of the LTIP apply to this Award. The Company shall have the right to deduct directly from any payment or delivery of shares due to a Participant or from Participant’s regular compensation to effect compliance with all Tax-Related Items, including withholding and reporting with respect to the vesting of any RSU. Acceptance of an Award constitutes affirmative consent by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 jurisdiction between the date of</w:t>
      </w:r>
      <w:r>
        <w:rPr>
          <w:rFonts w:ascii="Arial" w:cs="Arial" w:eastAsia="Arial" w:hAnsi="Arial"/>
          <w:sz w:val="20"/>
          <w:szCs w:val="20"/>
          <w:color w:val="221E1F"/>
        </w:rPr>
        <w:t xml:space="preserve"> </w:t>
      </w:r>
      <w:r>
        <w:rPr>
          <w:rFonts w:ascii="Arial" w:cs="Arial" w:eastAsia="Arial" w:hAnsi="Arial"/>
          <w:sz w:val="20"/>
          <w:szCs w:val="20"/>
          <w:color w:val="211F1F"/>
        </w:rPr>
        <w:t xml:space="preserve">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 there is no withholding on account of such</w:t>
      </w:r>
      <w:r>
        <w:rPr>
          <w:rFonts w:ascii="Arial" w:cs="Arial" w:eastAsia="Arial" w:hAnsi="Arial"/>
          <w:sz w:val="20"/>
          <w:szCs w:val="20"/>
          <w:color w:val="211F1F"/>
        </w:rPr>
        <w:t xml:space="preserve"> </w:t>
      </w:r>
      <w:r>
        <w:rPr>
          <w:rFonts w:ascii="Arial" w:cs="Arial" w:eastAsia="Arial" w:hAnsi="Arial"/>
          <w:sz w:val="20"/>
          <w:szCs w:val="20"/>
          <w:color w:val="221E1F"/>
        </w:rPr>
        <w:t>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221E1F"/>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the vesting of the RSU Award, the Company shall satisfy the withholding obligation by deducting from Participant’s regular compensation through payroll withholding; and (ii) with respect to any other Tax-Related Items, the Company shall satisfy the withholding obligation by withholding shares of Common Stock subject to the RSU Award having a Fair Market Value on the date of withholding equal to the amount required to be withheld for tax purposes (calculated using the minimum statutory withholding rate, except as otherwise approved by the Committee). Provided for both items (i) and</w:t>
      </w:r>
    </w:p>
    <w:p>
      <w:pPr>
        <w:spacing w:after="0" w:line="1" w:lineRule="exact"/>
        <w:rPr>
          <w:sz w:val="20"/>
          <w:szCs w:val="20"/>
          <w:color w:val="auto"/>
        </w:rPr>
      </w:pPr>
    </w:p>
    <w:p>
      <w:pPr>
        <w:ind w:right="120" w:firstLine="8"/>
        <w:spacing w:after="0" w:line="243" w:lineRule="auto"/>
        <w:tabs>
          <w:tab w:leader="none" w:pos="275" w:val="left"/>
        </w:tabs>
        <w:numPr>
          <w:ilvl w:val="0"/>
          <w:numId w:val="51"/>
        </w:numPr>
        <w:rPr>
          <w:rFonts w:ascii="Arial" w:cs="Arial" w:eastAsia="Arial" w:hAnsi="Arial"/>
          <w:sz w:val="20"/>
          <w:szCs w:val="20"/>
          <w:color w:val="221E1F"/>
        </w:rPr>
      </w:pPr>
      <w:r>
        <w:rPr>
          <w:rFonts w:ascii="Arial" w:cs="Arial" w:eastAsia="Arial" w:hAnsi="Arial"/>
          <w:sz w:val="20"/>
          <w:szCs w:val="20"/>
          <w:color w:val="221E1F"/>
        </w:rPr>
        <w:t>above, the Committee retains the right to determine an alternative method of withholding for the Participant, at its sole discretion, provided in all cases, such determination shall be made by the Committee prior to the Tax-Related Items withholding event.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Important information about the U.S. Federal income tax consequences of LTIP Awards can be found in the LTIP Prospectus at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13"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221E1F"/>
        </w:rPr>
        <w:t>Unless otherwise approved by the Committee or its delegate, no assignment or transfer of any right or interest of a Participant in any RSU Award, whether voluntary or involuntary, by operation of law or otherwise, is permitted except by will or the laws of descent and distribution</w:t>
      </w:r>
      <w:r>
        <w:rPr>
          <w:rFonts w:ascii="Arial" w:cs="Arial" w:eastAsia="Arial" w:hAnsi="Arial"/>
          <w:sz w:val="20"/>
          <w:szCs w:val="20"/>
          <w:color w:val="000000"/>
        </w:rPr>
        <w:t>. Any other</w:t>
      </w:r>
      <w:r>
        <w:rPr>
          <w:rFonts w:ascii="Arial" w:cs="Arial" w:eastAsia="Arial" w:hAnsi="Arial"/>
          <w:sz w:val="20"/>
          <w:szCs w:val="20"/>
          <w:color w:val="221E1F"/>
        </w:rPr>
        <w:t xml:space="preserve"> attempt to assign such rights or interest shall be void and without force or effect.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Nature of Payments</w:t>
      </w:r>
    </w:p>
    <w:p>
      <w:pPr>
        <w:spacing w:after="0" w:line="213"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394" w:right="339" w:bottom="1440" w:gutter="0" w:footer="0" w:header="0"/>
        </w:sectPr>
      </w:pPr>
    </w:p>
    <w:bookmarkStart w:id="81" w:name="page82"/>
    <w:bookmarkEnd w:id="81"/>
    <w:p>
      <w:pPr>
        <w:jc w:val="both"/>
        <w:ind w:right="480"/>
        <w:spacing w:after="0" w:line="223" w:lineRule="auto"/>
        <w:rPr>
          <w:sz w:val="20"/>
          <w:szCs w:val="20"/>
          <w:color w:val="auto"/>
        </w:rPr>
      </w:pPr>
      <w:r>
        <w:rPr>
          <w:rFonts w:ascii="Arial" w:cs="Arial" w:eastAsia="Arial" w:hAnsi="Arial"/>
          <w:sz w:val="20"/>
          <w:szCs w:val="20"/>
          <w:color w:val="221E1F"/>
        </w:rPr>
        <w:t>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13" w:lineRule="exact"/>
        <w:rPr>
          <w:sz w:val="20"/>
          <w:szCs w:val="20"/>
          <w:color w:val="auto"/>
        </w:rPr>
      </w:pPr>
    </w:p>
    <w:p>
      <w:pPr>
        <w:jc w:val="both"/>
        <w:ind w:right="40"/>
        <w:spacing w:after="0" w:line="223" w:lineRule="auto"/>
        <w:rPr>
          <w:sz w:val="20"/>
          <w:szCs w:val="20"/>
          <w:color w:val="auto"/>
        </w:rPr>
      </w:pPr>
      <w:r>
        <w:rPr>
          <w:rFonts w:ascii="Arial" w:cs="Arial" w:eastAsia="Arial" w:hAnsi="Arial"/>
          <w:sz w:val="20"/>
          <w:szCs w:val="20"/>
          <w:color w:val="211E1F"/>
        </w:rPr>
        <w:t>Nothing in the LTIP or in any RSU Award shall confer upon any Participant the right to continued employment or service for any period of time, or affect any right that the Company may have to terminate the employment of any Participant at any time for any reason.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3" w:lineRule="exact"/>
        <w:rPr>
          <w:sz w:val="20"/>
          <w:szCs w:val="20"/>
          <w:color w:val="auto"/>
        </w:rPr>
      </w:pPr>
    </w:p>
    <w:p>
      <w:pPr>
        <w:ind w:right="60"/>
        <w:spacing w:after="0" w:line="215"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 on any matter related to an Award shall be binding, final, and conclusive on all parties in interest.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3" w:lineRule="exact"/>
        <w:rPr>
          <w:sz w:val="20"/>
          <w:szCs w:val="20"/>
          <w:color w:val="auto"/>
        </w:rPr>
      </w:pPr>
    </w:p>
    <w:p>
      <w:pPr>
        <w:ind w:right="80"/>
        <w:spacing w:after="0" w:line="216"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Company Compliance Policies</w:t>
      </w:r>
    </w:p>
    <w:p>
      <w:pPr>
        <w:spacing w:after="0" w:line="213" w:lineRule="exact"/>
        <w:rPr>
          <w:sz w:val="20"/>
          <w:szCs w:val="20"/>
          <w:color w:val="auto"/>
        </w:rPr>
      </w:pPr>
    </w:p>
    <w:p>
      <w:pPr>
        <w:ind w:right="80"/>
        <w:spacing w:after="0" w:line="223" w:lineRule="auto"/>
        <w:rPr>
          <w:sz w:val="20"/>
          <w:szCs w:val="20"/>
          <w:color w:val="auto"/>
        </w:rPr>
      </w:pPr>
      <w:r>
        <w:rPr>
          <w:rFonts w:ascii="Arial" w:cs="Arial" w:eastAsia="Arial" w:hAnsi="Arial"/>
          <w:sz w:val="20"/>
          <w:szCs w:val="20"/>
          <w:color w:val="221E1F"/>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221E1F"/>
        </w:rPr>
        <w: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13" w:lineRule="exact"/>
        <w:rPr>
          <w:sz w:val="20"/>
          <w:szCs w:val="20"/>
          <w:color w:val="auto"/>
        </w:rPr>
      </w:pPr>
    </w:p>
    <w:p>
      <w:pPr>
        <w:ind w:right="40"/>
        <w:spacing w:after="0" w:line="217" w:lineRule="auto"/>
        <w:rPr>
          <w:sz w:val="20"/>
          <w:szCs w:val="20"/>
          <w:color w:val="auto"/>
        </w:rPr>
      </w:pPr>
      <w:r>
        <w:rPr>
          <w:rFonts w:ascii="Arial" w:cs="Arial" w:eastAsia="Arial" w:hAnsi="Arial"/>
          <w:sz w:val="20"/>
          <w:szCs w:val="20"/>
          <w:color w:val="auto"/>
        </w:rPr>
        <w:t xml:space="preserve">This Schedule of Terms provides a summary of terms applicable to the RSU Award. </w:t>
      </w:r>
      <w:r>
        <w:rPr>
          <w:rFonts w:ascii="Arial" w:cs="Arial" w:eastAsia="Arial" w:hAnsi="Arial"/>
          <w:sz w:val="20"/>
          <w:szCs w:val="20"/>
          <w:color w:val="221E1F"/>
        </w:rPr>
        <w:t>This Schedule of Terms and each Award</w:t>
      </w:r>
      <w:r>
        <w:rPr>
          <w:rFonts w:ascii="Arial" w:cs="Arial" w:eastAsia="Arial" w:hAnsi="Arial"/>
          <w:sz w:val="20"/>
          <w:szCs w:val="20"/>
          <w:color w:val="auto"/>
        </w:rPr>
        <w:t xml:space="preserve"> </w:t>
      </w:r>
      <w:r>
        <w:rPr>
          <w:rFonts w:ascii="Arial" w:cs="Arial" w:eastAsia="Arial" w:hAnsi="Arial"/>
          <w:sz w:val="20"/>
          <w:szCs w:val="20"/>
          <w:color w:val="221E1F"/>
        </w:rPr>
        <w:t xml:space="preserve">Agreement are subject in all respects to the terms of the LTIP, which can be located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18" w:right="339" w:bottom="1440" w:gutter="0" w:footer="0" w:header="0"/>
        </w:sectPr>
      </w:pPr>
    </w:p>
    <w:bookmarkStart w:id="82" w:name="page83"/>
    <w:bookmarkEnd w:id="82"/>
    <w:p>
      <w:pPr>
        <w:ind w:right="300"/>
        <w:spacing w:after="0" w:line="223" w:lineRule="auto"/>
        <w:rPr>
          <w:sz w:val="20"/>
          <w:szCs w:val="20"/>
          <w:color w:val="auto"/>
        </w:rPr>
      </w:pPr>
      <w:r>
        <w:rPr>
          <w:rFonts w:ascii="Arial" w:cs="Arial" w:eastAsia="Arial" w:hAnsi="Arial"/>
          <w:sz w:val="20"/>
          <w:szCs w:val="20"/>
          <w:color w:val="221E1F"/>
        </w:rPr>
        <w:t>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3"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Stock Plan Administrator</w:t>
      </w:r>
    </w:p>
    <w:p>
      <w:pPr>
        <w:ind w:left="660"/>
        <w:spacing w:after="0"/>
        <w:rPr>
          <w:sz w:val="20"/>
          <w:szCs w:val="20"/>
          <w:color w:val="auto"/>
        </w:rPr>
      </w:pPr>
      <w:r>
        <w:rPr>
          <w:rFonts w:ascii="Arial" w:cs="Arial" w:eastAsia="Arial" w:hAnsi="Arial"/>
          <w:sz w:val="20"/>
          <w:szCs w:val="20"/>
          <w:u w:val="single" w:color="auto"/>
          <w:color w:val="0000FF"/>
        </w:rPr>
        <w:t>rtxstockadmin@rtx.com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Raytheon Technologies Corporation</w:t>
      </w:r>
    </w:p>
    <w:p>
      <w:pPr>
        <w:ind w:left="660"/>
        <w:spacing w:after="0" w:line="225" w:lineRule="auto"/>
        <w:rPr>
          <w:sz w:val="20"/>
          <w:szCs w:val="20"/>
          <w:color w:val="auto"/>
        </w:rPr>
      </w:pPr>
      <w:r>
        <w:rPr>
          <w:rFonts w:ascii="Arial" w:cs="Arial" w:eastAsia="Arial" w:hAnsi="Arial"/>
          <w:sz w:val="20"/>
          <w:szCs w:val="20"/>
          <w:color w:val="auto"/>
        </w:rPr>
        <w:t>Attn: Stock Plan Administrator</w:t>
      </w:r>
    </w:p>
    <w:p>
      <w:pPr>
        <w:ind w:left="660"/>
        <w:spacing w:after="0" w:line="225" w:lineRule="auto"/>
        <w:rPr>
          <w:sz w:val="20"/>
          <w:szCs w:val="20"/>
          <w:color w:val="auto"/>
        </w:rPr>
      </w:pPr>
      <w:r>
        <w:rPr>
          <w:rFonts w:ascii="Arial" w:cs="Arial" w:eastAsia="Arial" w:hAnsi="Arial"/>
          <w:sz w:val="20"/>
          <w:szCs w:val="20"/>
          <w:color w:val="auto"/>
        </w:rPr>
        <w:t>4 Farm Springs Road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Farmington, CT 06032</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 xml:space="preserve">The Corporation and/or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1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10.5</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Raytheon Technologies Corporation</w:t>
      </w: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Performance Share Unit Award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This Schedule of Terms describes the material features of the Participant’s Performance Share Unit Award (the “PSU Award” or the “Award”) granted under the Raytheon Technologies Corporation 2018 Long-Term Incentive Plan (the “LTIP”), subject to this Schedule of Terms, the Award Agreement and the terms and conditions set forth in the LTIP. The LTIP Prospectus contains further information about the LTIP and this Award and is available on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850"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color w:val="221E1F"/>
        </w:rPr>
        <w:t>Certain Definitions</w:t>
      </w:r>
    </w:p>
    <w:p>
      <w:pPr>
        <w:spacing w:after="0" w:line="253" w:lineRule="exact"/>
        <w:rPr>
          <w:sz w:val="20"/>
          <w:szCs w:val="20"/>
          <w:color w:val="auto"/>
        </w:rPr>
      </w:pPr>
    </w:p>
    <w:p>
      <w:pPr>
        <w:spacing w:after="0" w:line="201" w:lineRule="auto"/>
        <w:rPr>
          <w:sz w:val="20"/>
          <w:szCs w:val="20"/>
          <w:color w:val="auto"/>
        </w:rPr>
      </w:pPr>
      <w:r>
        <w:rPr>
          <w:rFonts w:ascii="Arial" w:cs="Arial" w:eastAsia="Arial" w:hAnsi="Arial"/>
          <w:sz w:val="20"/>
          <w:szCs w:val="20"/>
          <w:color w:val="auto"/>
        </w:rPr>
        <w:t>A Performance Share Unit (a “PSU”) represents the right to receive one share of Common Stock of Raytheon Technologies Corporation (the “Common Stock”) (or a cash payment equal to the Fair Market Value thereof). PSUs generally vest and are converted into shares of Common Stock if, and to the extent, the associated pre-established performance targets are achieved and the Participant remains employed by the Company through the end of the applicable performance measurement period (see “Vesting” below), or upon an earlier Termination of Service under limited circumstances that result in accelerated vesting (see “Termination of Service” below). “Company” means Raytheon Technologies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Compensation Committee of the Board. Capitalized terms not otherwise defined in this Schedule of Terms have the same meaning as defined in the LTIP.</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53" w:lineRule="exact"/>
        <w:rPr>
          <w:sz w:val="20"/>
          <w:szCs w:val="20"/>
          <w:color w:val="auto"/>
        </w:rPr>
      </w:pPr>
    </w:p>
    <w:p>
      <w:pPr>
        <w:ind w:right="180"/>
        <w:spacing w:after="0" w:line="220" w:lineRule="auto"/>
        <w:rPr>
          <w:sz w:val="20"/>
          <w:szCs w:val="20"/>
          <w:color w:val="auto"/>
        </w:rPr>
      </w:pPr>
      <w:r>
        <w:rPr>
          <w:rFonts w:ascii="Arial" w:cs="Arial" w:eastAsia="Arial" w:hAnsi="Arial"/>
          <w:sz w:val="20"/>
          <w:szCs w:val="20"/>
          <w:color w:val="auto"/>
        </w:rPr>
        <w:t>The number of PSUs awarded is set forth in the Award Agreement. An LTIP Award recipient (a “Participant”) must affirmatively acknowledge and accept the terms and conditions of the PSU Award within 150 days following the Grant Date. A failure to acknowledge and accept the PSU Award subject to the LTIP and this Schedule of Terms, within such 150-day period will result in forfeiture of the PSU Award, effective as of the 150th day following the Grant Date.</w:t>
      </w:r>
    </w:p>
    <w:p>
      <w:pPr>
        <w:spacing w:after="0" w:line="163"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 xml:space="preserve">Participants must acknowledge and accept the terms and conditions of this PSU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 Participants based in certain countries may be required to acknowledge and accept the terms and conditions of this PSU Award by signing and returning the designated hard copy portion of the Award Agreement to the Stock Plan Administrator. These countries currently include Russia, Turkey, Hungary, and Slovenia.</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w:t>
      </w:r>
    </w:p>
    <w:p>
      <w:pPr>
        <w:spacing w:after="0" w:line="213" w:lineRule="exact"/>
        <w:rPr>
          <w:sz w:val="20"/>
          <w:szCs w:val="20"/>
          <w:color w:val="auto"/>
        </w:rPr>
      </w:pPr>
    </w:p>
    <w:p>
      <w:pPr>
        <w:ind w:right="100"/>
        <w:spacing w:after="0" w:line="222" w:lineRule="auto"/>
        <w:rPr>
          <w:sz w:val="20"/>
          <w:szCs w:val="20"/>
          <w:color w:val="auto"/>
        </w:rPr>
      </w:pPr>
      <w:r>
        <w:rPr>
          <w:rFonts w:ascii="Arial" w:cs="Arial" w:eastAsia="Arial" w:hAnsi="Arial"/>
          <w:sz w:val="19"/>
          <w:szCs w:val="19"/>
          <w:color w:val="221E1F"/>
        </w:rPr>
        <w:t xml:space="preserve">PSU Awards will vest in accordance with the schedule set forth in the Award Agreement, subject to performance relative to pre-established Performance Goals, and the Participant’s continued employment with the Company through the applicable performance measurement period, and vesting date. Potential Performance Goals are provided in the LTIP. PSU Awards may be subject to multiple Performance Goals. The Award Agreement will specify the performance period and vesting date. </w:t>
      </w:r>
      <w:r>
        <w:rPr>
          <w:rFonts w:ascii="Arial" w:cs="Arial" w:eastAsia="Arial" w:hAnsi="Arial"/>
          <w:sz w:val="19"/>
          <w:szCs w:val="19"/>
          <w:b w:val="1"/>
          <w:bCs w:val="1"/>
          <w:color w:val="000000"/>
        </w:rPr>
        <w:t>Please</w:t>
      </w:r>
    </w:p>
    <w:p>
      <w:pPr>
        <w:spacing w:after="0" w:line="2" w:lineRule="exact"/>
        <w:rPr>
          <w:sz w:val="20"/>
          <w:szCs w:val="20"/>
          <w:color w:val="auto"/>
        </w:rPr>
      </w:pPr>
    </w:p>
    <w:p>
      <w:pPr>
        <w:ind w:right="1180"/>
        <w:spacing w:after="0" w:line="242" w:lineRule="auto"/>
        <w:rPr>
          <w:sz w:val="20"/>
          <w:szCs w:val="20"/>
          <w:color w:val="auto"/>
        </w:rPr>
      </w:pPr>
      <w:r>
        <w:rPr>
          <w:rFonts w:ascii="Arial" w:cs="Arial" w:eastAsia="Arial" w:hAnsi="Arial"/>
          <w:sz w:val="19"/>
          <w:szCs w:val="19"/>
          <w:b w:val="1"/>
          <w:bCs w:val="1"/>
          <w:color w:val="auto"/>
        </w:rPr>
        <w:t>refer to Appendix A for actual Performance Goals for the 2021-2023 performance cycle</w:t>
      </w:r>
      <w:r>
        <w:rPr>
          <w:rFonts w:ascii="Arial" w:cs="Arial" w:eastAsia="Arial" w:hAnsi="Arial"/>
          <w:sz w:val="19"/>
          <w:szCs w:val="19"/>
          <w:b w:val="1"/>
          <w:bCs w:val="1"/>
          <w:color w:val="221E1F"/>
        </w:rPr>
        <w:t>, including minimum</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221E1F"/>
        </w:rPr>
        <w:t>performance required for vesting, range of vesting and relative weighting for each Performance Goal.</w:t>
      </w:r>
    </w:p>
    <w:p>
      <w:pPr>
        <w:spacing w:after="0" w:line="194" w:lineRule="exact"/>
        <w:rPr>
          <w:sz w:val="20"/>
          <w:szCs w:val="20"/>
          <w:color w:val="auto"/>
        </w:rPr>
      </w:pPr>
    </w:p>
    <w:p>
      <w:pPr>
        <w:ind w:right="20"/>
        <w:spacing w:after="0"/>
        <w:rPr>
          <w:sz w:val="20"/>
          <w:szCs w:val="20"/>
          <w:color w:val="auto"/>
        </w:rPr>
      </w:pPr>
      <w:r>
        <w:rPr>
          <w:rFonts w:ascii="Arial" w:cs="Arial" w:eastAsia="Arial" w:hAnsi="Arial"/>
          <w:sz w:val="20"/>
          <w:szCs w:val="20"/>
          <w:color w:val="221E1F"/>
        </w:rPr>
        <w:t xml:space="preserve">2021 Performance Goals include: (i) diluted earnings per share (“EPS”); (ii) return on invested capital (“ROIC”); (iii) total shareowner return (“TSR”) relative to the companies within the S&amp;P 500 index; and (iv) TSR relative to nine aerospace and defense companies (i.e., Honeywell, Boeing, General Electric, Lockheed Martin, Airbus, Northrop Grumman, General Dynamics, L3Harris and Safran) (the “A&amp;D peer companies”). For 2021, certain Performance Goals will only be measured for the </w:t>
      </w:r>
      <w:r>
        <w:rPr>
          <w:rFonts w:ascii="Arial" w:cs="Arial" w:eastAsia="Arial" w:hAnsi="Arial"/>
          <w:sz w:val="20"/>
          <w:szCs w:val="20"/>
          <w:color w:val="000000"/>
        </w:rPr>
        <w:t>first year</w:t>
      </w:r>
      <w:r>
        <w:rPr>
          <w:rFonts w:ascii="Arial" w:cs="Arial" w:eastAsia="Arial" w:hAnsi="Arial"/>
          <w:sz w:val="20"/>
          <w:szCs w:val="20"/>
          <w:color w:val="221E1F"/>
        </w:rPr>
        <w:t xml:space="preserve"> </w:t>
      </w:r>
      <w:r>
        <w:rPr>
          <w:rFonts w:ascii="Arial" w:cs="Arial" w:eastAsia="Arial" w:hAnsi="Arial"/>
          <w:sz w:val="20"/>
          <w:szCs w:val="20"/>
          <w:color w:val="000000"/>
        </w:rPr>
        <w:t>of the three-year performance period of the Award (as discussed below); however, PSU Awards will not vest until the completion of the three-year performance period, following the Committee’s certification of performance results.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08" w:right="339" w:bottom="1440" w:gutter="0" w:footer="0" w:header="0"/>
        </w:sectPr>
      </w:pPr>
    </w:p>
    <w:bookmarkStart w:id="85" w:name="page86"/>
    <w:bookmarkEnd w:id="85"/>
    <w:p>
      <w:pPr>
        <w:ind w:right="100"/>
        <w:spacing w:after="0" w:line="230" w:lineRule="auto"/>
        <w:rPr>
          <w:sz w:val="20"/>
          <w:szCs w:val="20"/>
          <w:color w:val="auto"/>
        </w:rPr>
      </w:pPr>
      <w:r>
        <w:rPr>
          <w:rFonts w:ascii="Arial" w:cs="Arial" w:eastAsia="Arial" w:hAnsi="Arial"/>
          <w:sz w:val="19"/>
          <w:szCs w:val="19"/>
          <w:color w:val="auto"/>
        </w:rPr>
        <w:t>The 2021 PSU Award will include a one-year EPS goal measured for the first year only of the three-year performance period of the Award. EPS is net income from continuing operations divided by weighted average diluted shares outstanding, subject to adjustments for restructuring, non-recurring and other significant, defined non-operational items. The Committee may adjust the EPS calculation (positively or negatively) to exclude the impact of certain items unrelated to operational performance. Such adjustment may be made when necessary to maintain the validity of the Performance Goal, as originally established.</w:t>
      </w:r>
    </w:p>
    <w:p>
      <w:pPr>
        <w:spacing w:after="0" w:line="182" w:lineRule="exact"/>
        <w:rPr>
          <w:sz w:val="20"/>
          <w:szCs w:val="20"/>
          <w:color w:val="auto"/>
        </w:rPr>
      </w:pPr>
    </w:p>
    <w:p>
      <w:pPr>
        <w:ind w:right="60"/>
        <w:spacing w:after="0" w:line="214" w:lineRule="auto"/>
        <w:rPr>
          <w:sz w:val="20"/>
          <w:szCs w:val="20"/>
          <w:color w:val="auto"/>
        </w:rPr>
      </w:pPr>
      <w:r>
        <w:rPr>
          <w:rFonts w:ascii="Arial" w:cs="Arial" w:eastAsia="Arial" w:hAnsi="Arial"/>
          <w:sz w:val="20"/>
          <w:szCs w:val="20"/>
          <w:color w:val="auto"/>
        </w:rPr>
        <w:t>The 2021 PSU Award will measure TSR over the three-year performance period of the Award. TSR is the percentage change in share price over the cumulative three-year performance period (plus reinvested dividends) divided by the share price at the beginning of the performance period. TSR is calculated using the trailing November/December average adjusted closing share price prior to and at the end of the three-year period, as calculated by Standard &amp; Poor’s. If relative TSR is negative for the three-year performance period, the TSR payout percentage for that metric may not exceed 100% of target, even if relative performance exceeds the target-level Performance Goal. Relative TSR is the rank of RTX’s three-year TSR versus: (i) the companies within the S&amp;P 500 Index at the beginning of the three-year performance period; and (ii) the A&amp;D peer companies. To the extent that such companies are acquired, delist from a stock exchange, or in the case of the S&amp;P 500, companies are removed from the S&amp;P 500 Index during the performance period, these companies will be excluded from the relative ranking calculation.</w:t>
      </w:r>
    </w:p>
    <w:p>
      <w:pPr>
        <w:spacing w:after="0" w:line="190" w:lineRule="exact"/>
        <w:rPr>
          <w:sz w:val="20"/>
          <w:szCs w:val="20"/>
          <w:color w:val="auto"/>
        </w:rPr>
      </w:pPr>
    </w:p>
    <w:p>
      <w:pPr>
        <w:ind w:right="60"/>
        <w:spacing w:after="0" w:line="227" w:lineRule="auto"/>
        <w:rPr>
          <w:sz w:val="20"/>
          <w:szCs w:val="20"/>
          <w:color w:val="auto"/>
        </w:rPr>
      </w:pPr>
      <w:r>
        <w:rPr>
          <w:rFonts w:ascii="Arial" w:cs="Arial" w:eastAsia="Arial" w:hAnsi="Arial"/>
          <w:sz w:val="19"/>
          <w:szCs w:val="19"/>
          <w:color w:val="auto"/>
        </w:rPr>
        <w:t>The 2021 PSU Award will include a one-year ROIC goal measured on an average quarterly basis over the first year only of the three-year performance period of the Award. ROIC is the ratio of net operating profit after tax (“NOPAT”) to Invested Capital (total debt less cash plus equity), subject to certain adjustments as detailed below. NOPAT excludes non-controlling interest, non-service pension, acquisitions and divestiture earnings, one-timers, restructuring, material one-time tax charges and the impact of foreign exchange fluctuations. Invested Capital excludes accumulated other comprehensive income, cash and equivalents, acquisition and divestiture borrowings, short-term borrowings and material one-time tax charges. ROIC is based on continuing operations and subject to adjustment for the impact of restructuring charges and other significant non-operational, and non-recurring items when necessary to maintain the validity of the Performance Goal, as originally established.</w:t>
      </w:r>
    </w:p>
    <w:p>
      <w:pPr>
        <w:spacing w:after="0" w:line="183" w:lineRule="exact"/>
        <w:rPr>
          <w:sz w:val="20"/>
          <w:szCs w:val="20"/>
          <w:color w:val="auto"/>
        </w:rPr>
      </w:pPr>
    </w:p>
    <w:p>
      <w:pPr>
        <w:ind w:right="120"/>
        <w:spacing w:after="0" w:line="217" w:lineRule="auto"/>
        <w:rPr>
          <w:sz w:val="20"/>
          <w:szCs w:val="20"/>
          <w:color w:val="auto"/>
        </w:rPr>
      </w:pPr>
      <w:r>
        <w:rPr>
          <w:rFonts w:ascii="Arial" w:cs="Arial" w:eastAsia="Arial" w:hAnsi="Arial"/>
          <w:sz w:val="20"/>
          <w:szCs w:val="20"/>
          <w:color w:val="221E1F"/>
        </w:rPr>
        <w:t>In the case that that value of the PSU award at vesting is greater than 400% of the value of the PSU award at grant, the performance results shall be reduced so that the value delivered to participants will be no greater than 400% of the grant value. The value of the PSU award at grant is equal to the number of PSUs at target level performance granted to a participant multiplied by the closing stock price of RTX on the grant date. The value of the PSU award at vest is equal to the product of: (i) the number of the PSUs at target level performance granted to a participant; (ii) the Performance Factor certified by the Compensation Committee; and (iii) the closing stock price of RTX on the vesting date.</w:t>
      </w:r>
    </w:p>
    <w:p>
      <w:pPr>
        <w:spacing w:after="0" w:line="183" w:lineRule="exact"/>
        <w:rPr>
          <w:sz w:val="20"/>
          <w:szCs w:val="20"/>
          <w:color w:val="auto"/>
        </w:rPr>
      </w:pPr>
    </w:p>
    <w:p>
      <w:pPr>
        <w:ind w:right="460"/>
        <w:spacing w:after="0" w:line="223" w:lineRule="auto"/>
        <w:rPr>
          <w:sz w:val="20"/>
          <w:szCs w:val="20"/>
          <w:color w:val="auto"/>
        </w:rPr>
      </w:pPr>
      <w:r>
        <w:rPr>
          <w:rFonts w:ascii="Arial" w:cs="Arial" w:eastAsia="Arial" w:hAnsi="Arial"/>
          <w:sz w:val="20"/>
          <w:szCs w:val="20"/>
          <w:color w:val="221E1F"/>
        </w:rPr>
        <w:t>PSUs will be forfeited in the event of a Termination of Service prior to the vesting date, except in certain earlier terminations involving Retirement, Involuntary Termination (Not for Cause), Disability, Change-in-Control Termination or Death (see “Termination of Service” below).</w:t>
      </w:r>
    </w:p>
    <w:p>
      <w:pPr>
        <w:spacing w:after="0" w:line="182" w:lineRule="exact"/>
        <w:rPr>
          <w:sz w:val="20"/>
          <w:szCs w:val="20"/>
          <w:color w:val="auto"/>
        </w:rPr>
      </w:pPr>
    </w:p>
    <w:p>
      <w:pPr>
        <w:ind w:right="280"/>
        <w:spacing w:after="0" w:line="229" w:lineRule="auto"/>
        <w:rPr>
          <w:sz w:val="20"/>
          <w:szCs w:val="20"/>
          <w:color w:val="auto"/>
        </w:rPr>
      </w:pPr>
      <w:r>
        <w:rPr>
          <w:rFonts w:ascii="Arial" w:cs="Arial" w:eastAsia="Arial" w:hAnsi="Arial"/>
          <w:sz w:val="20"/>
          <w:szCs w:val="20"/>
          <w:color w:val="auto"/>
        </w:rPr>
        <w:t>PSUs may also be forfeited and value realized from previously vested PSUs may be recouped by the Company under certain circumstances (see “Forfeiture of Award and Repayment of Realized Gains”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18" w:right="339" w:bottom="1440" w:gutter="0" w:footer="0" w:header="0"/>
        </w:sectPr>
      </w:pPr>
    </w:p>
    <w:bookmarkStart w:id="86" w:name="page87"/>
    <w:bookmarkEnd w:id="86"/>
    <w:p>
      <w:pPr>
        <w:spacing w:after="0"/>
        <w:rPr>
          <w:sz w:val="20"/>
          <w:szCs w:val="20"/>
          <w:color w:val="auto"/>
        </w:rPr>
      </w:pPr>
      <w:r>
        <w:rPr>
          <w:rFonts w:ascii="Arial" w:cs="Arial" w:eastAsia="Arial" w:hAnsi="Arial"/>
          <w:sz w:val="20"/>
          <w:szCs w:val="20"/>
          <w:b w:val="1"/>
          <w:bCs w:val="1"/>
          <w:color w:val="221E1F"/>
        </w:rPr>
        <w:t>No Shareowner Rights</w:t>
      </w:r>
    </w:p>
    <w:p>
      <w:pPr>
        <w:spacing w:after="0" w:line="213"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221E1F"/>
        </w:rPr>
        <w:t>A PSU is the right to receive a share of Common Stock in the future (or a cash payment equal to the Fair Market Value), subject to continued employment, achievement of performance targets, and certain other conditions. The holder of a PSU has no voting, dividend or other rights accorded to owners of Common Stock unless and until PSUs are converted into shares of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Payment / Conversion of PSUs</w:t>
      </w:r>
    </w:p>
    <w:p>
      <w:pPr>
        <w:spacing w:after="0" w:line="213"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221E1F"/>
        </w:rPr>
        <w:t>Vested PSUs will be converted into shares of Common Stock to be delivered to the Participant as soon as administratively practicable following the vesting date and, when the Committee determines if, and to what extent, PSUs have vested as a result of the achievement of Performance Goals. If Performance Goals are not met, the PSUs that do not vest will be cancelled without value. PSUs may be paid in cash if the Committee so determines, including where local law restricts the distribution of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13"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221E1F"/>
        </w:rPr>
        <w:t>The treatment of PSUs upon Termination of Service depends upon the reason for termination, as detailed in the following sections. PSUs held for less than one year as of the Termination Date will be forfeited, except in the event of Death, Disability, or Change-in-Control Termination, as discussed below.</w:t>
      </w:r>
    </w:p>
    <w:p>
      <w:pPr>
        <w:spacing w:after="0" w:line="182" w:lineRule="exact"/>
        <w:rPr>
          <w:sz w:val="20"/>
          <w:szCs w:val="20"/>
          <w:color w:val="auto"/>
        </w:rPr>
      </w:pPr>
    </w:p>
    <w:p>
      <w:pPr>
        <w:ind w:right="280"/>
        <w:spacing w:after="0" w:line="229"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58"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PSUs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remain outstanding and eligible to vest on the originally scheduled vest date, if and to the extent the Committee determines that Performance Goals have been achieved. Upon vest, PSUs will be converted into shares of Common Stock (or cash) to be delivered to the Participant as soon as administratively practicable thereafter. For this purpose, Retirement means either a Normal Retirement or Early Retirement as defined below:</w:t>
      </w:r>
    </w:p>
    <w:p>
      <w:pPr>
        <w:spacing w:after="0" w:line="184"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20"/>
          <w:szCs w:val="20"/>
          <w:color w:val="221E1F"/>
        </w:rPr>
      </w:pPr>
      <w:r>
        <w:rPr>
          <w:rFonts w:ascii="Arial" w:cs="Arial" w:eastAsia="Arial" w:hAnsi="Arial"/>
          <w:sz w:val="20"/>
          <w:szCs w:val="20"/>
          <w:color w:val="221E1F"/>
        </w:rPr>
        <w:t>“Normal Retirement” means retirement on or after age 65;</w:t>
      </w:r>
    </w:p>
    <w:p>
      <w:pPr>
        <w:spacing w:after="0" w:line="188" w:lineRule="exact"/>
        <w:rPr>
          <w:rFonts w:ascii="Arial" w:cs="Arial" w:eastAsia="Arial" w:hAnsi="Arial"/>
          <w:sz w:val="20"/>
          <w:szCs w:val="20"/>
          <w:color w:val="221E1F"/>
        </w:rPr>
      </w:pPr>
    </w:p>
    <w:p>
      <w:pPr>
        <w:ind w:left="640" w:hanging="308"/>
        <w:spacing w:after="0"/>
        <w:tabs>
          <w:tab w:leader="none" w:pos="640" w:val="left"/>
        </w:tabs>
        <w:numPr>
          <w:ilvl w:val="0"/>
          <w:numId w:val="52"/>
        </w:numPr>
        <w:rPr>
          <w:rFonts w:ascii="Arial" w:cs="Arial" w:eastAsia="Arial" w:hAnsi="Arial"/>
          <w:sz w:val="20"/>
          <w:szCs w:val="20"/>
          <w:color w:val="221E1F"/>
        </w:rPr>
      </w:pPr>
      <w:r>
        <w:rPr>
          <w:rFonts w:ascii="Arial" w:cs="Arial" w:eastAsia="Arial" w:hAnsi="Arial"/>
          <w:sz w:val="20"/>
          <w:szCs w:val="20"/>
          <w:color w:val="221E1F"/>
        </w:rPr>
        <w:t>“Early Retirement” means retirement on or after:</w:t>
      </w:r>
    </w:p>
    <w:p>
      <w:pPr>
        <w:spacing w:after="0" w:line="177" w:lineRule="exact"/>
        <w:rPr>
          <w:rFonts w:ascii="Arial" w:cs="Arial" w:eastAsia="Arial" w:hAnsi="Arial"/>
          <w:sz w:val="20"/>
          <w:szCs w:val="20"/>
          <w:color w:val="221E1F"/>
        </w:rPr>
      </w:pPr>
    </w:p>
    <w:p>
      <w:pPr>
        <w:ind w:left="1300" w:hanging="320"/>
        <w:spacing w:after="0"/>
        <w:tabs>
          <w:tab w:leader="none" w:pos="1300" w:val="left"/>
        </w:tabs>
        <w:numPr>
          <w:ilvl w:val="1"/>
          <w:numId w:val="52"/>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194" w:lineRule="exact"/>
        <w:rPr>
          <w:rFonts w:ascii="Courier New" w:cs="Courier New" w:eastAsia="Courier New" w:hAnsi="Courier New"/>
          <w:sz w:val="20"/>
          <w:szCs w:val="20"/>
          <w:color w:val="221E1F"/>
        </w:rPr>
      </w:pPr>
    </w:p>
    <w:p>
      <w:pPr>
        <w:ind w:left="1300" w:right="160" w:hanging="320"/>
        <w:spacing w:after="0" w:line="227" w:lineRule="auto"/>
        <w:tabs>
          <w:tab w:leader="none" w:pos="1297" w:val="left"/>
        </w:tabs>
        <w:numPr>
          <w:ilvl w:val="1"/>
          <w:numId w:val="52"/>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83" w:lineRule="exact"/>
        <w:rPr>
          <w:sz w:val="20"/>
          <w:szCs w:val="20"/>
          <w:color w:val="auto"/>
        </w:rPr>
      </w:pPr>
    </w:p>
    <w:p>
      <w:pPr>
        <w:jc w:val="both"/>
        <w:ind w:right="180"/>
        <w:spacing w:after="0" w:line="242"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determined under the UTC Savings Plan. The calculation to determine Early Retirement will include partial years, rounded down to the nearest full month.</w:t>
      </w:r>
    </w:p>
    <w:p>
      <w:pPr>
        <w:spacing w:after="0" w:line="180" w:lineRule="exact"/>
        <w:rPr>
          <w:sz w:val="20"/>
          <w:szCs w:val="20"/>
          <w:color w:val="auto"/>
        </w:rPr>
      </w:pPr>
    </w:p>
    <w:p>
      <w:pPr>
        <w:ind w:right="580"/>
        <w:spacing w:after="0" w:line="229" w:lineRule="auto"/>
        <w:rPr>
          <w:sz w:val="20"/>
          <w:szCs w:val="20"/>
          <w:color w:val="auto"/>
        </w:rPr>
      </w:pPr>
      <w:r>
        <w:rPr>
          <w:rFonts w:ascii="Arial" w:cs="Arial" w:eastAsia="Arial" w:hAnsi="Arial"/>
          <w:sz w:val="20"/>
          <w:szCs w:val="20"/>
          <w:color w:val="auto"/>
        </w:rPr>
        <w:t>A Participant will not receive Retirement treatment with respect to any Award in the event of involuntary termination by the Company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394" w:right="339" w:bottom="1440" w:gutter="0" w:footer="0" w:header="0"/>
        </w:sectPr>
      </w:pPr>
    </w:p>
    <w:bookmarkStart w:id="87" w:name="page88"/>
    <w:bookmarkEnd w:id="87"/>
    <w:p>
      <w:pPr>
        <w:ind w:right="100"/>
        <w:spacing w:after="0" w:line="226" w:lineRule="auto"/>
        <w:rPr>
          <w:sz w:val="20"/>
          <w:szCs w:val="20"/>
          <w:color w:val="auto"/>
        </w:rPr>
      </w:pPr>
      <w:r>
        <w:rPr>
          <w:rFonts w:ascii="Arial" w:cs="Arial" w:eastAsia="Arial" w:hAnsi="Arial"/>
          <w:sz w:val="20"/>
          <w:szCs w:val="20"/>
          <w:b w:val="1"/>
          <w:bCs w:val="1"/>
          <w:color w:val="auto"/>
        </w:rPr>
        <w:t xml:space="preserve">Involuntary Termination for Cause. </w:t>
      </w:r>
      <w:r>
        <w:rPr>
          <w:rFonts w:ascii="Arial" w:cs="Arial" w:eastAsia="Arial" w:hAnsi="Arial"/>
          <w:sz w:val="20"/>
          <w:szCs w:val="20"/>
          <w:color w:val="auto"/>
        </w:rPr>
        <w:t>If the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(as defined in the LTIP), unvested PSUs will be forfeited as of the Termination Date regardless of the Participant’s Retirement eligibility. In addition, value realized from previously vested PSUs is subject to repayment in the event of termination for Cause or certain other occurrences (see “Forfeiture of Award and Repayment of Realized Gains” below).</w:t>
      </w:r>
    </w:p>
    <w:p>
      <w:pPr>
        <w:spacing w:after="0" w:line="200"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b w:val="1"/>
          <w:bCs w:val="1"/>
          <w:color w:val="auto"/>
        </w:rPr>
        <w:t xml:space="preserve">Involuntary Termination. </w:t>
      </w:r>
      <w:r>
        <w:rPr>
          <w:rFonts w:ascii="Arial" w:cs="Arial" w:eastAsia="Arial" w:hAnsi="Arial"/>
          <w:sz w:val="20"/>
          <w:szCs w:val="20"/>
          <w:color w:val="auto"/>
        </w:rPr>
        <w:t>If the Participant’s termination results from an involuntary termination by the Company for reasons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 than Cause, unvested PSUs held for at least one year as of the Termination Date will receive pro-rata vesting treatment, subject to the Participant providing the Company with a release of claims against the Company in a form and manner satisfactory to the Company. The pro-rata vesting of a PSU Award held for at least one year will be based on the number of months worked during the vesting period, including partial months, relative to the full vesting period. </w:t>
      </w:r>
      <w:r>
        <w:rPr>
          <w:rFonts w:ascii="Arial" w:cs="Arial" w:eastAsia="Arial" w:hAnsi="Arial"/>
          <w:sz w:val="20"/>
          <w:szCs w:val="20"/>
          <w:color w:val="221E1F"/>
        </w:rPr>
        <w:t>The pro-rata PSUs will</w:t>
      </w:r>
      <w:r>
        <w:rPr>
          <w:rFonts w:ascii="Arial" w:cs="Arial" w:eastAsia="Arial" w:hAnsi="Arial"/>
          <w:sz w:val="20"/>
          <w:szCs w:val="20"/>
          <w:color w:val="auto"/>
        </w:rPr>
        <w:t xml:space="preserve"> </w:t>
      </w:r>
      <w:r>
        <w:rPr>
          <w:rFonts w:ascii="Arial" w:cs="Arial" w:eastAsia="Arial" w:hAnsi="Arial"/>
          <w:sz w:val="20"/>
          <w:szCs w:val="20"/>
          <w:color w:val="221E1F"/>
        </w:rPr>
        <w:t xml:space="preserve">remain outstanding and eligible to vest on the originally scheduled vest date, following the Compensation Committee’s certification of performance results, per the terms of the Award. </w:t>
      </w:r>
      <w:r>
        <w:rPr>
          <w:rFonts w:ascii="Arial" w:cs="Arial" w:eastAsia="Arial" w:hAnsi="Arial"/>
          <w:sz w:val="20"/>
          <w:szCs w:val="20"/>
          <w:color w:val="000000"/>
        </w:rPr>
        <w:t>PSUs not deemed eligible to vest under this pro-rata vesting</w:t>
      </w:r>
      <w:r>
        <w:rPr>
          <w:rFonts w:ascii="Arial" w:cs="Arial" w:eastAsia="Arial" w:hAnsi="Arial"/>
          <w:sz w:val="20"/>
          <w:szCs w:val="20"/>
          <w:color w:val="221E1F"/>
        </w:rPr>
        <w:t xml:space="preserve"> </w:t>
      </w:r>
      <w:r>
        <w:rPr>
          <w:rFonts w:ascii="Arial" w:cs="Arial" w:eastAsia="Arial" w:hAnsi="Arial"/>
          <w:sz w:val="20"/>
          <w:szCs w:val="20"/>
          <w:color w:val="000000"/>
        </w:rPr>
        <w:t>formula will be forfeited as of the Termination Date.</w:t>
      </w:r>
    </w:p>
    <w:p>
      <w:pPr>
        <w:spacing w:after="0" w:line="233"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Absences from employment because of notice periods, garden leaves, or similar paid leaves associated with a Termination of Service will not be recognized as service in determining the pro-rata vesting percentage.</w:t>
      </w:r>
    </w:p>
    <w:p>
      <w:pPr>
        <w:spacing w:after="0" w:line="231" w:lineRule="exact"/>
        <w:rPr>
          <w:sz w:val="20"/>
          <w:szCs w:val="20"/>
          <w:color w:val="auto"/>
        </w:rPr>
      </w:pPr>
    </w:p>
    <w:p>
      <w:pPr>
        <w:ind w:right="980"/>
        <w:spacing w:after="0" w:line="246" w:lineRule="auto"/>
        <w:rPr>
          <w:sz w:val="20"/>
          <w:szCs w:val="20"/>
          <w:color w:val="auto"/>
        </w:rPr>
      </w:pPr>
      <w:r>
        <w:rPr>
          <w:rFonts w:ascii="Arial" w:cs="Arial" w:eastAsia="Arial" w:hAnsi="Arial"/>
          <w:sz w:val="20"/>
          <w:szCs w:val="20"/>
          <w:color w:val="221E1F"/>
        </w:rPr>
        <w:t xml:space="preserve">Pro-rata vesting eligibility will occur for involuntary terminations resulting from </w:t>
      </w:r>
      <w:r>
        <w:rPr>
          <w:rFonts w:ascii="Arial" w:cs="Arial" w:eastAsia="Arial" w:hAnsi="Arial"/>
          <w:sz w:val="20"/>
          <w:szCs w:val="20"/>
          <w:color w:val="000000"/>
        </w:rPr>
        <w:t>workforce reductions, location closings,</w:t>
      </w:r>
      <w:r>
        <w:rPr>
          <w:rFonts w:ascii="Arial" w:cs="Arial" w:eastAsia="Arial" w:hAnsi="Arial"/>
          <w:sz w:val="20"/>
          <w:szCs w:val="20"/>
          <w:color w:val="221E1F"/>
        </w:rPr>
        <w:t xml:space="preserve"> </w:t>
      </w:r>
      <w:r>
        <w:rPr>
          <w:rFonts w:ascii="Arial" w:cs="Arial" w:eastAsia="Arial" w:hAnsi="Arial"/>
          <w:sz w:val="20"/>
          <w:szCs w:val="20"/>
          <w:color w:val="000000"/>
        </w:rPr>
        <w:t>restructurings, layoffs, or similar events, as determined by the Committee.</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Retirement eligible Participants will be eligible to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spacing w:after="0" w:line="168"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is not entitled to pro-rata vesting and will forfeit all unvested PSUs.</w:t>
      </w:r>
    </w:p>
    <w:p>
      <w:pPr>
        <w:spacing w:after="0" w:line="155" w:lineRule="exact"/>
        <w:rPr>
          <w:sz w:val="20"/>
          <w:szCs w:val="20"/>
          <w:color w:val="auto"/>
        </w:rPr>
      </w:pPr>
    </w:p>
    <w:p>
      <w:pPr>
        <w:ind w:right="460"/>
        <w:spacing w:after="0" w:line="226"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unvested PSUs will not be forfeited while a Participant</w:t>
      </w:r>
      <w:r>
        <w:rPr>
          <w:rFonts w:ascii="Arial" w:cs="Arial" w:eastAsia="Arial" w:hAnsi="Arial"/>
          <w:sz w:val="20"/>
          <w:szCs w:val="20"/>
          <w:b w:val="1"/>
          <w:bCs w:val="1"/>
          <w:color w:val="221E1F"/>
        </w:rPr>
        <w:t xml:space="preserve"> </w:t>
      </w:r>
      <w:r>
        <w:rPr>
          <w:rFonts w:ascii="Arial" w:cs="Arial" w:eastAsia="Arial" w:hAnsi="Arial"/>
          <w:sz w:val="20"/>
          <w:szCs w:val="20"/>
          <w:color w:val="221E1F"/>
        </w:rPr>
        <w:t>remains disabled under a Company-sponsored long-term disability plan. Unvested PSUs will remain eligible to vest on the earlier of (1) the vesting date specified in the Award Agreement; or (2) 29 months following the date a Participant incurs a Disability.</w:t>
      </w:r>
    </w:p>
    <w:p>
      <w:pPr>
        <w:spacing w:after="0" w:line="160" w:lineRule="exact"/>
        <w:rPr>
          <w:sz w:val="20"/>
          <w:szCs w:val="20"/>
          <w:color w:val="auto"/>
        </w:rPr>
      </w:pPr>
    </w:p>
    <w:p>
      <w:pPr>
        <w:ind w:right="240"/>
        <w:spacing w:after="0" w:line="231"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PSUs will vest as of the date of death</w:t>
      </w:r>
      <w:r>
        <w:rPr>
          <w:rFonts w:ascii="Arial" w:cs="Arial" w:eastAsia="Arial" w:hAnsi="Arial"/>
          <w:sz w:val="20"/>
          <w:szCs w:val="20"/>
          <w:b w:val="1"/>
          <w:bCs w:val="1"/>
          <w:color w:val="221E1F"/>
        </w:rPr>
        <w:t xml:space="preserve"> </w:t>
      </w:r>
      <w:r>
        <w:rPr>
          <w:rFonts w:ascii="Arial" w:cs="Arial" w:eastAsia="Arial" w:hAnsi="Arial"/>
          <w:sz w:val="20"/>
          <w:szCs w:val="20"/>
          <w:color w:val="221E1F"/>
        </w:rPr>
        <w:t>and be converted (at target performance) to shares of Common Stock to be delivered to the Participant’s estate, net of taxes (where applicable), as soon as administratively practicable.</w:t>
      </w:r>
    </w:p>
    <w:p>
      <w:pPr>
        <w:spacing w:after="0" w:line="173" w:lineRule="exact"/>
        <w:rPr>
          <w:sz w:val="20"/>
          <w:szCs w:val="20"/>
          <w:color w:val="auto"/>
        </w:rPr>
      </w:pPr>
    </w:p>
    <w:p>
      <w:pPr>
        <w:ind w:right="580"/>
        <w:spacing w:after="0" w:line="250" w:lineRule="auto"/>
        <w:rPr>
          <w:sz w:val="20"/>
          <w:szCs w:val="20"/>
          <w:color w:val="auto"/>
        </w:rPr>
      </w:pPr>
      <w:r>
        <w:rPr>
          <w:rFonts w:ascii="Arial" w:cs="Arial" w:eastAsia="Arial" w:hAnsi="Arial"/>
          <w:sz w:val="20"/>
          <w:szCs w:val="20"/>
          <w:b w:val="1"/>
          <w:bCs w:val="1"/>
          <w:color w:val="221E1F"/>
        </w:rPr>
        <w:t xml:space="preserve">Change-in-Control Termination. </w:t>
      </w:r>
      <w:r>
        <w:rPr>
          <w:rFonts w:ascii="Arial" w:cs="Arial" w:eastAsia="Arial" w:hAnsi="Arial"/>
          <w:sz w:val="20"/>
          <w:szCs w:val="20"/>
          <w:color w:val="000000"/>
        </w:rPr>
        <w:t>If a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000000"/>
        </w:rPr>
        <w:t>reasons other than for Cause, or due to the Participant’s voluntary termination for “Good Reason”, in each case, within 24 months following a Change-in-Control in accordance with Section 10(d) of the LTIP (such Termination of Service, a “CIC Termination”), then all PSUs will vest at the greater of: (1) the applicable target level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394" w:right="339" w:bottom="1440" w:gutter="0" w:footer="0" w:header="0"/>
        </w:sectPr>
      </w:pPr>
    </w:p>
    <w:bookmarkStart w:id="88" w:name="page89"/>
    <w:bookmarkEnd w:id="88"/>
    <w:p>
      <w:pPr>
        <w:ind w:right="100"/>
        <w:spacing w:after="0" w:line="241" w:lineRule="auto"/>
        <w:rPr>
          <w:sz w:val="20"/>
          <w:szCs w:val="20"/>
          <w:color w:val="auto"/>
        </w:rPr>
      </w:pPr>
      <w:r>
        <w:rPr>
          <w:rFonts w:ascii="Arial" w:cs="Arial" w:eastAsia="Arial" w:hAnsi="Arial"/>
          <w:sz w:val="20"/>
          <w:szCs w:val="20"/>
          <w:color w:val="auto"/>
        </w:rPr>
        <w:t>performance as of the Termination Date; or (2) 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 and be converted into shares of Common Stock (or cash) to be delivered to the Participant as soon as administratively practicable after the Termination Date, subject to the six-month delay noted below under “Specified Employees,” if applicable.</w:t>
      </w:r>
    </w:p>
    <w:p>
      <w:pPr>
        <w:spacing w:after="0" w:line="198" w:lineRule="exact"/>
        <w:rPr>
          <w:sz w:val="20"/>
          <w:szCs w:val="20"/>
          <w:color w:val="auto"/>
        </w:rPr>
      </w:pPr>
    </w:p>
    <w:p>
      <w:pPr>
        <w:ind w:right="40"/>
        <w:spacing w:after="0" w:line="220" w:lineRule="auto"/>
        <w:rPr>
          <w:sz w:val="20"/>
          <w:szCs w:val="20"/>
          <w:color w:val="auto"/>
        </w:rPr>
      </w:pPr>
      <w:r>
        <w:rPr>
          <w:rFonts w:ascii="Arial" w:cs="Arial" w:eastAsia="Arial" w:hAnsi="Arial"/>
          <w:sz w:val="20"/>
          <w:szCs w:val="20"/>
          <w:b w:val="1"/>
          <w:bCs w:val="1"/>
          <w:color w:val="221E1F"/>
        </w:rPr>
        <w:t xml:space="preserve">Specified Employees. </w:t>
      </w:r>
      <w:r>
        <w:rPr>
          <w:rFonts w:ascii="Arial" w:cs="Arial" w:eastAsia="Arial" w:hAnsi="Arial"/>
          <w:sz w:val="20"/>
          <w:szCs w:val="20"/>
          <w:color w:val="221E1F"/>
        </w:rPr>
        <w:t>If a Participant is a “specified employee” within the meaning of Section 409A of the Code (i.e., generally</w:t>
      </w:r>
      <w:r>
        <w:rPr>
          <w:rFonts w:ascii="Arial" w:cs="Arial" w:eastAsia="Arial" w:hAnsi="Arial"/>
          <w:sz w:val="20"/>
          <w:szCs w:val="20"/>
          <w:b w:val="1"/>
          <w:bCs w:val="1"/>
          <w:color w:val="221E1F"/>
        </w:rPr>
        <w:t xml:space="preserve"> </w:t>
      </w:r>
      <w:r>
        <w:rPr>
          <w:rFonts w:ascii="Arial" w:cs="Arial" w:eastAsia="Arial" w:hAnsi="Arial"/>
          <w:sz w:val="20"/>
          <w:szCs w:val="20"/>
          <w:color w:val="221E1F"/>
        </w:rPr>
        <w:t>the fifty highest paid employees, as determined by the Company) at the time of the Participant’s Termination of Service, and PSUs are accelerated and will vest by reason of such Participant’s Termination of Service (e.g., Change-in-Control Termination), then, to the extent necessary to avoid the application of any additional tax or penalty under IRC Section 409A and consistent with the terms of the Plan, PSUs will be held in the Participant’s UBS account and will vest on the first day of the seventh month following the Participant’s Termination Date. Upon vest, PSUs will convert into an equal number of shares of Common Stock (or cash). The value of the PSUs will be determined as of the vest date.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13" w:lineRule="exact"/>
        <w:rPr>
          <w:sz w:val="20"/>
          <w:szCs w:val="20"/>
          <w:color w:val="auto"/>
        </w:rPr>
      </w:pPr>
    </w:p>
    <w:p>
      <w:pPr>
        <w:ind w:right="160"/>
        <w:spacing w:after="0" w:line="220" w:lineRule="auto"/>
        <w:rPr>
          <w:sz w:val="20"/>
          <w:szCs w:val="20"/>
          <w:color w:val="auto"/>
        </w:rPr>
      </w:pPr>
      <w:r>
        <w:rPr>
          <w:rFonts w:ascii="Arial" w:cs="Arial" w:eastAsia="Arial" w:hAnsi="Arial"/>
          <w:sz w:val="20"/>
          <w:szCs w:val="20"/>
          <w:color w:val="221E1F"/>
        </w:rPr>
        <w:t xml:space="preserve">PSU Awards, including common stock delivered for vested PSUs, are subject to the Raytheon Technologies Corporation Clawback Policy, as amended from time to time, available at </w:t>
      </w:r>
      <w:r>
        <w:rPr>
          <w:rFonts w:ascii="Arial" w:cs="Arial" w:eastAsia="Arial" w:hAnsi="Arial"/>
          <w:sz w:val="20"/>
          <w:szCs w:val="20"/>
          <w:u w:val="single" w:color="auto"/>
          <w:color w:val="0000FF"/>
        </w:rPr>
        <w:t>www.rtx.com</w:t>
      </w:r>
      <w:r>
        <w:rPr>
          <w:rFonts w:ascii="Arial" w:cs="Arial" w:eastAsia="Arial" w:hAnsi="Arial"/>
          <w:sz w:val="20"/>
          <w:szCs w:val="20"/>
          <w:color w:val="221E1F"/>
        </w:rPr>
        <w:t>. PSUs will be immediately forfeited and a Participant will be obligated to repay to the Company the value realized from previously vested PSUs upon the occurrence of any of the following events:</w:t>
      </w:r>
    </w:p>
    <w:p>
      <w:pPr>
        <w:spacing w:after="0" w:line="196"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215" w:lineRule="exact"/>
        <w:rPr>
          <w:rFonts w:ascii="Arial" w:cs="Arial" w:eastAsia="Arial" w:hAnsi="Arial"/>
          <w:sz w:val="20"/>
          <w:szCs w:val="20"/>
          <w:color w:val="auto"/>
        </w:rPr>
      </w:pPr>
    </w:p>
    <w:p>
      <w:pPr>
        <w:ind w:left="660" w:right="180" w:hanging="328"/>
        <w:spacing w:after="0" w:line="246" w:lineRule="auto"/>
        <w:tabs>
          <w:tab w:leader="none" w:pos="65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Committee determines that Award vesting was based on incorrect performance measurement calculations. In such event, vesting (and recoupment, if applicable) will be adjusted consistent with the actual corrected results;</w:t>
      </w:r>
    </w:p>
    <w:p>
      <w:pPr>
        <w:spacing w:after="0" w:line="203" w:lineRule="exact"/>
        <w:rPr>
          <w:rFonts w:ascii="Arial" w:cs="Arial" w:eastAsia="Arial" w:hAnsi="Arial"/>
          <w:sz w:val="20"/>
          <w:szCs w:val="20"/>
          <w:color w:val="auto"/>
        </w:rPr>
      </w:pPr>
    </w:p>
    <w:p>
      <w:pPr>
        <w:ind w:left="660" w:right="140" w:hanging="328"/>
        <w:spacing w:after="0" w:line="246" w:lineRule="auto"/>
        <w:tabs>
          <w:tab w:leader="none" w:pos="653" w:val="left"/>
        </w:tabs>
        <w:numPr>
          <w:ilvl w:val="0"/>
          <w:numId w:val="53"/>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Within twenty-four months following a Participant’s Termination Date, the Participant:</w:t>
      </w:r>
    </w:p>
    <w:p>
      <w:pPr>
        <w:spacing w:after="0" w:line="215" w:lineRule="exact"/>
        <w:rPr>
          <w:rFonts w:ascii="Arial" w:cs="Arial" w:eastAsia="Arial" w:hAnsi="Arial"/>
          <w:sz w:val="20"/>
          <w:szCs w:val="20"/>
          <w:color w:val="auto"/>
        </w:rPr>
      </w:pPr>
    </w:p>
    <w:p>
      <w:pPr>
        <w:ind w:left="1300" w:right="700" w:hanging="320"/>
        <w:spacing w:after="0" w:line="246" w:lineRule="auto"/>
        <w:tabs>
          <w:tab w:leader="none" w:pos="1294" w:val="left"/>
        </w:tabs>
        <w:numPr>
          <w:ilvl w:val="1"/>
          <w:numId w:val="53"/>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203" w:lineRule="exact"/>
        <w:rPr>
          <w:rFonts w:ascii="Arial" w:cs="Arial" w:eastAsia="Arial" w:hAnsi="Arial"/>
          <w:sz w:val="20"/>
          <w:szCs w:val="20"/>
          <w:color w:val="auto"/>
        </w:rPr>
      </w:pPr>
    </w:p>
    <w:p>
      <w:pPr>
        <w:ind w:left="1300" w:right="100" w:hanging="320"/>
        <w:spacing w:after="0" w:line="246" w:lineRule="auto"/>
        <w:tabs>
          <w:tab w:leader="none" w:pos="1294" w:val="left"/>
        </w:tabs>
        <w:numPr>
          <w:ilvl w:val="1"/>
          <w:numId w:val="53"/>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203" w:lineRule="exact"/>
        <w:rPr>
          <w:rFonts w:ascii="Arial" w:cs="Arial" w:eastAsia="Arial" w:hAnsi="Arial"/>
          <w:sz w:val="20"/>
          <w:szCs w:val="20"/>
          <w:color w:val="auto"/>
        </w:rPr>
      </w:pPr>
    </w:p>
    <w:p>
      <w:pPr>
        <w:ind w:left="660" w:right="600" w:hanging="328"/>
        <w:spacing w:after="0" w:line="243" w:lineRule="auto"/>
        <w:tabs>
          <w:tab w:leader="none" w:pos="651" w:val="left"/>
        </w:tabs>
        <w:numPr>
          <w:ilvl w:val="0"/>
          <w:numId w:val="53"/>
        </w:numPr>
        <w:rPr>
          <w:rFonts w:ascii="Arial" w:cs="Arial" w:eastAsia="Arial" w:hAnsi="Arial"/>
          <w:sz w:val="20"/>
          <w:szCs w:val="20"/>
          <w:color w:val="auto"/>
        </w:rPr>
      </w:pPr>
      <w:r>
        <w:rPr>
          <w:rFonts w:ascii="Arial" w:cs="Arial" w:eastAsia="Arial" w:hAnsi="Arial"/>
          <w:sz w:val="20"/>
          <w:szCs w:val="20"/>
          <w:color w:val="auto"/>
        </w:rPr>
        <w:t>At any time during the twelve-month period following a Participant’s Termination Date: (i) the Participant becomes employed by, consults for, or otherwise renders services to any business entity or person engaged in activities that compete with the Corporation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32" w:right="339" w:bottom="1440" w:gutter="0" w:footer="0" w:header="0"/>
        </w:sectPr>
      </w:pPr>
    </w:p>
    <w:bookmarkStart w:id="89" w:name="page90"/>
    <w:bookmarkEnd w:id="89"/>
    <w:p>
      <w:pPr>
        <w:ind w:left="660" w:right="40"/>
        <w:spacing w:after="0"/>
        <w:rPr>
          <w:sz w:val="20"/>
          <w:szCs w:val="20"/>
          <w:color w:val="auto"/>
        </w:rPr>
      </w:pPr>
      <w:r>
        <w:rPr>
          <w:rFonts w:ascii="Arial" w:cs="Arial" w:eastAsia="Arial" w:hAnsi="Arial"/>
          <w:sz w:val="20"/>
          <w:szCs w:val="20"/>
          <w:color w:val="auto"/>
        </w:rPr>
        <w:t>business unit that employed the Participant; or (ii)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13" w:lineRule="exact"/>
        <w:rPr>
          <w:sz w:val="20"/>
          <w:szCs w:val="20"/>
          <w:color w:val="auto"/>
        </w:rPr>
      </w:pPr>
    </w:p>
    <w:p>
      <w:pPr>
        <w:ind w:left="660" w:right="300" w:hanging="328"/>
        <w:spacing w:after="0" w:line="246" w:lineRule="auto"/>
        <w:tabs>
          <w:tab w:leader="none" w:pos="709" w:val="left"/>
        </w:tabs>
        <w:numPr>
          <w:ilvl w:val="0"/>
          <w:numId w:val="54"/>
        </w:numPr>
        <w:rPr>
          <w:rFonts w:ascii="Arial" w:cs="Arial" w:eastAsia="Arial" w:hAnsi="Arial"/>
          <w:sz w:val="20"/>
          <w:szCs w:val="20"/>
          <w:color w:val="auto"/>
        </w:rPr>
      </w:pPr>
      <w:r>
        <w:rPr>
          <w:rFonts w:ascii="Arial" w:cs="Arial" w:eastAsia="Arial" w:hAnsi="Arial"/>
          <w:sz w:val="20"/>
          <w:szCs w:val="20"/>
          <w:color w:val="auto"/>
        </w:rPr>
        <w:t>Negligent conduct injurious to the Company, including negligent supervision of a subordinate whose action requires a restatement of financial results, or other significant harm to the Company as determined by the Committee.</w:t>
      </w:r>
    </w:p>
    <w:p>
      <w:pPr>
        <w:spacing w:after="0" w:line="190" w:lineRule="exact"/>
        <w:rPr>
          <w:sz w:val="20"/>
          <w:szCs w:val="20"/>
          <w:color w:val="auto"/>
        </w:rPr>
      </w:pPr>
    </w:p>
    <w:p>
      <w:pPr>
        <w:ind w:right="300"/>
        <w:spacing w:after="0" w:line="223" w:lineRule="auto"/>
        <w:rPr>
          <w:sz w:val="20"/>
          <w:szCs w:val="20"/>
          <w:color w:val="auto"/>
        </w:rPr>
      </w:pPr>
      <w:r>
        <w:rPr>
          <w:rFonts w:ascii="Arial" w:cs="Arial" w:eastAsia="Arial" w:hAnsi="Arial"/>
          <w:sz w:val="20"/>
          <w:szCs w:val="20"/>
          <w:color w:val="221E1F"/>
        </w:rPr>
        <w:t>In addition, the Committee reserves the right to require repayment of all or any portion of a PSU Award under item (iv) above, without regard to whether a restatement is attributable to the Participant’s actions, as appropriate and determined at the Committee’s sole discretion.</w:t>
      </w:r>
    </w:p>
    <w:p>
      <w:pPr>
        <w:spacing w:after="0" w:line="209" w:lineRule="exact"/>
        <w:rPr>
          <w:sz w:val="20"/>
          <w:szCs w:val="20"/>
          <w:color w:val="auto"/>
        </w:rPr>
      </w:pPr>
    </w:p>
    <w:p>
      <w:pPr>
        <w:ind w:right="200"/>
        <w:spacing w:after="0" w:line="216" w:lineRule="auto"/>
        <w:rPr>
          <w:sz w:val="20"/>
          <w:szCs w:val="20"/>
          <w:color w:val="auto"/>
        </w:rPr>
      </w:pPr>
      <w:r>
        <w:rPr>
          <w:rFonts w:ascii="Arial" w:cs="Arial" w:eastAsia="Arial" w:hAnsi="Arial"/>
          <w:sz w:val="20"/>
          <w:szCs w:val="20"/>
          <w:color w:val="221E1F"/>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 and</w:t>
      </w:r>
      <w:r>
        <w:rPr>
          <w:rFonts w:ascii="Arial" w:cs="Arial" w:eastAsia="Arial" w:hAnsi="Arial"/>
          <w:sz w:val="20"/>
          <w:szCs w:val="20"/>
          <w:color w:val="0000FF"/>
        </w:rPr>
        <w:t xml:space="preserve"> </w:t>
      </w:r>
      <w:r>
        <w:rPr>
          <w:rFonts w:ascii="Arial" w:cs="Arial" w:eastAsia="Arial" w:hAnsi="Arial"/>
          <w:sz w:val="20"/>
          <w:szCs w:val="20"/>
          <w:color w:val="221E1F"/>
        </w:rPr>
        <w:t>the Raytheon Technologies Corporation Clawback Policy, available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0"/>
          <w:szCs w:val="20"/>
          <w:color w:val="221E1F"/>
        </w:rPr>
        <w: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Adjustments</w:t>
      </w:r>
    </w:p>
    <w:p>
      <w:pPr>
        <w:spacing w:after="0" w:line="213" w:lineRule="exact"/>
        <w:rPr>
          <w:sz w:val="20"/>
          <w:szCs w:val="20"/>
          <w:color w:val="auto"/>
        </w:rPr>
      </w:pPr>
    </w:p>
    <w:p>
      <w:pPr>
        <w:jc w:val="both"/>
        <w:ind w:right="400"/>
        <w:spacing w:after="0" w:line="235"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PSU Awards may be adjusted as determined by the Committee, in its sole discretion.</w:t>
      </w:r>
    </w:p>
    <w:p>
      <w:pPr>
        <w:spacing w:after="0" w:line="182" w:lineRule="exact"/>
        <w:rPr>
          <w:sz w:val="20"/>
          <w:szCs w:val="20"/>
          <w:color w:val="auto"/>
        </w:rPr>
      </w:pPr>
    </w:p>
    <w:p>
      <w:pPr>
        <w:ind w:right="2400"/>
        <w:spacing w:after="0" w:line="229"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26"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221E1F"/>
        </w:rPr>
        <w:t>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or Performance Goals, as the Committee may deem appropriate. Further details concerning Change-in-Control are set forth in Section 10 of the LTIP, available at</w:t>
      </w: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32" w:right="339" w:bottom="1440" w:gutter="0" w:footer="0" w:header="0"/>
        </w:sectPr>
      </w:pPr>
    </w:p>
    <w:bookmarkStart w:id="90" w:name="page91"/>
    <w:bookmarkEnd w:id="90"/>
    <w:p>
      <w:pPr>
        <w:ind w:right="380"/>
        <w:spacing w:after="0" w:line="257" w:lineRule="auto"/>
        <w:rPr>
          <w:sz w:val="20"/>
          <w:szCs w:val="20"/>
          <w:color w:val="auto"/>
        </w:rPr>
      </w:pPr>
      <w:r>
        <w:rPr>
          <w:rFonts w:ascii="Arial" w:cs="Arial" w:eastAsia="Arial" w:hAnsi="Arial"/>
          <w:sz w:val="19"/>
          <w:szCs w:val="19"/>
          <w:color w:val="221E1F"/>
        </w:rPr>
        <w:t>PSU Awards do not in any way affect the right of the Corporation or its shareowners to effect: (a) any adjustments, recapitalizations, reorganizations or other changes in the Corporation’s capital or business structure; (b) any merger or consolidation of the Corporation; (c) any issue of bonds, debentures, shares 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Taxes / Withholding</w:t>
      </w:r>
    </w:p>
    <w:p>
      <w:pPr>
        <w:spacing w:after="0" w:line="267" w:lineRule="exact"/>
        <w:rPr>
          <w:sz w:val="20"/>
          <w:szCs w:val="20"/>
          <w:color w:val="auto"/>
        </w:rPr>
      </w:pPr>
    </w:p>
    <w:p>
      <w:pPr>
        <w:spacing w:after="0" w:line="239"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PSUs. The provisions of Section 14(d) (Required Taxes) of the LTIP apply to this Award. The Company shall have the right to deduct directly from any payment or delivery of shares due to a Participant or from Participant’s regular compensation to effect compliance with all Tax-Related Items, including withholding and reporting with respect to the vesting of any PSU. Acceptance of an Award constitutes affirmative consent by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 jurisdiction between the date of</w:t>
      </w:r>
      <w:r>
        <w:rPr>
          <w:rFonts w:ascii="Arial" w:cs="Arial" w:eastAsia="Arial" w:hAnsi="Arial"/>
          <w:sz w:val="20"/>
          <w:szCs w:val="20"/>
          <w:color w:val="221E1F"/>
        </w:rPr>
        <w:t xml:space="preserve"> </w:t>
      </w:r>
      <w:r>
        <w:rPr>
          <w:rFonts w:ascii="Arial" w:cs="Arial" w:eastAsia="Arial" w:hAnsi="Arial"/>
          <w:sz w:val="20"/>
          <w:szCs w:val="20"/>
          <w:color w:val="211F1F"/>
        </w:rPr>
        <w:t xml:space="preserve">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 there is no withholding on account of such</w:t>
      </w:r>
      <w:r>
        <w:rPr>
          <w:rFonts w:ascii="Arial" w:cs="Arial" w:eastAsia="Arial" w:hAnsi="Arial"/>
          <w:sz w:val="20"/>
          <w:szCs w:val="20"/>
          <w:color w:val="211F1F"/>
        </w:rPr>
        <w:t xml:space="preserve"> </w:t>
      </w:r>
      <w:r>
        <w:rPr>
          <w:rFonts w:ascii="Arial" w:cs="Arial" w:eastAsia="Arial" w:hAnsi="Arial"/>
          <w:sz w:val="20"/>
          <w:szCs w:val="20"/>
          <w:color w:val="221E1F"/>
        </w:rPr>
        <w:t>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the Participant fails to comply with his or her obligations in connection with Tax-Related Items.</w:t>
      </w:r>
    </w:p>
    <w:p>
      <w:pPr>
        <w:spacing w:after="0" w:line="251"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221E1F"/>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the vesting of the PSU Award, the Company shall satisfy the withholding obligation by deducting from Participant’s regular compensation through payroll withholding; and (ii) with respect to any other Tax-Related Items, the Company shall satisfy the withholding obligation by withholding shares of Common Stock subject to the PSU Award having a Fair Market Value on the date of withholding equal to the amount required to be withheld for tax purposes (calculated using the minimum statutory withholding rate, except as otherwise approved by the Committee). Provided for both items (i) and</w:t>
      </w:r>
    </w:p>
    <w:p>
      <w:pPr>
        <w:spacing w:after="0" w:line="1" w:lineRule="exact"/>
        <w:rPr>
          <w:sz w:val="20"/>
          <w:szCs w:val="20"/>
          <w:color w:val="auto"/>
        </w:rPr>
      </w:pPr>
    </w:p>
    <w:p>
      <w:pPr>
        <w:ind w:right="120" w:firstLine="8"/>
        <w:spacing w:after="0" w:line="243" w:lineRule="auto"/>
        <w:tabs>
          <w:tab w:leader="none" w:pos="275" w:val="left"/>
        </w:tabs>
        <w:numPr>
          <w:ilvl w:val="0"/>
          <w:numId w:val="55"/>
        </w:numPr>
        <w:rPr>
          <w:rFonts w:ascii="Arial" w:cs="Arial" w:eastAsia="Arial" w:hAnsi="Arial"/>
          <w:sz w:val="20"/>
          <w:szCs w:val="20"/>
          <w:color w:val="221E1F"/>
        </w:rPr>
      </w:pPr>
      <w:r>
        <w:rPr>
          <w:rFonts w:ascii="Arial" w:cs="Arial" w:eastAsia="Arial" w:hAnsi="Arial"/>
          <w:sz w:val="20"/>
          <w:szCs w:val="20"/>
          <w:color w:val="221E1F"/>
        </w:rPr>
        <w:t>above, t</w:t>
      </w:r>
      <w:r>
        <w:rPr>
          <w:rFonts w:ascii="Arial" w:cs="Arial" w:eastAsia="Arial" w:hAnsi="Arial"/>
          <w:sz w:val="20"/>
          <w:szCs w:val="20"/>
          <w:color w:val="000000"/>
        </w:rPr>
        <w:t>he Committee retains the right to determine an alternative method of withholding for the Participant, at its sole</w:t>
      </w:r>
      <w:r>
        <w:rPr>
          <w:rFonts w:ascii="Arial" w:cs="Arial" w:eastAsia="Arial" w:hAnsi="Arial"/>
          <w:sz w:val="20"/>
          <w:szCs w:val="20"/>
          <w:color w:val="221E1F"/>
        </w:rPr>
        <w:t xml:space="preserve"> </w:t>
      </w:r>
      <w:r>
        <w:rPr>
          <w:rFonts w:ascii="Arial" w:cs="Arial" w:eastAsia="Arial" w:hAnsi="Arial"/>
          <w:sz w:val="20"/>
          <w:szCs w:val="20"/>
          <w:color w:val="000000"/>
        </w:rPr>
        <w:t>discretion, provided in all cases, such determination shall be made by the Committee prior to the Tax-Related Items withholding event.</w:t>
      </w:r>
    </w:p>
    <w:p>
      <w:pPr>
        <w:spacing w:after="0" w:line="233"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 xml:space="preserve">Important information about the U.S. Federal income tax consequences of LTIP Awards can be found in the LTIP Prospectus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32" w:right="339" w:bottom="1440" w:gutter="0" w:footer="0" w:header="0"/>
        </w:sectPr>
      </w:pPr>
    </w:p>
    <w:bookmarkStart w:id="91" w:name="page92"/>
    <w:bookmarkEnd w:id="91"/>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Deferral of Gain (U.S. based executives)</w:t>
      </w:r>
    </w:p>
    <w:p>
      <w:pPr>
        <w:spacing w:after="0" w:line="213" w:lineRule="exact"/>
        <w:rPr>
          <w:sz w:val="20"/>
          <w:szCs w:val="20"/>
          <w:color w:val="auto"/>
        </w:rPr>
      </w:pPr>
    </w:p>
    <w:p>
      <w:pPr>
        <w:ind w:right="20"/>
        <w:spacing w:after="0" w:line="214" w:lineRule="auto"/>
        <w:rPr>
          <w:sz w:val="20"/>
          <w:szCs w:val="20"/>
          <w:color w:val="auto"/>
        </w:rPr>
      </w:pPr>
      <w:r>
        <w:rPr>
          <w:rFonts w:ascii="Arial" w:cs="Arial" w:eastAsia="Arial" w:hAnsi="Arial"/>
          <w:sz w:val="20"/>
          <w:szCs w:val="20"/>
          <w:color w:val="221E1F"/>
        </w:rPr>
        <w:t>A Participant who is qualified to participate in the Company’s LTIP PSU Deferral Plan may irrevocably elect to defer the conversion of vested PSUs into shares of Common Stock to a date that is at least five years after the scheduled vesting date. The election to defer the conversion of shares must be made no later than the end of the second year of the performance measurement period, or such earlier date as may be specified by the Committee. Vested PSUs subject to a deferral election will be converted to unfunded deferred share units that will convert into shares of Common Stock on the distribution date as specified in the deferral election and the LTIP PSU Deferral Plan. Deferred share units will be credited with dividend equivalents. Under U.S. income tax law, a Participant will generally not be taxed until the resulting deferred share units are converted to shares of Common Stock and distributed. Deferred share units will not be funded by the Company. In this regard, a Participant’s rights to deferred share units are those of a general unsecured creditor of the Company. Details of the deferral of PSUs into deferred share units will be provided with the election materials. The opportunity to make such an election is subject to changes in Federal tax law. The Committee reserves the right to discontinue offering PSU deferral elections at any time for any reason it deems appropriate in its sole discretion.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13"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221E1F"/>
        </w:rPr>
        <w:t>Unless otherwise approved by the Committee or its delegate, no assignment or transfer of any right or interest of a Participant in any PSU Award, whether voluntary or involuntary, by operation of law or otherwise, is permitted except by will or the laws of descent and distribution. Any other attempt to assign such rights or interest shall be void and without force or effect.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Nature of Payments</w:t>
      </w:r>
    </w:p>
    <w:p>
      <w:pPr>
        <w:spacing w:after="0" w:line="213" w:lineRule="exact"/>
        <w:rPr>
          <w:sz w:val="20"/>
          <w:szCs w:val="20"/>
          <w:color w:val="auto"/>
        </w:rPr>
      </w:pPr>
    </w:p>
    <w:p>
      <w:pPr>
        <w:jc w:val="both"/>
        <w:ind w:right="80"/>
        <w:spacing w:after="0" w:line="220"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13" w:lineRule="exact"/>
        <w:rPr>
          <w:sz w:val="20"/>
          <w:szCs w:val="20"/>
          <w:color w:val="auto"/>
        </w:rPr>
      </w:pPr>
    </w:p>
    <w:p>
      <w:pPr>
        <w:jc w:val="both"/>
        <w:ind w:right="40"/>
        <w:spacing w:after="0" w:line="223" w:lineRule="auto"/>
        <w:rPr>
          <w:sz w:val="20"/>
          <w:szCs w:val="20"/>
          <w:color w:val="auto"/>
        </w:rPr>
      </w:pPr>
      <w:r>
        <w:rPr>
          <w:rFonts w:ascii="Arial" w:cs="Arial" w:eastAsia="Arial" w:hAnsi="Arial"/>
          <w:sz w:val="20"/>
          <w:szCs w:val="20"/>
          <w:color w:val="211E1F"/>
        </w:rPr>
        <w:t>Nothing in the LTIP or in any PSU Award shall confer upon any Participant the right to continued employment or service for any period of time, or affect any right that the Company may have to terminate the employment of any Participant at any time for any reason.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3" w:lineRule="exact"/>
        <w:rPr>
          <w:sz w:val="20"/>
          <w:szCs w:val="20"/>
          <w:color w:val="auto"/>
        </w:rPr>
      </w:pPr>
    </w:p>
    <w:p>
      <w:pPr>
        <w:ind w:right="60"/>
        <w:spacing w:after="0" w:line="215"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221E1F"/>
        </w:rPr>
        <w:t>on any matter related to an Award shall be binding, final, and conclusive on all parties in interest.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3" w:lineRule="exact"/>
        <w:rPr>
          <w:sz w:val="20"/>
          <w:szCs w:val="20"/>
          <w:color w:val="auto"/>
        </w:rPr>
      </w:pPr>
    </w:p>
    <w:p>
      <w:pPr>
        <w:ind w:right="80"/>
        <w:spacing w:after="0" w:line="216"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 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Company Compliance Policies</w:t>
      </w:r>
    </w:p>
    <w:p>
      <w:pPr>
        <w:spacing w:after="0" w:line="213" w:lineRule="exact"/>
        <w:rPr>
          <w:sz w:val="20"/>
          <w:szCs w:val="20"/>
          <w:color w:val="auto"/>
        </w:rPr>
      </w:pPr>
    </w:p>
    <w:p>
      <w:pPr>
        <w:ind w:right="80"/>
        <w:spacing w:after="0" w:line="223" w:lineRule="auto"/>
        <w:rPr>
          <w:sz w:val="20"/>
          <w:szCs w:val="20"/>
          <w:color w:val="auto"/>
        </w:rPr>
      </w:pPr>
      <w:r>
        <w:rPr>
          <w:rFonts w:ascii="Arial" w:cs="Arial" w:eastAsia="Arial" w:hAnsi="Arial"/>
          <w:sz w:val="20"/>
          <w:szCs w:val="20"/>
          <w:color w:val="221E1F"/>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221E1F"/>
        </w:rPr>
        <w: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13" w:lineRule="exact"/>
        <w:rPr>
          <w:sz w:val="20"/>
          <w:szCs w:val="20"/>
          <w:color w:val="auto"/>
        </w:rPr>
      </w:pPr>
    </w:p>
    <w:p>
      <w:pPr>
        <w:ind w:right="20"/>
        <w:spacing w:after="0" w:line="215" w:lineRule="auto"/>
        <w:rPr>
          <w:sz w:val="20"/>
          <w:szCs w:val="20"/>
          <w:color w:val="auto"/>
        </w:rPr>
      </w:pPr>
      <w:r>
        <w:rPr>
          <w:rFonts w:ascii="Arial" w:cs="Arial" w:eastAsia="Arial" w:hAnsi="Arial"/>
          <w:sz w:val="20"/>
          <w:szCs w:val="20"/>
          <w:color w:val="221E1F"/>
        </w:rPr>
        <w:t xml:space="preserve">This Schedule of Terms provides a summary of terms applicable to the PSU Award. This Schedule of Terms and each Award Agreement are subject in all respects to the terms of the LTIP, which can be located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3"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418" w:right="339" w:bottom="1440" w:gutter="0" w:footer="0" w:header="0"/>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Stock Plan Administrator</w:t>
      </w:r>
    </w:p>
    <w:p>
      <w:pPr>
        <w:ind w:left="660"/>
        <w:spacing w:after="0"/>
        <w:rPr>
          <w:sz w:val="20"/>
          <w:szCs w:val="20"/>
          <w:color w:val="auto"/>
        </w:rPr>
      </w:pPr>
      <w:r>
        <w:rPr>
          <w:rFonts w:ascii="Arial" w:cs="Arial" w:eastAsia="Arial" w:hAnsi="Arial"/>
          <w:sz w:val="20"/>
          <w:szCs w:val="20"/>
          <w:u w:val="single" w:color="auto"/>
          <w:color w:val="0000FF"/>
        </w:rPr>
        <w:t>rtxstockadmin@rtx.com</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Raytheon Technologies Corporation</w:t>
      </w:r>
    </w:p>
    <w:p>
      <w:pPr>
        <w:ind w:left="660"/>
        <w:spacing w:after="0"/>
        <w:rPr>
          <w:sz w:val="20"/>
          <w:szCs w:val="20"/>
          <w:color w:val="auto"/>
        </w:rPr>
      </w:pPr>
      <w:r>
        <w:rPr>
          <w:rFonts w:ascii="Arial" w:cs="Arial" w:eastAsia="Arial" w:hAnsi="Arial"/>
          <w:sz w:val="20"/>
          <w:szCs w:val="20"/>
          <w:color w:val="auto"/>
        </w:rPr>
        <w:t>Attn: Stock Plan Administrator</w:t>
      </w:r>
    </w:p>
    <w:p>
      <w:pPr>
        <w:ind w:left="660"/>
        <w:spacing w:after="0"/>
        <w:rPr>
          <w:sz w:val="20"/>
          <w:szCs w:val="20"/>
          <w:color w:val="auto"/>
        </w:rPr>
      </w:pPr>
      <w:r>
        <w:rPr>
          <w:rFonts w:ascii="Arial" w:cs="Arial" w:eastAsia="Arial" w:hAnsi="Arial"/>
          <w:sz w:val="20"/>
          <w:szCs w:val="20"/>
          <w:color w:val="auto"/>
        </w:rPr>
        <w:t>4 Farm Springs Road</w:t>
      </w:r>
    </w:p>
    <w:p>
      <w:pPr>
        <w:ind w:left="660"/>
        <w:spacing w:after="0"/>
        <w:rPr>
          <w:sz w:val="20"/>
          <w:szCs w:val="20"/>
          <w:color w:val="auto"/>
        </w:rPr>
      </w:pPr>
      <w:r>
        <w:rPr>
          <w:rFonts w:ascii="Arial" w:cs="Arial" w:eastAsia="Arial" w:hAnsi="Arial"/>
          <w:sz w:val="20"/>
          <w:szCs w:val="20"/>
          <w:color w:val="auto"/>
        </w:rPr>
        <w:t>Farmington, CT 06032</w:t>
      </w:r>
    </w:p>
    <w:p>
      <w:pPr>
        <w:spacing w:after="0" w:line="200" w:lineRule="exact"/>
        <w:rPr>
          <w:sz w:val="20"/>
          <w:szCs w:val="20"/>
          <w:color w:val="auto"/>
        </w:rPr>
      </w:pPr>
    </w:p>
    <w:p>
      <w:pPr>
        <w:spacing w:after="0" w:line="272"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color w:val="auto"/>
        </w:rPr>
        <w:t xml:space="preserve">The Corporation and/or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40"/>
          </w:cols>
          <w:pgMar w:left="320" w:top="1394" w:right="33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22"/>
          <w:szCs w:val="22"/>
          <w:b w:val="1"/>
          <w:bCs w:val="1"/>
          <w:color w:val="auto"/>
        </w:rPr>
        <w:t>Appendix A: 2021 PSU Performance Goals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illustrates the Performance Goals for the 2021-2023 performance cycle.</w:t>
      </w:r>
    </w:p>
    <w:p>
      <w:pPr>
        <w:spacing w:after="0" w:line="243"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Threshold, target and maximum Performance Goals each have a corresponding payout percentage, and each metric is measured and funded independently. Performance below the threshold level will result in 0% payout, while performance above the maximum level cannot exceed the maximum payout level. Performance that falls between the threshold, target and maximum levels will results in a payout that is interpolated between the applicable levels.</w:t>
      </w:r>
    </w:p>
    <w:p>
      <w:pPr>
        <w:spacing w:after="0" w:line="237" w:lineRule="exact"/>
        <w:rPr>
          <w:sz w:val="20"/>
          <w:szCs w:val="20"/>
          <w:color w:val="auto"/>
        </w:rPr>
      </w:pPr>
    </w:p>
    <w:p>
      <w:pPr>
        <w:ind w:right="320"/>
        <w:spacing w:after="0" w:line="272" w:lineRule="auto"/>
        <w:rPr>
          <w:sz w:val="20"/>
          <w:szCs w:val="20"/>
          <w:color w:val="auto"/>
        </w:rPr>
      </w:pPr>
      <w:r>
        <w:rPr>
          <w:rFonts w:ascii="Arial" w:cs="Arial" w:eastAsia="Arial" w:hAnsi="Arial"/>
          <w:sz w:val="19"/>
          <w:szCs w:val="19"/>
          <w:color w:val="auto"/>
        </w:rPr>
        <w:t>The final Performance Factor will be based on the Company’s actual achievement against these Performance Goals at the conclusion of the award’s performance cycle and will equal the sum of the four payout percentages after weighting is applied.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040" w:type="dxa"/>
            <w:vAlign w:val="bottom"/>
            <w:tcBorders>
              <w:top w:val="single" w:sz="8" w:color="auto"/>
              <w:left w:val="single" w:sz="8" w:color="auto"/>
              <w:bottom w:val="single" w:sz="8" w:color="auto"/>
              <w:right w:val="single" w:sz="8" w:color="auto"/>
            </w:tcBorders>
            <w:vMerge w:val="restart"/>
            <w:shd w:val="clear" w:color="auto" w:fill="C00000"/>
          </w:tcPr>
          <w:p>
            <w:pPr>
              <w:ind w:left="100"/>
              <w:spacing w:after="0"/>
              <w:rPr>
                <w:sz w:val="20"/>
                <w:szCs w:val="20"/>
                <w:color w:val="auto"/>
              </w:rPr>
            </w:pPr>
            <w:r>
              <w:rPr>
                <w:rFonts w:ascii="Arial" w:cs="Arial" w:eastAsia="Arial" w:hAnsi="Arial"/>
                <w:sz w:val="16"/>
                <w:szCs w:val="16"/>
                <w:b w:val="1"/>
                <w:bCs w:val="1"/>
                <w:color w:val="FFFFFF"/>
              </w:rPr>
              <w:t>Metric</w:t>
            </w:r>
          </w:p>
        </w:tc>
        <w:tc>
          <w:tcPr>
            <w:tcW w:w="960" w:type="dxa"/>
            <w:vAlign w:val="bottom"/>
            <w:tcBorders>
              <w:top w:val="single" w:sz="8" w:color="auto"/>
              <w:bottom w:val="single" w:sz="8" w:color="auto"/>
              <w:right w:val="single" w:sz="8" w:color="auto"/>
            </w:tcBorders>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Weight</w:t>
            </w:r>
          </w:p>
        </w:tc>
        <w:tc>
          <w:tcPr>
            <w:tcW w:w="1240" w:type="dxa"/>
            <w:vAlign w:val="bottom"/>
            <w:tcBorders>
              <w:top w:val="single" w:sz="8" w:color="auto"/>
              <w:bottom w:val="single" w:sz="8" w:color="auto"/>
            </w:tcBorders>
            <w:shd w:val="clear" w:color="auto" w:fill="C00000"/>
          </w:tcPr>
          <w:p>
            <w:pPr>
              <w:spacing w:after="0"/>
              <w:rPr>
                <w:sz w:val="21"/>
                <w:szCs w:val="21"/>
                <w:color w:val="auto"/>
              </w:rPr>
            </w:pPr>
          </w:p>
        </w:tc>
        <w:tc>
          <w:tcPr>
            <w:tcW w:w="1620" w:type="dxa"/>
            <w:vAlign w:val="bottom"/>
            <w:tcBorders>
              <w:top w:val="single" w:sz="8" w:color="auto"/>
              <w:bottom w:val="single" w:sz="8" w:color="auto"/>
            </w:tcBorders>
            <w:gridSpan w:val="3"/>
            <w:shd w:val="clear" w:color="auto" w:fill="C00000"/>
          </w:tcPr>
          <w:p>
            <w:pPr>
              <w:jc w:val="center"/>
              <w:spacing w:after="0"/>
              <w:rPr>
                <w:sz w:val="20"/>
                <w:szCs w:val="20"/>
                <w:color w:val="auto"/>
              </w:rPr>
            </w:pPr>
            <w:r>
              <w:rPr>
                <w:rFonts w:ascii="Arial" w:cs="Arial" w:eastAsia="Arial" w:hAnsi="Arial"/>
                <w:sz w:val="16"/>
                <w:szCs w:val="16"/>
                <w:b w:val="1"/>
                <w:bCs w:val="1"/>
                <w:color w:val="FFFFFF"/>
              </w:rPr>
              <w:t>Performance Goals</w:t>
            </w:r>
          </w:p>
        </w:tc>
        <w:tc>
          <w:tcPr>
            <w:tcW w:w="1260" w:type="dxa"/>
            <w:vAlign w:val="bottom"/>
            <w:tcBorders>
              <w:top w:val="single" w:sz="8" w:color="auto"/>
              <w:bottom w:val="single" w:sz="8" w:color="auto"/>
              <w:right w:val="single" w:sz="8" w:color="auto"/>
            </w:tcBorders>
            <w:shd w:val="clear" w:color="auto" w:fill="C00000"/>
          </w:tcPr>
          <w:p>
            <w:pPr>
              <w:spacing w:after="0"/>
              <w:rPr>
                <w:sz w:val="21"/>
                <w:szCs w:val="21"/>
                <w:color w:val="auto"/>
              </w:rPr>
            </w:pPr>
          </w:p>
        </w:tc>
        <w:tc>
          <w:tcPr>
            <w:tcW w:w="1100" w:type="dxa"/>
            <w:vAlign w:val="bottom"/>
            <w:tcBorders>
              <w:top w:val="single" w:sz="8" w:color="auto"/>
              <w:bottom w:val="single" w:sz="8" w:color="auto"/>
            </w:tcBorders>
            <w:shd w:val="clear" w:color="auto" w:fill="C00000"/>
          </w:tcPr>
          <w:p>
            <w:pPr>
              <w:spacing w:after="0"/>
              <w:rPr>
                <w:sz w:val="21"/>
                <w:szCs w:val="21"/>
                <w:color w:val="auto"/>
              </w:rPr>
            </w:pPr>
          </w:p>
        </w:tc>
        <w:tc>
          <w:tcPr>
            <w:tcW w:w="1940" w:type="dxa"/>
            <w:vAlign w:val="bottom"/>
            <w:tcBorders>
              <w:top w:val="single" w:sz="8" w:color="auto"/>
              <w:bottom w:val="single" w:sz="8" w:color="auto"/>
            </w:tcBorders>
            <w:gridSpan w:val="3"/>
            <w:shd w:val="clear" w:color="auto" w:fill="C00000"/>
          </w:tcPr>
          <w:p>
            <w:pPr>
              <w:jc w:val="center"/>
              <w:ind w:right="20"/>
              <w:spacing w:after="0"/>
              <w:rPr>
                <w:sz w:val="20"/>
                <w:szCs w:val="20"/>
                <w:color w:val="auto"/>
              </w:rPr>
            </w:pPr>
            <w:r>
              <w:rPr>
                <w:rFonts w:ascii="Arial" w:cs="Arial" w:eastAsia="Arial" w:hAnsi="Arial"/>
                <w:sz w:val="16"/>
                <w:szCs w:val="16"/>
                <w:b w:val="1"/>
                <w:bCs w:val="1"/>
                <w:color w:val="FFFFFF"/>
              </w:rPr>
              <w:t>Payout (as a % of target)</w:t>
            </w:r>
          </w:p>
        </w:tc>
        <w:tc>
          <w:tcPr>
            <w:tcW w:w="1100" w:type="dxa"/>
            <w:vAlign w:val="bottom"/>
            <w:tcBorders>
              <w:top w:val="single" w:sz="8" w:color="auto"/>
              <w:bottom w:val="single" w:sz="8" w:color="auto"/>
              <w:right w:val="single" w:sz="8" w:color="auto"/>
            </w:tcBorders>
            <w:shd w:val="clear" w:color="auto" w:fill="C00000"/>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40" w:type="dxa"/>
            <w:vAlign w:val="bottom"/>
            <w:tcBorders>
              <w:left w:val="single" w:sz="8" w:color="auto"/>
              <w:right w:val="single" w:sz="8" w:color="auto"/>
            </w:tcBorders>
            <w:vMerge w:val="continue"/>
            <w:shd w:val="clear" w:color="auto" w:fill="C00000"/>
          </w:tcPr>
          <w:p>
            <w:pPr>
              <w:spacing w:after="0"/>
              <w:rPr>
                <w:sz w:val="7"/>
                <w:szCs w:val="7"/>
                <w:color w:val="auto"/>
              </w:rPr>
            </w:pPr>
          </w:p>
        </w:tc>
        <w:tc>
          <w:tcPr>
            <w:tcW w:w="960" w:type="dxa"/>
            <w:vAlign w:val="bottom"/>
            <w:tcBorders>
              <w:right w:val="single" w:sz="8" w:color="auto"/>
            </w:tcBorders>
            <w:vMerge w:val="continue"/>
            <w:shd w:val="clear" w:color="auto" w:fill="C00000"/>
          </w:tcPr>
          <w:p>
            <w:pPr>
              <w:spacing w:after="0"/>
              <w:rPr>
                <w:sz w:val="7"/>
                <w:szCs w:val="7"/>
                <w:color w:val="auto"/>
              </w:rPr>
            </w:pPr>
          </w:p>
        </w:tc>
        <w:tc>
          <w:tcPr>
            <w:tcW w:w="1240" w:type="dxa"/>
            <w:vAlign w:val="bottom"/>
            <w:vMerge w:val="restart"/>
            <w:shd w:val="clear" w:color="auto" w:fill="C00000"/>
          </w:tcPr>
          <w:p>
            <w:pPr>
              <w:jc w:val="center"/>
              <w:ind w:left="19"/>
              <w:spacing w:after="0"/>
              <w:rPr>
                <w:sz w:val="20"/>
                <w:szCs w:val="20"/>
                <w:color w:val="auto"/>
              </w:rPr>
            </w:pPr>
            <w:r>
              <w:rPr>
                <w:rFonts w:ascii="Arial" w:cs="Arial" w:eastAsia="Arial" w:hAnsi="Arial"/>
                <w:sz w:val="16"/>
                <w:szCs w:val="16"/>
                <w:b w:val="1"/>
                <w:bCs w:val="1"/>
                <w:color w:val="FFFFFF"/>
              </w:rPr>
              <w:t>Threshold</w:t>
            </w:r>
          </w:p>
        </w:tc>
        <w:tc>
          <w:tcPr>
            <w:tcW w:w="140" w:type="dxa"/>
            <w:vAlign w:val="bottom"/>
            <w:tcBorders>
              <w:right w:val="single" w:sz="8" w:color="auto"/>
            </w:tcBorders>
            <w:shd w:val="clear" w:color="auto" w:fill="C00000"/>
          </w:tcPr>
          <w:p>
            <w:pPr>
              <w:spacing w:after="0"/>
              <w:rPr>
                <w:sz w:val="7"/>
                <w:szCs w:val="7"/>
                <w:color w:val="auto"/>
              </w:rPr>
            </w:pPr>
          </w:p>
        </w:tc>
        <w:tc>
          <w:tcPr>
            <w:tcW w:w="1380" w:type="dxa"/>
            <w:vAlign w:val="bottom"/>
            <w:tcBorders>
              <w:right w:val="single" w:sz="8" w:color="auto"/>
            </w:tcBorders>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Target</w:t>
            </w:r>
          </w:p>
        </w:tc>
        <w:tc>
          <w:tcPr>
            <w:tcW w:w="100" w:type="dxa"/>
            <w:vAlign w:val="bottom"/>
            <w:shd w:val="clear" w:color="auto" w:fill="C00000"/>
          </w:tcPr>
          <w:p>
            <w:pPr>
              <w:spacing w:after="0"/>
              <w:rPr>
                <w:sz w:val="7"/>
                <w:szCs w:val="7"/>
                <w:color w:val="auto"/>
              </w:rPr>
            </w:pPr>
          </w:p>
        </w:tc>
        <w:tc>
          <w:tcPr>
            <w:tcW w:w="1260" w:type="dxa"/>
            <w:vAlign w:val="bottom"/>
            <w:tcBorders>
              <w:right w:val="single" w:sz="8" w:color="auto"/>
            </w:tcBorders>
            <w:vMerge w:val="restart"/>
            <w:shd w:val="clear" w:color="auto" w:fill="C00000"/>
          </w:tcPr>
          <w:p>
            <w:pPr>
              <w:jc w:val="center"/>
              <w:ind w:right="39"/>
              <w:spacing w:after="0"/>
              <w:rPr>
                <w:sz w:val="20"/>
                <w:szCs w:val="20"/>
                <w:color w:val="auto"/>
              </w:rPr>
            </w:pPr>
            <w:r>
              <w:rPr>
                <w:rFonts w:ascii="Arial" w:cs="Arial" w:eastAsia="Arial" w:hAnsi="Arial"/>
                <w:sz w:val="16"/>
                <w:szCs w:val="16"/>
                <w:b w:val="1"/>
                <w:bCs w:val="1"/>
                <w:color w:val="FFFFFF"/>
              </w:rPr>
              <w:t>Maximum</w:t>
            </w:r>
          </w:p>
        </w:tc>
        <w:tc>
          <w:tcPr>
            <w:tcW w:w="1100" w:type="dxa"/>
            <w:vAlign w:val="bottom"/>
            <w:vMerge w:val="restart"/>
            <w:shd w:val="clear" w:color="auto" w:fill="C00000"/>
          </w:tcPr>
          <w:p>
            <w:pPr>
              <w:jc w:val="center"/>
              <w:ind w:left="199"/>
              <w:spacing w:after="0"/>
              <w:rPr>
                <w:sz w:val="20"/>
                <w:szCs w:val="20"/>
                <w:color w:val="auto"/>
              </w:rPr>
            </w:pPr>
            <w:r>
              <w:rPr>
                <w:rFonts w:ascii="Arial" w:cs="Arial" w:eastAsia="Arial" w:hAnsi="Arial"/>
                <w:sz w:val="16"/>
                <w:szCs w:val="16"/>
                <w:b w:val="1"/>
                <w:bCs w:val="1"/>
                <w:color w:val="FFFFFF"/>
              </w:rPr>
              <w:t>Threshold</w:t>
            </w:r>
          </w:p>
        </w:tc>
        <w:tc>
          <w:tcPr>
            <w:tcW w:w="280" w:type="dxa"/>
            <w:vAlign w:val="bottom"/>
            <w:tcBorders>
              <w:right w:val="single" w:sz="8" w:color="auto"/>
            </w:tcBorders>
            <w:shd w:val="clear" w:color="auto" w:fill="C00000"/>
          </w:tcPr>
          <w:p>
            <w:pPr>
              <w:spacing w:after="0"/>
              <w:rPr>
                <w:sz w:val="7"/>
                <w:szCs w:val="7"/>
                <w:color w:val="auto"/>
              </w:rPr>
            </w:pPr>
          </w:p>
        </w:tc>
        <w:tc>
          <w:tcPr>
            <w:tcW w:w="1380" w:type="dxa"/>
            <w:vAlign w:val="bottom"/>
            <w:tcBorders>
              <w:right w:val="single" w:sz="8" w:color="auto"/>
            </w:tcBorders>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280" w:type="dxa"/>
            <w:vAlign w:val="bottom"/>
            <w:shd w:val="clear" w:color="auto" w:fill="C00000"/>
          </w:tcPr>
          <w:p>
            <w:pPr>
              <w:spacing w:after="0"/>
              <w:rPr>
                <w:sz w:val="7"/>
                <w:szCs w:val="7"/>
                <w:color w:val="auto"/>
              </w:rPr>
            </w:pPr>
          </w:p>
        </w:tc>
        <w:tc>
          <w:tcPr>
            <w:tcW w:w="1100" w:type="dxa"/>
            <w:vAlign w:val="bottom"/>
            <w:tcBorders>
              <w:right w:val="single" w:sz="8" w:color="auto"/>
            </w:tcBorders>
            <w:vMerge w:val="restart"/>
            <w:shd w:val="clear" w:color="auto" w:fill="C00000"/>
          </w:tcPr>
          <w:p>
            <w:pPr>
              <w:jc w:val="center"/>
              <w:ind w:right="219"/>
              <w:spacing w:after="0"/>
              <w:rPr>
                <w:sz w:val="20"/>
                <w:szCs w:val="20"/>
                <w:color w:val="auto"/>
              </w:rPr>
            </w:pPr>
            <w:r>
              <w:rPr>
                <w:rFonts w:ascii="Arial" w:cs="Arial" w:eastAsia="Arial" w:hAnsi="Arial"/>
                <w:sz w:val="16"/>
                <w:szCs w:val="16"/>
                <w:b w:val="1"/>
                <w:bCs w:val="1"/>
                <w:color w:val="FFFFFF"/>
              </w:rPr>
              <w:t>Maximum</w:t>
            </w:r>
          </w:p>
        </w:tc>
        <w:tc>
          <w:tcPr>
            <w:tcW w:w="0" w:type="dxa"/>
            <w:vAlign w:val="bottom"/>
          </w:tcPr>
          <w:p>
            <w:pPr>
              <w:spacing w:after="0"/>
              <w:rPr>
                <w:sz w:val="1"/>
                <w:szCs w:val="1"/>
                <w:color w:val="auto"/>
              </w:rPr>
            </w:pPr>
          </w:p>
        </w:tc>
      </w:tr>
      <w:tr>
        <w:trPr>
          <w:trHeight w:val="148"/>
        </w:trPr>
        <w:tc>
          <w:tcPr>
            <w:tcW w:w="2040" w:type="dxa"/>
            <w:vAlign w:val="bottom"/>
            <w:tcBorders>
              <w:left w:val="single" w:sz="8" w:color="auto"/>
              <w:bottom w:val="single" w:sz="8" w:color="auto"/>
              <w:right w:val="single" w:sz="8" w:color="auto"/>
            </w:tcBorders>
            <w:shd w:val="clear" w:color="auto" w:fill="C00000"/>
          </w:tcPr>
          <w:p>
            <w:pPr>
              <w:spacing w:after="0"/>
              <w:rPr>
                <w:sz w:val="12"/>
                <w:szCs w:val="12"/>
                <w:color w:val="auto"/>
              </w:rPr>
            </w:pPr>
          </w:p>
        </w:tc>
        <w:tc>
          <w:tcPr>
            <w:tcW w:w="960" w:type="dxa"/>
            <w:vAlign w:val="bottom"/>
            <w:tcBorders>
              <w:bottom w:val="single" w:sz="8" w:color="auto"/>
              <w:right w:val="single" w:sz="8" w:color="auto"/>
            </w:tcBorders>
            <w:shd w:val="clear" w:color="auto" w:fill="C00000"/>
          </w:tcPr>
          <w:p>
            <w:pPr>
              <w:spacing w:after="0"/>
              <w:rPr>
                <w:sz w:val="12"/>
                <w:szCs w:val="12"/>
                <w:color w:val="auto"/>
              </w:rPr>
            </w:pPr>
          </w:p>
        </w:tc>
        <w:tc>
          <w:tcPr>
            <w:tcW w:w="1240" w:type="dxa"/>
            <w:vAlign w:val="bottom"/>
            <w:tcBorders>
              <w:bottom w:val="single" w:sz="8" w:color="auto"/>
            </w:tcBorders>
            <w:vMerge w:val="continue"/>
            <w:shd w:val="clear" w:color="auto" w:fill="C00000"/>
          </w:tcPr>
          <w:p>
            <w:pPr>
              <w:spacing w:after="0"/>
              <w:rPr>
                <w:sz w:val="12"/>
                <w:szCs w:val="12"/>
                <w:color w:val="auto"/>
              </w:rPr>
            </w:pPr>
          </w:p>
        </w:tc>
        <w:tc>
          <w:tcPr>
            <w:tcW w:w="140" w:type="dxa"/>
            <w:vAlign w:val="bottom"/>
            <w:tcBorders>
              <w:bottom w:val="single" w:sz="8" w:color="auto"/>
              <w:right w:val="single" w:sz="8" w:color="auto"/>
            </w:tcBorders>
            <w:shd w:val="clear" w:color="auto" w:fill="C00000"/>
          </w:tcPr>
          <w:p>
            <w:pPr>
              <w:spacing w:after="0"/>
              <w:rPr>
                <w:sz w:val="12"/>
                <w:szCs w:val="12"/>
                <w:color w:val="auto"/>
              </w:rPr>
            </w:pPr>
          </w:p>
        </w:tc>
        <w:tc>
          <w:tcPr>
            <w:tcW w:w="1380" w:type="dxa"/>
            <w:vAlign w:val="bottom"/>
            <w:tcBorders>
              <w:bottom w:val="single" w:sz="8" w:color="auto"/>
              <w:right w:val="single" w:sz="8" w:color="auto"/>
            </w:tcBorders>
            <w:vMerge w:val="continue"/>
            <w:shd w:val="clear" w:color="auto" w:fill="C00000"/>
          </w:tcPr>
          <w:p>
            <w:pPr>
              <w:spacing w:after="0"/>
              <w:rPr>
                <w:sz w:val="12"/>
                <w:szCs w:val="12"/>
                <w:color w:val="auto"/>
              </w:rPr>
            </w:pPr>
          </w:p>
        </w:tc>
        <w:tc>
          <w:tcPr>
            <w:tcW w:w="100" w:type="dxa"/>
            <w:vAlign w:val="bottom"/>
            <w:tcBorders>
              <w:bottom w:val="single" w:sz="8" w:color="auto"/>
            </w:tcBorders>
            <w:shd w:val="clear" w:color="auto" w:fill="C00000"/>
          </w:tcPr>
          <w:p>
            <w:pPr>
              <w:spacing w:after="0"/>
              <w:rPr>
                <w:sz w:val="12"/>
                <w:szCs w:val="12"/>
                <w:color w:val="auto"/>
              </w:rPr>
            </w:pPr>
          </w:p>
        </w:tc>
        <w:tc>
          <w:tcPr>
            <w:tcW w:w="1260" w:type="dxa"/>
            <w:vAlign w:val="bottom"/>
            <w:tcBorders>
              <w:bottom w:val="single" w:sz="8" w:color="auto"/>
              <w:right w:val="single" w:sz="8" w:color="auto"/>
            </w:tcBorders>
            <w:vMerge w:val="continue"/>
            <w:shd w:val="clear" w:color="auto" w:fill="C00000"/>
          </w:tcPr>
          <w:p>
            <w:pPr>
              <w:spacing w:after="0"/>
              <w:rPr>
                <w:sz w:val="12"/>
                <w:szCs w:val="12"/>
                <w:color w:val="auto"/>
              </w:rPr>
            </w:pPr>
          </w:p>
        </w:tc>
        <w:tc>
          <w:tcPr>
            <w:tcW w:w="1100" w:type="dxa"/>
            <w:vAlign w:val="bottom"/>
            <w:tcBorders>
              <w:bottom w:val="single" w:sz="8" w:color="auto"/>
            </w:tcBorders>
            <w:vMerge w:val="continue"/>
            <w:shd w:val="clear" w:color="auto" w:fill="C00000"/>
          </w:tcPr>
          <w:p>
            <w:pPr>
              <w:spacing w:after="0"/>
              <w:rPr>
                <w:sz w:val="12"/>
                <w:szCs w:val="12"/>
                <w:color w:val="auto"/>
              </w:rPr>
            </w:pPr>
          </w:p>
        </w:tc>
        <w:tc>
          <w:tcPr>
            <w:tcW w:w="280" w:type="dxa"/>
            <w:vAlign w:val="bottom"/>
            <w:tcBorders>
              <w:bottom w:val="single" w:sz="8" w:color="auto"/>
              <w:right w:val="single" w:sz="8" w:color="auto"/>
            </w:tcBorders>
            <w:shd w:val="clear" w:color="auto" w:fill="C00000"/>
          </w:tcPr>
          <w:p>
            <w:pPr>
              <w:spacing w:after="0"/>
              <w:rPr>
                <w:sz w:val="12"/>
                <w:szCs w:val="12"/>
                <w:color w:val="auto"/>
              </w:rPr>
            </w:pPr>
          </w:p>
        </w:tc>
        <w:tc>
          <w:tcPr>
            <w:tcW w:w="1380" w:type="dxa"/>
            <w:vAlign w:val="bottom"/>
            <w:tcBorders>
              <w:bottom w:val="single" w:sz="8" w:color="auto"/>
              <w:right w:val="single" w:sz="8" w:color="auto"/>
            </w:tcBorders>
            <w:vMerge w:val="continue"/>
            <w:shd w:val="clear" w:color="auto" w:fill="C00000"/>
          </w:tcPr>
          <w:p>
            <w:pPr>
              <w:spacing w:after="0"/>
              <w:rPr>
                <w:sz w:val="12"/>
                <w:szCs w:val="12"/>
                <w:color w:val="auto"/>
              </w:rPr>
            </w:pPr>
          </w:p>
        </w:tc>
        <w:tc>
          <w:tcPr>
            <w:tcW w:w="280" w:type="dxa"/>
            <w:vAlign w:val="bottom"/>
            <w:tcBorders>
              <w:bottom w:val="single" w:sz="8" w:color="auto"/>
            </w:tcBorders>
            <w:shd w:val="clear" w:color="auto" w:fill="C00000"/>
          </w:tcPr>
          <w:p>
            <w:pPr>
              <w:spacing w:after="0"/>
              <w:rPr>
                <w:sz w:val="12"/>
                <w:szCs w:val="12"/>
                <w:color w:val="auto"/>
              </w:rPr>
            </w:pPr>
          </w:p>
        </w:tc>
        <w:tc>
          <w:tcPr>
            <w:tcW w:w="1100" w:type="dxa"/>
            <w:vAlign w:val="bottom"/>
            <w:tcBorders>
              <w:bottom w:val="single" w:sz="8" w:color="auto"/>
              <w:right w:val="single" w:sz="8" w:color="auto"/>
            </w:tcBorders>
            <w:vMerge w:val="continue"/>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 xml:space="preserve">EPS </w:t>
            </w:r>
            <w:r>
              <w:rPr>
                <w:rFonts w:ascii="Arial" w:cs="Arial" w:eastAsia="Arial" w:hAnsi="Arial"/>
                <w:sz w:val="21"/>
                <w:szCs w:val="21"/>
                <w:color w:val="auto"/>
                <w:vertAlign w:val="superscript"/>
              </w:rPr>
              <w:t>(1)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25%</w:t>
            </w: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$3.00</w:t>
            </w:r>
          </w:p>
        </w:tc>
        <w:tc>
          <w:tcPr>
            <w:tcW w:w="14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$3.90</w:t>
            </w:r>
          </w:p>
        </w:tc>
        <w:tc>
          <w:tcPr>
            <w:tcW w:w="11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9"/>
              </w:rPr>
              <w:t>25%</w:t>
            </w:r>
          </w:p>
        </w:tc>
        <w:tc>
          <w:tcPr>
            <w:tcW w:w="28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center"/>
              <w:ind w:right="219"/>
              <w:spacing w:after="0"/>
              <w:rPr>
                <w:sz w:val="20"/>
                <w:szCs w:val="20"/>
                <w:color w:val="auto"/>
              </w:rPr>
            </w:pPr>
            <w:r>
              <w:rPr>
                <w:rFonts w:ascii="Arial" w:cs="Arial" w:eastAsia="Arial" w:hAnsi="Arial"/>
                <w:sz w:val="16"/>
                <w:szCs w:val="16"/>
                <w:color w:val="auto"/>
                <w:w w:val="97"/>
              </w:rPr>
              <w:t>200%</w:t>
            </w:r>
          </w:p>
        </w:tc>
        <w:tc>
          <w:tcPr>
            <w:tcW w:w="0" w:type="dxa"/>
            <w:vAlign w:val="bottom"/>
          </w:tcPr>
          <w:p>
            <w:pPr>
              <w:spacing w:after="0"/>
              <w:rPr>
                <w:sz w:val="1"/>
                <w:szCs w:val="1"/>
                <w:color w:val="auto"/>
              </w:rPr>
            </w:pPr>
          </w:p>
        </w:tc>
      </w:tr>
      <w:tr>
        <w:trPr>
          <w:trHeight w:val="237"/>
        </w:trPr>
        <w:tc>
          <w:tcPr>
            <w:tcW w:w="204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16"/>
                <w:szCs w:val="16"/>
                <w:color w:val="auto"/>
              </w:rPr>
              <w:t xml:space="preserve">ROIC </w:t>
            </w:r>
            <w:r>
              <w:rPr>
                <w:rFonts w:ascii="Arial" w:cs="Arial" w:eastAsia="Arial" w:hAnsi="Arial"/>
                <w:sz w:val="21"/>
                <w:szCs w:val="21"/>
                <w:color w:val="auto"/>
                <w:vertAlign w:val="superscript"/>
              </w:rPr>
              <w:t>(1)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25%</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3.20%</w:t>
            </w:r>
          </w:p>
        </w:tc>
        <w:tc>
          <w:tcPr>
            <w:tcW w:w="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4.05%</w:t>
            </w:r>
          </w:p>
        </w:tc>
        <w:tc>
          <w:tcPr>
            <w:tcW w:w="11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9"/>
              </w:rPr>
              <w:t>25%</w:t>
            </w:r>
          </w:p>
        </w:tc>
        <w:tc>
          <w:tcPr>
            <w:tcW w:w="2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right="219"/>
              <w:spacing w:after="0"/>
              <w:rPr>
                <w:sz w:val="20"/>
                <w:szCs w:val="20"/>
                <w:color w:val="auto"/>
              </w:rPr>
            </w:pPr>
            <w:r>
              <w:rPr>
                <w:rFonts w:ascii="Arial" w:cs="Arial" w:eastAsia="Arial" w:hAnsi="Arial"/>
                <w:sz w:val="16"/>
                <w:szCs w:val="16"/>
                <w:color w:val="auto"/>
                <w:w w:val="97"/>
              </w:rPr>
              <w:t>200%</w:t>
            </w:r>
          </w:p>
        </w:tc>
        <w:tc>
          <w:tcPr>
            <w:tcW w:w="0" w:type="dxa"/>
            <w:vAlign w:val="bottom"/>
          </w:tcPr>
          <w:p>
            <w:pPr>
              <w:spacing w:after="0"/>
              <w:rPr>
                <w:sz w:val="1"/>
                <w:szCs w:val="1"/>
                <w:color w:val="auto"/>
              </w:rPr>
            </w:pPr>
          </w:p>
        </w:tc>
      </w:tr>
      <w:tr>
        <w:trPr>
          <w:trHeight w:val="209"/>
        </w:trPr>
        <w:tc>
          <w:tcPr>
            <w:tcW w:w="2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TSR vs. S&amp;P 500</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25%</w:t>
            </w:r>
          </w:p>
        </w:tc>
        <w:tc>
          <w:tcPr>
            <w:tcW w:w="1240" w:type="dxa"/>
            <w:vAlign w:val="bottom"/>
            <w:vMerge w:val="restart"/>
          </w:tcPr>
          <w:p>
            <w:pPr>
              <w:jc w:val="center"/>
              <w:ind w:left="39"/>
              <w:spacing w:after="0"/>
              <w:rPr>
                <w:sz w:val="20"/>
                <w:szCs w:val="20"/>
                <w:color w:val="auto"/>
              </w:rPr>
            </w:pPr>
            <w:r>
              <w:rPr>
                <w:rFonts w:ascii="Arial" w:cs="Arial" w:eastAsia="Arial" w:hAnsi="Arial"/>
                <w:sz w:val="16"/>
                <w:szCs w:val="16"/>
                <w:color w:val="auto"/>
                <w:w w:val="96"/>
              </w:rPr>
              <w:t>25</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50</w:t>
            </w:r>
            <w:r>
              <w:rPr>
                <w:rFonts w:ascii="Arial" w:cs="Arial" w:eastAsia="Arial" w:hAnsi="Arial"/>
                <w:sz w:val="21"/>
                <w:szCs w:val="21"/>
                <w:color w:val="auto"/>
                <w:w w:val="94"/>
                <w:vertAlign w:val="superscript"/>
              </w:rPr>
              <w:t>th</w:t>
            </w:r>
            <w:r>
              <w:rPr>
                <w:rFonts w:ascii="Arial" w:cs="Arial" w:eastAsia="Arial" w:hAnsi="Arial"/>
                <w:sz w:val="16"/>
                <w:szCs w:val="16"/>
                <w:color w:val="auto"/>
                <w:w w:val="94"/>
              </w:rPr>
              <w:t xml:space="preserve"> percentile</w:t>
            </w:r>
          </w:p>
        </w:tc>
        <w:tc>
          <w:tcPr>
            <w:tcW w:w="100" w:type="dxa"/>
            <w:vAlign w:val="bottom"/>
          </w:tcPr>
          <w:p>
            <w:pPr>
              <w:spacing w:after="0"/>
              <w:rPr>
                <w:sz w:val="18"/>
                <w:szCs w:val="18"/>
                <w:color w:val="auto"/>
              </w:rPr>
            </w:pPr>
          </w:p>
        </w:tc>
        <w:tc>
          <w:tcPr>
            <w:tcW w:w="1260" w:type="dxa"/>
            <w:vAlign w:val="bottom"/>
            <w:tcBorders>
              <w:right w:val="single" w:sz="8" w:color="auto"/>
            </w:tcBorders>
            <w:vMerge w:val="restart"/>
          </w:tcPr>
          <w:p>
            <w:pPr>
              <w:jc w:val="center"/>
              <w:ind w:right="59"/>
              <w:spacing w:after="0"/>
              <w:rPr>
                <w:sz w:val="20"/>
                <w:szCs w:val="20"/>
                <w:color w:val="auto"/>
              </w:rPr>
            </w:pPr>
            <w:r>
              <w:rPr>
                <w:rFonts w:ascii="Arial" w:cs="Arial" w:eastAsia="Arial" w:hAnsi="Arial"/>
                <w:sz w:val="16"/>
                <w:szCs w:val="16"/>
                <w:color w:val="auto"/>
                <w:w w:val="96"/>
              </w:rPr>
              <w:t>75</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100" w:type="dxa"/>
            <w:vAlign w:val="bottom"/>
            <w:vMerge w:val="restart"/>
          </w:tcPr>
          <w:p>
            <w:pPr>
              <w:jc w:val="center"/>
              <w:ind w:left="179"/>
              <w:spacing w:after="0"/>
              <w:rPr>
                <w:sz w:val="20"/>
                <w:szCs w:val="20"/>
                <w:color w:val="auto"/>
              </w:rPr>
            </w:pPr>
            <w:r>
              <w:rPr>
                <w:rFonts w:ascii="Arial" w:cs="Arial" w:eastAsia="Arial" w:hAnsi="Arial"/>
                <w:sz w:val="16"/>
                <w:szCs w:val="16"/>
                <w:color w:val="auto"/>
                <w:w w:val="99"/>
              </w:rPr>
              <w:t>25%</w:t>
            </w:r>
          </w:p>
        </w:tc>
        <w:tc>
          <w:tcPr>
            <w:tcW w:w="2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Pr>
          <w:p>
            <w:pPr>
              <w:spacing w:after="0"/>
              <w:rPr>
                <w:sz w:val="18"/>
                <w:szCs w:val="18"/>
                <w:color w:val="auto"/>
              </w:rPr>
            </w:pPr>
          </w:p>
        </w:tc>
        <w:tc>
          <w:tcPr>
            <w:tcW w:w="1100" w:type="dxa"/>
            <w:vAlign w:val="bottom"/>
            <w:tcBorders>
              <w:right w:val="single" w:sz="8" w:color="auto"/>
            </w:tcBorders>
            <w:vMerge w:val="restart"/>
          </w:tcPr>
          <w:p>
            <w:pPr>
              <w:jc w:val="center"/>
              <w:ind w:right="219"/>
              <w:spacing w:after="0"/>
              <w:rPr>
                <w:sz w:val="20"/>
                <w:szCs w:val="20"/>
                <w:color w:val="auto"/>
              </w:rPr>
            </w:pPr>
            <w:r>
              <w:rPr>
                <w:rFonts w:ascii="Arial" w:cs="Arial" w:eastAsia="Arial" w:hAnsi="Arial"/>
                <w:sz w:val="16"/>
                <w:szCs w:val="16"/>
                <w:color w:val="auto"/>
                <w:w w:val="97"/>
              </w:rPr>
              <w:t>200%</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vMerge w:val="restart"/>
          </w:tcPr>
          <w:p>
            <w:pPr>
              <w:ind w:left="100"/>
              <w:spacing w:after="0" w:line="217" w:lineRule="exact"/>
              <w:rPr>
                <w:sz w:val="20"/>
                <w:szCs w:val="20"/>
                <w:color w:val="auto"/>
              </w:rPr>
            </w:pPr>
            <w:r>
              <w:rPr>
                <w:rFonts w:ascii="Arial" w:cs="Arial" w:eastAsia="Arial" w:hAnsi="Arial"/>
                <w:sz w:val="16"/>
                <w:szCs w:val="16"/>
                <w:color w:val="auto"/>
              </w:rPr>
              <w:t xml:space="preserve">companies </w:t>
            </w:r>
            <w:r>
              <w:rPr>
                <w:rFonts w:ascii="Arial" w:cs="Arial" w:eastAsia="Arial" w:hAnsi="Arial"/>
                <w:sz w:val="21"/>
                <w:szCs w:val="21"/>
                <w:color w:val="auto"/>
                <w:vertAlign w:val="superscript"/>
              </w:rPr>
              <w:t>(2)</w:t>
            </w:r>
          </w:p>
        </w:tc>
        <w:tc>
          <w:tcPr>
            <w:tcW w:w="960" w:type="dxa"/>
            <w:vAlign w:val="bottom"/>
            <w:tcBorders>
              <w:right w:val="single" w:sz="8" w:color="auto"/>
            </w:tcBorders>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4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16"/>
                <w:szCs w:val="16"/>
                <w:color w:val="auto"/>
              </w:rPr>
              <w:t xml:space="preserve">TSR vs. A&amp;D peers </w:t>
            </w:r>
            <w:r>
              <w:rPr>
                <w:rFonts w:ascii="Arial" w:cs="Arial" w:eastAsia="Arial" w:hAnsi="Arial"/>
                <w:sz w:val="21"/>
                <w:szCs w:val="21"/>
                <w:color w:val="auto"/>
                <w:vertAlign w:val="superscript"/>
              </w:rPr>
              <w:t>(2)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25%</w:t>
            </w:r>
          </w:p>
        </w:tc>
        <w:tc>
          <w:tcPr>
            <w:tcW w:w="1240" w:type="dxa"/>
            <w:vAlign w:val="bottom"/>
            <w:tcBorders>
              <w:bottom w:val="single" w:sz="8" w:color="auto"/>
            </w:tcBorders>
          </w:tcPr>
          <w:p>
            <w:pPr>
              <w:jc w:val="center"/>
              <w:ind w:left="39"/>
              <w:spacing w:after="0" w:line="237" w:lineRule="exact"/>
              <w:rPr>
                <w:sz w:val="20"/>
                <w:szCs w:val="20"/>
                <w:color w:val="auto"/>
              </w:rPr>
            </w:pPr>
            <w:r>
              <w:rPr>
                <w:rFonts w:ascii="Arial" w:cs="Arial" w:eastAsia="Arial" w:hAnsi="Arial"/>
                <w:sz w:val="16"/>
                <w:szCs w:val="16"/>
                <w:color w:val="auto"/>
                <w:w w:val="96"/>
              </w:rPr>
              <w:t>25</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16"/>
                <w:szCs w:val="16"/>
                <w:color w:val="auto"/>
                <w:w w:val="94"/>
              </w:rPr>
              <w:t>50</w:t>
            </w:r>
            <w:r>
              <w:rPr>
                <w:rFonts w:ascii="Arial" w:cs="Arial" w:eastAsia="Arial" w:hAnsi="Arial"/>
                <w:sz w:val="21"/>
                <w:szCs w:val="21"/>
                <w:color w:val="auto"/>
                <w:w w:val="94"/>
                <w:vertAlign w:val="superscript"/>
              </w:rPr>
              <w:t>th</w:t>
            </w:r>
            <w:r>
              <w:rPr>
                <w:rFonts w:ascii="Arial" w:cs="Arial" w:eastAsia="Arial" w:hAnsi="Arial"/>
                <w:sz w:val="16"/>
                <w:szCs w:val="16"/>
                <w:color w:val="auto"/>
                <w:w w:val="94"/>
              </w:rPr>
              <w:t xml:space="preserve"> percentile</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59"/>
              <w:spacing w:after="0" w:line="237" w:lineRule="exact"/>
              <w:rPr>
                <w:sz w:val="20"/>
                <w:szCs w:val="20"/>
                <w:color w:val="auto"/>
              </w:rPr>
            </w:pPr>
            <w:r>
              <w:rPr>
                <w:rFonts w:ascii="Arial" w:cs="Arial" w:eastAsia="Arial" w:hAnsi="Arial"/>
                <w:sz w:val="16"/>
                <w:szCs w:val="16"/>
                <w:color w:val="auto"/>
                <w:w w:val="96"/>
              </w:rPr>
              <w:t>75</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1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9"/>
              </w:rPr>
              <w:t>25%</w:t>
            </w:r>
          </w:p>
        </w:tc>
        <w:tc>
          <w:tcPr>
            <w:tcW w:w="2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right="219"/>
              <w:spacing w:after="0"/>
              <w:rPr>
                <w:sz w:val="20"/>
                <w:szCs w:val="20"/>
                <w:color w:val="auto"/>
              </w:rPr>
            </w:pPr>
            <w:r>
              <w:rPr>
                <w:rFonts w:ascii="Arial" w:cs="Arial" w:eastAsia="Arial" w:hAnsi="Arial"/>
                <w:sz w:val="16"/>
                <w:szCs w:val="16"/>
                <w:color w:val="auto"/>
                <w:w w:val="97"/>
              </w:rPr>
              <w:t>200%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3"/>
          <w:szCs w:val="13"/>
          <w:i w:val="1"/>
          <w:iCs w:val="1"/>
          <w:color w:val="auto"/>
        </w:rPr>
      </w:pPr>
      <w:r>
        <w:rPr>
          <w:rFonts w:ascii="Arial" w:cs="Arial" w:eastAsia="Arial" w:hAnsi="Arial"/>
          <w:sz w:val="13"/>
          <w:szCs w:val="13"/>
          <w:i w:val="1"/>
          <w:iCs w:val="1"/>
          <w:color w:val="auto"/>
        </w:rPr>
        <w:t>Measurement period: January 1, 2021 through December 31, 2021</w:t>
      </w:r>
    </w:p>
    <w:p>
      <w:pPr>
        <w:spacing w:after="0" w:line="53" w:lineRule="exact"/>
        <w:rPr>
          <w:rFonts w:ascii="Arial" w:cs="Arial" w:eastAsia="Arial" w:hAnsi="Arial"/>
          <w:sz w:val="13"/>
          <w:szCs w:val="13"/>
          <w:i w:val="1"/>
          <w:iCs w:val="1"/>
          <w:color w:val="auto"/>
        </w:rPr>
      </w:pPr>
    </w:p>
    <w:p>
      <w:pPr>
        <w:ind w:left="180" w:right="140" w:hanging="172"/>
        <w:spacing w:after="0" w:line="261" w:lineRule="auto"/>
        <w:tabs>
          <w:tab w:leader="none" w:pos="179" w:val="left"/>
        </w:tabs>
        <w:numPr>
          <w:ilvl w:val="0"/>
          <w:numId w:val="56"/>
        </w:numPr>
        <w:rPr>
          <w:rFonts w:ascii="Arial" w:cs="Arial" w:eastAsia="Arial" w:hAnsi="Arial"/>
          <w:sz w:val="13"/>
          <w:szCs w:val="13"/>
          <w:i w:val="1"/>
          <w:iCs w:val="1"/>
          <w:color w:val="auto"/>
        </w:rPr>
      </w:pPr>
      <w:r>
        <w:rPr>
          <w:rFonts w:ascii="Arial" w:cs="Arial" w:eastAsia="Arial" w:hAnsi="Arial"/>
          <w:sz w:val="13"/>
          <w:szCs w:val="13"/>
          <w:i w:val="1"/>
          <w:iCs w:val="1"/>
          <w:color w:val="auto"/>
        </w:rPr>
        <w:t>Measurement period: January 1, 2021 through December 31, 2023, calculated using the November/December average adjusted stock price prior to and at the end of the performance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21E1F"/>
        </w:rPr>
        <w:t>02/2021</w:t>
      </w:r>
    </w:p>
    <w:p>
      <w:pPr>
        <w:sectPr>
          <w:pgSz w:w="11900" w:h="16838" w:orient="portrait"/>
          <w:cols w:equalWidth="0" w:num="1">
            <w:col w:w="11260"/>
          </w:cols>
          <w:pgMar w:left="320" w:top="1417" w:right="3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10.6</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Raytheon Technologies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Stock Appreciation Right Award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This Schedule of Terms describes the material features of the Participant’s Stock Appreciation Right Award (the “SAR Award” or the “Award”) granted under the Raytheon Technologies Corporation 2018 Long-Term Incentive Plan (the “LTIP”), subject to this Schedule of Terms, the Award Agreement, and the terms and conditions set forth in the LTIP. The LTIP Prospectus contains further information about the LTIP and this Award and is available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02/2021</w:t>
      </w:r>
    </w:p>
    <w:p>
      <w:pPr>
        <w:sectPr>
          <w:pgSz w:w="11900" w:h="16838" w:orient="portrait"/>
          <w:cols w:equalWidth="0" w:num="1">
            <w:col w:w="11240"/>
          </w:cols>
          <w:pgMar w:left="320" w:top="850" w:right="339" w:bottom="1440" w:gutter="0" w:footer="0" w:header="0"/>
        </w:sectPr>
      </w:pPr>
    </w:p>
    <w:bookmarkStart w:id="96" w:name="page97"/>
    <w:bookmarkEnd w:id="96"/>
    <w:p>
      <w:pPr>
        <w:spacing w:after="0"/>
        <w:rPr>
          <w:sz w:val="20"/>
          <w:szCs w:val="20"/>
          <w:color w:val="auto"/>
        </w:rPr>
      </w:pPr>
      <w:r>
        <w:rPr>
          <w:rFonts w:ascii="Arial" w:cs="Arial" w:eastAsia="Arial" w:hAnsi="Arial"/>
          <w:sz w:val="20"/>
          <w:szCs w:val="20"/>
          <w:b w:val="1"/>
          <w:bCs w:val="1"/>
          <w:color w:val="221E1F"/>
        </w:rPr>
        <w:t>Ce</w:t>
      </w:r>
      <w:r>
        <w:rPr>
          <w:rFonts w:ascii="Arial" w:cs="Arial" w:eastAsia="Arial" w:hAnsi="Arial"/>
          <w:sz w:val="20"/>
          <w:szCs w:val="20"/>
          <w:b w:val="1"/>
          <w:bCs w:val="1"/>
          <w:color w:val="000000"/>
        </w:rPr>
        <w:t>rtain Definitions</w:t>
      </w:r>
    </w:p>
    <w:p>
      <w:pPr>
        <w:spacing w:after="0" w:line="213" w:lineRule="exact"/>
        <w:rPr>
          <w:sz w:val="20"/>
          <w:szCs w:val="20"/>
          <w:color w:val="auto"/>
        </w:rPr>
      </w:pPr>
    </w:p>
    <w:p>
      <w:pPr>
        <w:ind w:right="100"/>
        <w:spacing w:after="0" w:line="214" w:lineRule="auto"/>
        <w:rPr>
          <w:sz w:val="20"/>
          <w:szCs w:val="20"/>
          <w:color w:val="auto"/>
        </w:rPr>
      </w:pPr>
      <w:r>
        <w:rPr>
          <w:rFonts w:ascii="Arial" w:cs="Arial" w:eastAsia="Arial" w:hAnsi="Arial"/>
          <w:sz w:val="20"/>
          <w:szCs w:val="20"/>
          <w:color w:val="auto"/>
        </w:rPr>
        <w:t>A Stock Appreciation Right (a “SAR”) represents the right to receive the appreciation in one share of Common Stock of Raytheon Technologies Corporation (the “Common Stock”) measured from the date of grant to the date of exercise. The appreciation, upon exercise, is generally paid to the Participant in the form of shares of Common Stock. SARs are generally exercisable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“Company” means Raytheon Technologies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Compensation Committee of the Board. Capitalized terms not otherwise defined in this Schedule of Terms have the same meaning as defined in the LTIP.</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13"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number of SARs awarded and the SAR grant price are set forth in the Award Agreement. An LTIP Award recipient (a “Participant”) must affirmatively acknowledge and accept the terms and conditions of the SAR Award within 150 days following the Grant Date. A failure to acknowledge and accept the SAR Award subject to the LTIP and this Schedule of Terms, within such 150-day period may result in forfeiture of the SAR Award, effective as of the 150th day following the Grant Date.</w:t>
      </w:r>
    </w:p>
    <w:p>
      <w:pPr>
        <w:spacing w:after="0" w:line="163" w:lineRule="exact"/>
        <w:rPr>
          <w:sz w:val="20"/>
          <w:szCs w:val="20"/>
          <w:color w:val="auto"/>
        </w:rPr>
      </w:pPr>
    </w:p>
    <w:p>
      <w:pPr>
        <w:ind w:right="80"/>
        <w:spacing w:after="0" w:line="225" w:lineRule="auto"/>
        <w:rPr>
          <w:sz w:val="20"/>
          <w:szCs w:val="20"/>
          <w:color w:val="auto"/>
        </w:rPr>
      </w:pPr>
      <w:r>
        <w:rPr>
          <w:rFonts w:ascii="Arial" w:cs="Arial" w:eastAsia="Arial" w:hAnsi="Arial"/>
          <w:sz w:val="20"/>
          <w:szCs w:val="20"/>
          <w:color w:val="auto"/>
        </w:rPr>
        <w:t xml:space="preserve">Participants must acknowledge and accept the terms and conditions of this SAR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 Participants based in certain countries may be required to acknowledge and accept the terms and conditions of this SAR Award by signing and returning the designated hard copy portion of the Award Agreement to the Stock Plan Administrator. These countries currently include Russia, Turkey, Hungary, and Slovenia.</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Price (or “Grant Price”)</w:t>
      </w:r>
    </w:p>
    <w:p>
      <w:pPr>
        <w:spacing w:after="0" w:line="213"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The Grant Price represents the Fair Market Value of the Corporation’s Common Stock on the date of grant. “Fair Market Value” means, as of any given date, the closing price of the Common Stock on the New York Stock Exchange.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 and Expiration</w:t>
      </w:r>
    </w:p>
    <w:p>
      <w:pPr>
        <w:spacing w:after="0" w:line="213" w:lineRule="exact"/>
        <w:rPr>
          <w:sz w:val="20"/>
          <w:szCs w:val="20"/>
          <w:color w:val="auto"/>
        </w:rPr>
      </w:pPr>
    </w:p>
    <w:p>
      <w:pPr>
        <w:ind w:right="100"/>
        <w:spacing w:after="0" w:line="231" w:lineRule="auto"/>
        <w:rPr>
          <w:sz w:val="20"/>
          <w:szCs w:val="20"/>
          <w:color w:val="auto"/>
        </w:rPr>
      </w:pPr>
      <w:r>
        <w:rPr>
          <w:rFonts w:ascii="Arial" w:cs="Arial" w:eastAsia="Arial" w:hAnsi="Arial"/>
          <w:sz w:val="19"/>
          <w:szCs w:val="19"/>
          <w:color w:val="221E1F"/>
        </w:rPr>
        <w:t>SARs will vest and expire (if unexercised) in accordance with the schedule set forth in the Award Agreement, subject to the Participant’s continued employment with the Company through each applicable vesting date. SARs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01/2020</w:t>
      </w:r>
      <w:r>
        <w:rPr>
          <w:sz w:val="20"/>
          <w:szCs w:val="20"/>
          <w:color w:val="auto"/>
        </w:rPr>
        <w:tab/>
      </w:r>
      <w:r>
        <w:rPr>
          <w:rFonts w:ascii="Arial" w:cs="Arial" w:eastAsia="Arial" w:hAnsi="Arial"/>
          <w:sz w:val="14"/>
          <w:szCs w:val="14"/>
          <w:color w:val="auto"/>
        </w:rPr>
        <w:t>2</w:t>
      </w:r>
    </w:p>
    <w:p>
      <w:pPr>
        <w:sectPr>
          <w:pgSz w:w="11900" w:h="16838" w:orient="portrait"/>
          <w:cols w:equalWidth="0" w:num="1">
            <w:col w:w="11220"/>
          </w:cols>
          <w:pgMar w:left="320" w:top="1394" w:right="359"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221E1F"/>
        </w:rPr>
        <w:t>SARs may be exercised on or after the vesting date until the earlier of the:</w:t>
      </w:r>
    </w:p>
    <w:p>
      <w:pPr>
        <w:spacing w:after="0" w:line="189" w:lineRule="exact"/>
        <w:rPr>
          <w:sz w:val="20"/>
          <w:szCs w:val="20"/>
          <w:color w:val="auto"/>
        </w:rPr>
      </w:pPr>
    </w:p>
    <w:p>
      <w:pPr>
        <w:ind w:left="240" w:hanging="232"/>
        <w:spacing w:after="0"/>
        <w:tabs>
          <w:tab w:leader="none" w:pos="240" w:val="left"/>
        </w:tabs>
        <w:numPr>
          <w:ilvl w:val="0"/>
          <w:numId w:val="57"/>
        </w:numPr>
        <w:rPr>
          <w:rFonts w:ascii="Arial" w:cs="Arial" w:eastAsia="Arial" w:hAnsi="Arial"/>
          <w:sz w:val="20"/>
          <w:szCs w:val="20"/>
          <w:color w:val="221E1F"/>
        </w:rPr>
      </w:pPr>
      <w:r>
        <w:rPr>
          <w:rFonts w:ascii="Arial" w:cs="Arial" w:eastAsia="Arial" w:hAnsi="Arial"/>
          <w:sz w:val="20"/>
          <w:szCs w:val="20"/>
          <w:color w:val="221E1F"/>
        </w:rPr>
        <w:t>Expiration date specified in the Award Agreement, at which time the SARs and all associated rights lapse; or</w:t>
      </w:r>
    </w:p>
    <w:p>
      <w:pPr>
        <w:spacing w:after="0" w:line="188" w:lineRule="exact"/>
        <w:rPr>
          <w:rFonts w:ascii="Arial" w:cs="Arial" w:eastAsia="Arial" w:hAnsi="Arial"/>
          <w:sz w:val="20"/>
          <w:szCs w:val="20"/>
          <w:color w:val="221E1F"/>
        </w:rPr>
      </w:pPr>
    </w:p>
    <w:p>
      <w:pPr>
        <w:ind w:left="280" w:hanging="272"/>
        <w:spacing w:after="0"/>
        <w:tabs>
          <w:tab w:leader="none" w:pos="280" w:val="left"/>
        </w:tabs>
        <w:numPr>
          <w:ilvl w:val="0"/>
          <w:numId w:val="57"/>
        </w:numPr>
        <w:rPr>
          <w:rFonts w:ascii="Arial" w:cs="Arial" w:eastAsia="Arial" w:hAnsi="Arial"/>
          <w:sz w:val="20"/>
          <w:szCs w:val="20"/>
          <w:color w:val="221E1F"/>
        </w:rPr>
      </w:pPr>
      <w:r>
        <w:rPr>
          <w:rFonts w:ascii="Arial" w:cs="Arial" w:eastAsia="Arial" w:hAnsi="Arial"/>
          <w:sz w:val="20"/>
          <w:szCs w:val="20"/>
          <w:color w:val="221E1F"/>
        </w:rPr>
        <w:t>Last day permitted on or following Termination of Service as specified in “Termination of Service” below.</w:t>
      </w:r>
    </w:p>
    <w:p>
      <w:pPr>
        <w:spacing w:after="0" w:line="189" w:lineRule="exact"/>
        <w:rPr>
          <w:sz w:val="20"/>
          <w:szCs w:val="20"/>
          <w:color w:val="auto"/>
        </w:rPr>
      </w:pPr>
    </w:p>
    <w:p>
      <w:pPr>
        <w:ind w:right="960"/>
        <w:spacing w:after="0" w:line="229" w:lineRule="auto"/>
        <w:rPr>
          <w:sz w:val="20"/>
          <w:szCs w:val="20"/>
          <w:color w:val="auto"/>
        </w:rPr>
      </w:pPr>
      <w:r>
        <w:rPr>
          <w:rFonts w:ascii="Arial" w:cs="Arial" w:eastAsia="Arial" w:hAnsi="Arial"/>
          <w:sz w:val="20"/>
          <w:szCs w:val="20"/>
          <w:color w:val="auto"/>
        </w:rPr>
        <w:t>SARs may also be forfeited and value realized from exercised SARs may be recouped by the Company under certain circumstances (see “Forfeiture of Award and Repayment of Realized Gains” below).</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3" w:lineRule="exact"/>
        <w:rPr>
          <w:sz w:val="20"/>
          <w:szCs w:val="20"/>
          <w:color w:val="auto"/>
        </w:rPr>
      </w:pPr>
    </w:p>
    <w:p>
      <w:pPr>
        <w:jc w:val="both"/>
        <w:ind w:right="120"/>
        <w:spacing w:after="0" w:line="223" w:lineRule="auto"/>
        <w:rPr>
          <w:sz w:val="20"/>
          <w:szCs w:val="20"/>
          <w:color w:val="auto"/>
        </w:rPr>
      </w:pPr>
      <w:r>
        <w:rPr>
          <w:rFonts w:ascii="Arial" w:cs="Arial" w:eastAsia="Arial" w:hAnsi="Arial"/>
          <w:sz w:val="20"/>
          <w:szCs w:val="20"/>
          <w:color w:val="221E1F"/>
        </w:rPr>
        <w:t>A SAR is the right to receive the appreciation in a share of Common Stock, subject to continued employment and certain other conditions. The holder of a SAR has no voting, dividend, or other rights accorded to owners of Common Stock, unless and until SARs are exercised and settled in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Exercise and Payment</w:t>
      </w:r>
    </w:p>
    <w:p>
      <w:pPr>
        <w:spacing w:after="0" w:line="213" w:lineRule="exact"/>
        <w:rPr>
          <w:sz w:val="20"/>
          <w:szCs w:val="20"/>
          <w:color w:val="auto"/>
        </w:rPr>
      </w:pPr>
    </w:p>
    <w:p>
      <w:pPr>
        <w:ind w:right="120"/>
        <w:spacing w:after="0" w:line="218" w:lineRule="auto"/>
        <w:rPr>
          <w:sz w:val="20"/>
          <w:szCs w:val="20"/>
          <w:color w:val="auto"/>
        </w:rPr>
      </w:pPr>
      <w:r>
        <w:rPr>
          <w:rFonts w:ascii="Arial" w:cs="Arial" w:eastAsia="Arial" w:hAnsi="Arial"/>
          <w:sz w:val="20"/>
          <w:szCs w:val="20"/>
          <w:color w:val="221E1F"/>
        </w:rPr>
        <w:t>While a Participant is employed by the Company, the Participant may exercise SARs on or after the vesting date until the expiration date. The value a Participant will realize upon the exercise of a SAR is the difference between the price of the Common Stock at the time of exercise and the Grant Price. The Participant will generally receive shares of Common Stock as soon as administratively practicable following exercise. The value of the SARs may instead be paid in cash if the Committee so determines, including where local law restricts the distribution of Common Stock.</w:t>
      </w:r>
    </w:p>
    <w:p>
      <w:pPr>
        <w:spacing w:after="0" w:line="184"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221E1F"/>
        </w:rPr>
        <w:t>It is the responsibility of the Participant, or a designated representative, to track the expiration of the Award and exercise SARs in a timely manner. The Company assumes no responsibility for, and will make no adjustments with respect to, SARs that expire unexercised. Any communication from the Plan Administrator or the Company to the Participant with respect to expiration is provided as a courtesy only.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13" w:lineRule="exact"/>
        <w:rPr>
          <w:sz w:val="20"/>
          <w:szCs w:val="20"/>
          <w:color w:val="auto"/>
        </w:rPr>
      </w:pPr>
    </w:p>
    <w:p>
      <w:pPr>
        <w:spacing w:after="0" w:line="223" w:lineRule="auto"/>
        <w:rPr>
          <w:sz w:val="20"/>
          <w:szCs w:val="20"/>
          <w:color w:val="auto"/>
        </w:rPr>
      </w:pPr>
      <w:r>
        <w:rPr>
          <w:rFonts w:ascii="Arial" w:cs="Arial" w:eastAsia="Arial" w:hAnsi="Arial"/>
          <w:sz w:val="20"/>
          <w:szCs w:val="20"/>
          <w:color w:val="221E1F"/>
        </w:rPr>
        <w:t>The treatment of SARs upon Termination of Service depends upon the reason for termination, as detailed in the following sections. SARs held for less than one year as of the Termination Date will be forfeited, except in the event of Death, Disability, or Change-in-Control Termination, as discussed below.</w:t>
      </w:r>
    </w:p>
    <w:p>
      <w:pPr>
        <w:spacing w:after="0" w:line="196"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66" w:lineRule="exact"/>
        <w:rPr>
          <w:sz w:val="20"/>
          <w:szCs w:val="20"/>
          <w:color w:val="auto"/>
        </w:rPr>
      </w:pPr>
    </w:p>
    <w:p>
      <w:pPr>
        <w:ind w:right="340"/>
        <w:spacing w:after="0" w:line="231"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SARs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become exercisable. For this purpose, Retirement means either a Normal Retirement or Early Retirement as defined below:</w:t>
      </w:r>
    </w:p>
    <w:p>
      <w:pPr>
        <w:spacing w:after="0" w:line="183"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20"/>
          <w:szCs w:val="20"/>
          <w:color w:val="221E1F"/>
        </w:rPr>
      </w:pPr>
      <w:r>
        <w:rPr>
          <w:rFonts w:ascii="Arial" w:cs="Arial" w:eastAsia="Arial" w:hAnsi="Arial"/>
          <w:sz w:val="20"/>
          <w:szCs w:val="20"/>
          <w:color w:val="221E1F"/>
        </w:rPr>
        <w:t>“Normal Retirement” means retirement on or after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01/2020</w:t>
      </w:r>
      <w:r>
        <w:rPr>
          <w:sz w:val="20"/>
          <w:szCs w:val="20"/>
          <w:color w:val="auto"/>
        </w:rPr>
        <w:tab/>
      </w:r>
      <w:r>
        <w:rPr>
          <w:rFonts w:ascii="Arial" w:cs="Arial" w:eastAsia="Arial" w:hAnsi="Arial"/>
          <w:sz w:val="14"/>
          <w:szCs w:val="14"/>
          <w:color w:val="auto"/>
        </w:rPr>
        <w:t>3</w:t>
      </w:r>
    </w:p>
    <w:p>
      <w:pPr>
        <w:sectPr>
          <w:pgSz w:w="11900" w:h="16838" w:orient="portrait"/>
          <w:cols w:equalWidth="0" w:num="1">
            <w:col w:w="11220"/>
          </w:cols>
          <w:pgMar w:left="320" w:top="1418" w:right="359" w:bottom="1440" w:gutter="0" w:footer="0" w:header="0"/>
        </w:sectPr>
      </w:pPr>
    </w:p>
    <w:bookmarkStart w:id="98" w:name="page99"/>
    <w:bookmarkEnd w:id="98"/>
    <w:p>
      <w:pPr>
        <w:ind w:left="700" w:hanging="368"/>
        <w:spacing w:after="0"/>
        <w:tabs>
          <w:tab w:leader="none" w:pos="700" w:val="left"/>
        </w:tabs>
        <w:numPr>
          <w:ilvl w:val="0"/>
          <w:numId w:val="59"/>
        </w:numPr>
        <w:rPr>
          <w:rFonts w:ascii="Arial" w:cs="Arial" w:eastAsia="Arial" w:hAnsi="Arial"/>
          <w:sz w:val="20"/>
          <w:szCs w:val="20"/>
          <w:color w:val="221E1F"/>
        </w:rPr>
      </w:pPr>
      <w:r>
        <w:rPr>
          <w:rFonts w:ascii="Arial" w:cs="Arial" w:eastAsia="Arial" w:hAnsi="Arial"/>
          <w:sz w:val="20"/>
          <w:szCs w:val="20"/>
          <w:color w:val="221E1F"/>
        </w:rPr>
        <w:t>“Early Retirement” means retirement on or after:</w:t>
      </w:r>
    </w:p>
    <w:p>
      <w:pPr>
        <w:spacing w:after="0" w:line="177" w:lineRule="exact"/>
        <w:rPr>
          <w:rFonts w:ascii="Arial" w:cs="Arial" w:eastAsia="Arial" w:hAnsi="Arial"/>
          <w:sz w:val="20"/>
          <w:szCs w:val="20"/>
          <w:color w:val="221E1F"/>
        </w:rPr>
      </w:pPr>
    </w:p>
    <w:p>
      <w:pPr>
        <w:ind w:left="1300" w:hanging="320"/>
        <w:spacing w:after="0"/>
        <w:tabs>
          <w:tab w:leader="none" w:pos="1300" w:val="left"/>
        </w:tabs>
        <w:numPr>
          <w:ilvl w:val="1"/>
          <w:numId w:val="59"/>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194" w:lineRule="exact"/>
        <w:rPr>
          <w:rFonts w:ascii="Courier New" w:cs="Courier New" w:eastAsia="Courier New" w:hAnsi="Courier New"/>
          <w:sz w:val="20"/>
          <w:szCs w:val="20"/>
          <w:color w:val="221E1F"/>
        </w:rPr>
      </w:pPr>
    </w:p>
    <w:p>
      <w:pPr>
        <w:ind w:left="1300" w:right="180" w:hanging="320"/>
        <w:spacing w:after="0" w:line="227" w:lineRule="auto"/>
        <w:tabs>
          <w:tab w:leader="none" w:pos="1297" w:val="left"/>
        </w:tabs>
        <w:numPr>
          <w:ilvl w:val="1"/>
          <w:numId w:val="59"/>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221E1F"/>
        </w:rPr>
        <w:t>Upon Retirement, vested SARs may be exercised as detailed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40575" cy="25977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0575" cy="259778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Type</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221E1F"/>
                <w:w w:val="98"/>
              </w:rPr>
              <w:t>Company Consents to Early</w:t>
            </w:r>
          </w:p>
        </w:tc>
        <w:tc>
          <w:tcPr>
            <w:tcW w:w="5300" w:type="dxa"/>
            <w:vAlign w:val="bottom"/>
            <w:tcBorders>
              <w:top w:val="single" w:sz="8" w:color="auto"/>
            </w:tcBorders>
            <w:vMerge w:val="restart"/>
          </w:tcPr>
          <w:p>
            <w:pPr>
              <w:ind w:left="1900"/>
              <w:spacing w:after="0"/>
              <w:rPr>
                <w:sz w:val="20"/>
                <w:szCs w:val="20"/>
                <w:color w:val="auto"/>
              </w:rPr>
            </w:pPr>
            <w:r>
              <w:rPr>
                <w:rFonts w:ascii="Arial" w:cs="Arial" w:eastAsia="Arial" w:hAnsi="Arial"/>
                <w:sz w:val="20"/>
                <w:szCs w:val="20"/>
                <w:b w:val="1"/>
                <w:bCs w:val="1"/>
                <w:color w:val="221E1F"/>
              </w:rPr>
              <w:t>Exercise Period</w:t>
            </w:r>
          </w:p>
        </w:tc>
        <w:tc>
          <w:tcPr>
            <w:tcW w:w="0" w:type="dxa"/>
            <w:vAlign w:val="bottom"/>
          </w:tcPr>
          <w:p>
            <w:pPr>
              <w:spacing w:after="0"/>
              <w:rPr>
                <w:sz w:val="1"/>
                <w:szCs w:val="1"/>
                <w:color w:val="auto"/>
              </w:rPr>
            </w:pPr>
          </w:p>
        </w:tc>
      </w:tr>
      <w:tr>
        <w:trPr>
          <w:trHeight w:val="140"/>
        </w:trPr>
        <w:tc>
          <w:tcPr>
            <w:tcW w:w="306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w:t>
            </w:r>
          </w:p>
        </w:tc>
        <w:tc>
          <w:tcPr>
            <w:tcW w:w="5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60" w:type="dxa"/>
            <w:vAlign w:val="bottom"/>
            <w:tcBorders>
              <w:right w:val="single" w:sz="8" w:color="auto"/>
            </w:tcBorders>
          </w:tcPr>
          <w:p>
            <w:pPr>
              <w:spacing w:after="0"/>
              <w:rPr>
                <w:sz w:val="10"/>
                <w:szCs w:val="10"/>
                <w:color w:val="auto"/>
              </w:rPr>
            </w:pPr>
          </w:p>
        </w:tc>
        <w:tc>
          <w:tcPr>
            <w:tcW w:w="2900" w:type="dxa"/>
            <w:vAlign w:val="bottom"/>
            <w:tcBorders>
              <w:right w:val="single" w:sz="8" w:color="auto"/>
            </w:tcBorders>
            <w:vMerge w:val="continue"/>
          </w:tcPr>
          <w:p>
            <w:pPr>
              <w:spacing w:after="0"/>
              <w:rPr>
                <w:sz w:val="10"/>
                <w:szCs w:val="10"/>
                <w:color w:val="auto"/>
              </w:rPr>
            </w:pPr>
          </w:p>
        </w:tc>
        <w:tc>
          <w:tcPr>
            <w:tcW w:w="5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9"/>
              </w:rPr>
              <w:t>Normal Retirement (age 65)</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5"/>
              </w:rPr>
              <w:t>N/A</w:t>
            </w:r>
          </w:p>
        </w:tc>
        <w:tc>
          <w:tcPr>
            <w:tcW w:w="5300" w:type="dxa"/>
            <w:vAlign w:val="bottom"/>
          </w:tcPr>
          <w:p>
            <w:pPr>
              <w:ind w:left="20"/>
              <w:spacing w:after="0"/>
              <w:rPr>
                <w:sz w:val="20"/>
                <w:szCs w:val="20"/>
                <w:color w:val="auto"/>
              </w:rPr>
            </w:pPr>
            <w:r>
              <w:rPr>
                <w:rFonts w:ascii="Arial" w:cs="Arial" w:eastAsia="Arial" w:hAnsi="Arial"/>
                <w:sz w:val="20"/>
                <w:szCs w:val="20"/>
                <w:color w:val="221E1F"/>
              </w:rPr>
              <w:t>SARs may be exercised until the expiration of their term</w:t>
            </w:r>
          </w:p>
        </w:tc>
        <w:tc>
          <w:tcPr>
            <w:tcW w:w="0" w:type="dxa"/>
            <w:vAlign w:val="bottom"/>
          </w:tcPr>
          <w:p>
            <w:pPr>
              <w:spacing w:after="0"/>
              <w:rPr>
                <w:sz w:val="1"/>
                <w:szCs w:val="1"/>
                <w:color w:val="auto"/>
              </w:rPr>
            </w:pPr>
          </w:p>
        </w:tc>
      </w:tr>
      <w:tr>
        <w:trPr>
          <w:trHeight w:val="23"/>
        </w:trPr>
        <w:tc>
          <w:tcPr>
            <w:tcW w:w="306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2"/>
              </w:rPr>
              <w:t>Yes</w:t>
            </w:r>
          </w:p>
        </w:tc>
        <w:tc>
          <w:tcPr>
            <w:tcW w:w="5300" w:type="dxa"/>
            <w:vAlign w:val="bottom"/>
          </w:tcPr>
          <w:p>
            <w:pPr>
              <w:ind w:left="20"/>
              <w:spacing w:after="0"/>
              <w:rPr>
                <w:sz w:val="20"/>
                <w:szCs w:val="20"/>
                <w:color w:val="auto"/>
              </w:rPr>
            </w:pPr>
            <w:r>
              <w:rPr>
                <w:rFonts w:ascii="Arial" w:cs="Arial" w:eastAsia="Arial" w:hAnsi="Arial"/>
                <w:sz w:val="20"/>
                <w:szCs w:val="20"/>
                <w:color w:val="221E1F"/>
              </w:rPr>
              <w:t>SARs may be exercised until the expiration of their term</w:t>
            </w:r>
          </w:p>
        </w:tc>
        <w:tc>
          <w:tcPr>
            <w:tcW w:w="0" w:type="dxa"/>
            <w:vAlign w:val="bottom"/>
          </w:tcPr>
          <w:p>
            <w:pPr>
              <w:spacing w:after="0"/>
              <w:rPr>
                <w:sz w:val="1"/>
                <w:szCs w:val="1"/>
                <w:color w:val="auto"/>
              </w:rPr>
            </w:pPr>
          </w:p>
        </w:tc>
      </w:tr>
      <w:tr>
        <w:trPr>
          <w:trHeight w:val="114"/>
        </w:trPr>
        <w:tc>
          <w:tcPr>
            <w:tcW w:w="3060" w:type="dxa"/>
            <w:vAlign w:val="bottom"/>
            <w:tcBorders>
              <w:right w:val="single" w:sz="8" w:color="auto"/>
            </w:tcBorders>
            <w:vMerge w:val="continue"/>
          </w:tcPr>
          <w:p>
            <w:pPr>
              <w:spacing w:after="0"/>
              <w:rPr>
                <w:sz w:val="9"/>
                <w:szCs w:val="9"/>
                <w:color w:val="auto"/>
              </w:rPr>
            </w:pPr>
          </w:p>
        </w:tc>
        <w:tc>
          <w:tcPr>
            <w:tcW w:w="2900" w:type="dxa"/>
            <w:vAlign w:val="bottom"/>
            <w:tcBorders>
              <w:right w:val="single" w:sz="8" w:color="auto"/>
            </w:tcBorders>
            <w:vMerge w:val="continue"/>
          </w:tcPr>
          <w:p>
            <w:pPr>
              <w:spacing w:after="0"/>
              <w:rPr>
                <w:sz w:val="9"/>
                <w:szCs w:val="9"/>
                <w:color w:val="auto"/>
              </w:rPr>
            </w:pPr>
          </w:p>
        </w:tc>
        <w:tc>
          <w:tcPr>
            <w:tcW w:w="5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55 + 10 years of continuous</w:t>
            </w:r>
          </w:p>
        </w:tc>
        <w:tc>
          <w:tcPr>
            <w:tcW w:w="2900" w:type="dxa"/>
            <w:vAlign w:val="bottom"/>
            <w:tcBorders>
              <w:bottom w:val="single" w:sz="8" w:color="auto"/>
              <w:right w:val="single" w:sz="8" w:color="auto"/>
            </w:tcBorders>
          </w:tcPr>
          <w:p>
            <w:pPr>
              <w:spacing w:after="0"/>
              <w:rPr>
                <w:sz w:val="8"/>
                <w:szCs w:val="8"/>
                <w:color w:val="auto"/>
              </w:rPr>
            </w:pPr>
          </w:p>
        </w:tc>
        <w:tc>
          <w:tcPr>
            <w:tcW w:w="5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060" w:type="dxa"/>
            <w:vAlign w:val="bottom"/>
            <w:tcBorders>
              <w:right w:val="single" w:sz="8" w:color="auto"/>
            </w:tcBorders>
            <w:vMerge w:val="continue"/>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5300" w:type="dxa"/>
            <w:vAlign w:val="bottom"/>
            <w:vMerge w:val="restart"/>
          </w:tcPr>
          <w:p>
            <w:pPr>
              <w:ind w:left="20"/>
              <w:spacing w:after="0"/>
              <w:rPr>
                <w:sz w:val="20"/>
                <w:szCs w:val="20"/>
                <w:color w:val="auto"/>
              </w:rPr>
            </w:pPr>
            <w:r>
              <w:rPr>
                <w:rFonts w:ascii="Arial" w:cs="Arial" w:eastAsia="Arial" w:hAnsi="Arial"/>
                <w:sz w:val="20"/>
                <w:szCs w:val="20"/>
                <w:color w:val="221E1F"/>
              </w:rPr>
              <w:t>SARs may be exercised for three (3) years following the</w:t>
            </w:r>
          </w:p>
        </w:tc>
        <w:tc>
          <w:tcPr>
            <w:tcW w:w="0" w:type="dxa"/>
            <w:vAlign w:val="bottom"/>
          </w:tcPr>
          <w:p>
            <w:pPr>
              <w:spacing w:after="0"/>
              <w:rPr>
                <w:sz w:val="1"/>
                <w:szCs w:val="1"/>
                <w:color w:val="auto"/>
              </w:rPr>
            </w:pPr>
          </w:p>
        </w:tc>
      </w:tr>
      <w:tr>
        <w:trPr>
          <w:trHeight w:val="135"/>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8"/>
              </w:rPr>
              <w:t>service as of the Termination</w:t>
            </w:r>
          </w:p>
        </w:tc>
        <w:tc>
          <w:tcPr>
            <w:tcW w:w="2900" w:type="dxa"/>
            <w:vAlign w:val="bottom"/>
            <w:tcBorders>
              <w:right w:val="single" w:sz="8" w:color="auto"/>
            </w:tcBorders>
          </w:tcPr>
          <w:p>
            <w:pPr>
              <w:spacing w:after="0"/>
              <w:rPr>
                <w:sz w:val="11"/>
                <w:szCs w:val="11"/>
                <w:color w:val="auto"/>
              </w:rPr>
            </w:pPr>
          </w:p>
        </w:tc>
        <w:tc>
          <w:tcPr>
            <w:tcW w:w="5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06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3"/>
              </w:rPr>
              <w:t>No</w:t>
            </w:r>
          </w:p>
        </w:tc>
        <w:tc>
          <w:tcPr>
            <w:tcW w:w="5300" w:type="dxa"/>
            <w:vAlign w:val="bottom"/>
            <w:vMerge w:val="restart"/>
          </w:tcPr>
          <w:p>
            <w:pPr>
              <w:ind w:left="2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135"/>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Date</w:t>
            </w:r>
          </w:p>
        </w:tc>
        <w:tc>
          <w:tcPr>
            <w:tcW w:w="2900" w:type="dxa"/>
            <w:vAlign w:val="bottom"/>
            <w:tcBorders>
              <w:right w:val="single" w:sz="8" w:color="auto"/>
            </w:tcBorders>
            <w:vMerge w:val="continue"/>
          </w:tcPr>
          <w:p>
            <w:pPr>
              <w:spacing w:after="0"/>
              <w:rPr>
                <w:sz w:val="11"/>
                <w:szCs w:val="11"/>
                <w:color w:val="auto"/>
              </w:rPr>
            </w:pPr>
          </w:p>
        </w:tc>
        <w:tc>
          <w:tcPr>
            <w:tcW w:w="5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06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5300" w:type="dxa"/>
            <w:vAlign w:val="bottom"/>
            <w:vMerge w:val="restart"/>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135"/>
        </w:trPr>
        <w:tc>
          <w:tcPr>
            <w:tcW w:w="3060" w:type="dxa"/>
            <w:vAlign w:val="bottom"/>
            <w:tcBorders>
              <w:right w:val="single" w:sz="8" w:color="auto"/>
            </w:tcBorders>
          </w:tcPr>
          <w:p>
            <w:pPr>
              <w:spacing w:after="0"/>
              <w:rPr>
                <w:sz w:val="11"/>
                <w:szCs w:val="11"/>
                <w:color w:val="auto"/>
              </w:rPr>
            </w:pPr>
          </w:p>
        </w:tc>
        <w:tc>
          <w:tcPr>
            <w:tcW w:w="2900" w:type="dxa"/>
            <w:vAlign w:val="bottom"/>
            <w:tcBorders>
              <w:right w:val="single" w:sz="8" w:color="auto"/>
            </w:tcBorders>
          </w:tcPr>
          <w:p>
            <w:pPr>
              <w:spacing w:after="0"/>
              <w:rPr>
                <w:sz w:val="11"/>
                <w:szCs w:val="11"/>
                <w:color w:val="auto"/>
              </w:rPr>
            </w:pPr>
          </w:p>
        </w:tc>
        <w:tc>
          <w:tcPr>
            <w:tcW w:w="5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06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060" w:type="dxa"/>
            <w:vAlign w:val="bottom"/>
            <w:tcBorders>
              <w:right w:val="single" w:sz="8" w:color="auto"/>
            </w:tcBorders>
          </w:tcPr>
          <w:p>
            <w:pPr>
              <w:spacing w:after="0"/>
              <w:rPr>
                <w:sz w:val="21"/>
                <w:szCs w:val="21"/>
                <w:color w:val="auto"/>
              </w:rPr>
            </w:pPr>
          </w:p>
        </w:tc>
        <w:tc>
          <w:tcPr>
            <w:tcW w:w="2900" w:type="dxa"/>
            <w:vAlign w:val="bottom"/>
            <w:tcBorders>
              <w:right w:val="single" w:sz="8" w:color="auto"/>
            </w:tcBorders>
          </w:tcPr>
          <w:p>
            <w:pPr>
              <w:spacing w:after="0"/>
              <w:rPr>
                <w:sz w:val="21"/>
                <w:szCs w:val="21"/>
                <w:color w:val="auto"/>
              </w:rPr>
            </w:pPr>
          </w:p>
        </w:tc>
        <w:tc>
          <w:tcPr>
            <w:tcW w:w="5300" w:type="dxa"/>
            <w:vAlign w:val="bottom"/>
          </w:tcPr>
          <w:p>
            <w:pPr>
              <w:ind w:left="20"/>
              <w:spacing w:after="0"/>
              <w:rPr>
                <w:sz w:val="20"/>
                <w:szCs w:val="20"/>
                <w:color w:val="auto"/>
              </w:rPr>
            </w:pPr>
            <w:r>
              <w:rPr>
                <w:rFonts w:ascii="Arial" w:cs="Arial" w:eastAsia="Arial" w:hAnsi="Arial"/>
                <w:sz w:val="20"/>
                <w:szCs w:val="20"/>
                <w:color w:val="221E1F"/>
              </w:rPr>
              <w:t>SARs may be exercised for five (5) years following the</w:t>
            </w:r>
          </w:p>
        </w:tc>
        <w:tc>
          <w:tcPr>
            <w:tcW w:w="0" w:type="dxa"/>
            <w:vAlign w:val="bottom"/>
          </w:tcPr>
          <w:p>
            <w:pPr>
              <w:spacing w:after="0"/>
              <w:rPr>
                <w:sz w:val="1"/>
                <w:szCs w:val="1"/>
                <w:color w:val="auto"/>
              </w:rPr>
            </w:pPr>
          </w:p>
        </w:tc>
      </w:tr>
      <w:tr>
        <w:trPr>
          <w:trHeight w:val="229"/>
        </w:trPr>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2"/>
              </w:rPr>
              <w:t>Yes</w:t>
            </w:r>
          </w:p>
        </w:tc>
        <w:tc>
          <w:tcPr>
            <w:tcW w:w="530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57"/>
        </w:trPr>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50, but prior to age 55 + years of</w:t>
            </w:r>
          </w:p>
        </w:tc>
        <w:tc>
          <w:tcPr>
            <w:tcW w:w="2900" w:type="dxa"/>
            <w:vAlign w:val="bottom"/>
            <w:tcBorders>
              <w:bottom w:val="single" w:sz="8" w:color="auto"/>
              <w:right w:val="single" w:sz="8" w:color="auto"/>
            </w:tcBorders>
          </w:tcPr>
          <w:p>
            <w:pPr>
              <w:spacing w:after="0"/>
              <w:rPr>
                <w:sz w:val="22"/>
                <w:szCs w:val="22"/>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09"/>
        </w:trPr>
        <w:tc>
          <w:tcPr>
            <w:tcW w:w="30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221E1F"/>
                <w:w w:val="98"/>
              </w:rPr>
              <w:t>service = 65+ as of the</w:t>
            </w:r>
          </w:p>
        </w:tc>
        <w:tc>
          <w:tcPr>
            <w:tcW w:w="2900" w:type="dxa"/>
            <w:vAlign w:val="bottom"/>
            <w:tcBorders>
              <w:right w:val="single" w:sz="8" w:color="auto"/>
            </w:tcBorders>
          </w:tcPr>
          <w:p>
            <w:pPr>
              <w:spacing w:after="0"/>
              <w:rPr>
                <w:sz w:val="18"/>
                <w:szCs w:val="18"/>
                <w:color w:val="auto"/>
              </w:rPr>
            </w:pPr>
          </w:p>
        </w:tc>
        <w:tc>
          <w:tcPr>
            <w:tcW w:w="5300" w:type="dxa"/>
            <w:vAlign w:val="bottom"/>
          </w:tcPr>
          <w:p>
            <w:pPr>
              <w:ind w:left="20"/>
              <w:spacing w:after="0" w:line="209" w:lineRule="exact"/>
              <w:rPr>
                <w:sz w:val="20"/>
                <w:szCs w:val="20"/>
                <w:color w:val="auto"/>
              </w:rPr>
            </w:pPr>
            <w:r>
              <w:rPr>
                <w:rFonts w:ascii="Arial" w:cs="Arial" w:eastAsia="Arial" w:hAnsi="Arial"/>
                <w:sz w:val="20"/>
                <w:szCs w:val="20"/>
                <w:color w:val="221E1F"/>
              </w:rPr>
              <w:t>SARs may be exercised for three (3) years following the</w:t>
            </w:r>
          </w:p>
        </w:tc>
        <w:tc>
          <w:tcPr>
            <w:tcW w:w="0" w:type="dxa"/>
            <w:vAlign w:val="bottom"/>
          </w:tcPr>
          <w:p>
            <w:pPr>
              <w:spacing w:after="0"/>
              <w:rPr>
                <w:sz w:val="1"/>
                <w:szCs w:val="1"/>
                <w:color w:val="auto"/>
              </w:rPr>
            </w:pPr>
          </w:p>
        </w:tc>
      </w:tr>
      <w:tr>
        <w:trPr>
          <w:trHeight w:val="270"/>
        </w:trPr>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7"/>
              </w:rPr>
              <w:t>Termination Date</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3"/>
              </w:rPr>
              <w:t>No</w:t>
            </w:r>
          </w:p>
        </w:tc>
        <w:tc>
          <w:tcPr>
            <w:tcW w:w="530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3"/>
        </w:trPr>
        <w:tc>
          <w:tcPr>
            <w:tcW w:w="306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80" w:right="420"/>
        <w:spacing w:after="0" w:line="261" w:lineRule="auto"/>
        <w:rPr>
          <w:sz w:val="20"/>
          <w:szCs w:val="20"/>
          <w:color w:val="auto"/>
        </w:rPr>
      </w:pPr>
      <w:r>
        <w:rPr>
          <w:rFonts w:ascii="Arial" w:cs="Arial" w:eastAsia="Arial" w:hAnsi="Arial"/>
          <w:sz w:val="18"/>
          <w:szCs w:val="18"/>
          <w:color w:val="221E1F"/>
        </w:rPr>
        <w:t>* The Company’s consent to the Participant’s Retirement will be at the sole discretion of the Company based on its ability to effectively transition the Participant’s responsibilities as of the Termination Date and such other factors as it may deem appropriate.</w:t>
      </w:r>
    </w:p>
    <w:p>
      <w:pPr>
        <w:spacing w:after="0" w:line="200" w:lineRule="exact"/>
        <w:rPr>
          <w:sz w:val="20"/>
          <w:szCs w:val="20"/>
          <w:color w:val="auto"/>
        </w:rPr>
      </w:pPr>
    </w:p>
    <w:p>
      <w:pPr>
        <w:spacing w:after="0" w:line="265" w:lineRule="exact"/>
        <w:rPr>
          <w:sz w:val="20"/>
          <w:szCs w:val="20"/>
          <w:color w:val="auto"/>
        </w:rPr>
      </w:pPr>
    </w:p>
    <w:p>
      <w:pPr>
        <w:jc w:val="both"/>
        <w:ind w:right="200"/>
        <w:spacing w:after="0" w:line="244"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determined under the UTC Savings Plan. The calculation to determine Early Retirement will include partial years, rounded down to the nearest full month.</w:t>
      </w:r>
    </w:p>
    <w:p>
      <w:pPr>
        <w:spacing w:after="0" w:line="1" w:lineRule="exact"/>
        <w:rPr>
          <w:sz w:val="20"/>
          <w:szCs w:val="20"/>
          <w:color w:val="auto"/>
        </w:rPr>
      </w:pPr>
    </w:p>
    <w:p>
      <w:pPr>
        <w:ind w:right="600"/>
        <w:spacing w:after="0" w:line="229"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172"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b w:val="1"/>
          <w:bCs w:val="1"/>
          <w:color w:val="221E1F"/>
        </w:rPr>
        <w:t xml:space="preserve">Involuntary Termination for Cause. </w:t>
      </w:r>
      <w:r>
        <w:rPr>
          <w:rFonts w:ascii="Arial" w:cs="Arial" w:eastAsia="Arial" w:hAnsi="Arial"/>
          <w:sz w:val="20"/>
          <w:szCs w:val="20"/>
          <w:color w:val="221E1F"/>
        </w:rPr>
        <w:t>If the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221E1F"/>
        </w:rPr>
        <w:t>Cause (as defined in the LTIP), both vested and unvested SARs will be forfeited as of the Termination Date regardless of the Participant’s Retirement eligibility. In addition, value realized from previously exercised SARs is subject to repayment in the event of termination for Cause or certain other occurrences (see “Forfeiture of Award and Repayment of Realized Gains” below).</w:t>
      </w:r>
    </w:p>
    <w:p>
      <w:pPr>
        <w:spacing w:after="0" w:line="207"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other than Cause, unvested SARs held for at least one year as of the Termination Date will receive pro-rata vesting treatment, subject to the Participant providing the Company with a release of claims against the Company in a form and manner satisfactory to the Company. The pro-rata vesting of a SAR Award held for at least one year will be based on the number of months worked during the vesting period, including partial months, relative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01/2020</w:t>
      </w:r>
      <w:r>
        <w:rPr>
          <w:sz w:val="20"/>
          <w:szCs w:val="20"/>
          <w:color w:val="auto"/>
        </w:rPr>
        <w:tab/>
      </w:r>
      <w:r>
        <w:rPr>
          <w:rFonts w:ascii="Arial" w:cs="Arial" w:eastAsia="Arial" w:hAnsi="Arial"/>
          <w:sz w:val="14"/>
          <w:szCs w:val="14"/>
          <w:color w:val="auto"/>
        </w:rPr>
        <w:t>4</w:t>
      </w:r>
    </w:p>
    <w:p>
      <w:pPr>
        <w:sectPr>
          <w:pgSz w:w="11900" w:h="16838" w:orient="portrait"/>
          <w:cols w:equalWidth="0" w:num="1">
            <w:col w:w="11260"/>
          </w:cols>
          <w:pgMar w:left="320" w:top="1418" w:right="319"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221E1F"/>
        </w:rPr>
        <w:t>full vesting period. SARs not vested under this pro-rata vesting formula will be forfeited as of the Termination Date.</w:t>
      </w:r>
    </w:p>
    <w:p>
      <w:pPr>
        <w:spacing w:after="0" w:line="243"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221E1F"/>
        </w:rPr>
        <w:t>Upon involuntary termination for reasons other than Cause, vested SARs may be exercised for one (1) year following the Termination Date or until the expiration of the SAR, whichever is earlier. Unexercised SARs will expire without value at the close of the NYSE on the first anniversary of the Termination Date, or the expiration date, whichever comes first. In the event that the date falls on a weekend or market holiday, the SARs will be cancelled at the end of the last trading day prior to such date.</w:t>
      </w:r>
    </w:p>
    <w:p>
      <w:pPr>
        <w:spacing w:after="0" w:line="222"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pro-rata vesting percentage.</w:t>
      </w:r>
    </w:p>
    <w:p>
      <w:pPr>
        <w:spacing w:after="0" w:line="231"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color w:val="221E1F"/>
        </w:rPr>
        <w:t>Pro-rata vesting will occur for involuntary terminations resulting from workforce reductions, location closings, restructurings, layoffs, or similar events, as determined by the Committee.</w:t>
      </w:r>
    </w:p>
    <w:p>
      <w:pPr>
        <w:spacing w:after="0" w:line="231" w:lineRule="exact"/>
        <w:rPr>
          <w:sz w:val="20"/>
          <w:szCs w:val="20"/>
          <w:color w:val="auto"/>
        </w:rPr>
      </w:pPr>
    </w:p>
    <w:p>
      <w:pPr>
        <w:jc w:val="both"/>
        <w:ind w:right="680"/>
        <w:spacing w:after="0" w:line="243" w:lineRule="auto"/>
        <w:rPr>
          <w:sz w:val="20"/>
          <w:szCs w:val="20"/>
          <w:color w:val="auto"/>
        </w:rPr>
      </w:pPr>
      <w:r>
        <w:rPr>
          <w:rFonts w:ascii="Arial" w:cs="Arial" w:eastAsia="Arial" w:hAnsi="Arial"/>
          <w:sz w:val="20"/>
          <w:szCs w:val="20"/>
          <w:color w:val="auto"/>
        </w:rPr>
        <w:t xml:space="preserve">Retirement eligible Participants will vest in accordance with the Retirement provisions set forth above. Change-in-Control Terminations are subject to vesting treatment as set forth in the Change-in-Control provisions below. </w:t>
      </w:r>
      <w:r>
        <w:rPr>
          <w:rFonts w:ascii="Arial" w:cs="Arial" w:eastAsia="Arial" w:hAnsi="Arial"/>
          <w:sz w:val="20"/>
          <w:szCs w:val="20"/>
          <w:color w:val="221E1F"/>
        </w:rPr>
        <w:t>A Participant who is</w:t>
      </w:r>
      <w:r>
        <w:rPr>
          <w:rFonts w:ascii="Arial" w:cs="Arial" w:eastAsia="Arial" w:hAnsi="Arial"/>
          <w:sz w:val="20"/>
          <w:szCs w:val="20"/>
          <w:color w:val="auto"/>
        </w:rPr>
        <w:t xml:space="preserve"> </w:t>
      </w:r>
      <w:r>
        <w:rPr>
          <w:rFonts w:ascii="Arial" w:cs="Arial" w:eastAsia="Arial" w:hAnsi="Arial"/>
          <w:sz w:val="20"/>
          <w:szCs w:val="20"/>
          <w:color w:val="221E1F"/>
        </w:rPr>
        <w:t>involuntarily terminated for Cause is not eligible for pro-rata vesting of Awards.</w:t>
      </w:r>
    </w:p>
    <w:p>
      <w:pPr>
        <w:spacing w:after="0" w:line="182"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b w:val="1"/>
          <w:bCs w:val="1"/>
          <w:color w:val="221E1F"/>
        </w:rPr>
        <w:t xml:space="preserve">Voluntary Termination. </w:t>
      </w:r>
      <w:r>
        <w:rPr>
          <w:rFonts w:ascii="Arial" w:cs="Arial" w:eastAsia="Arial" w:hAnsi="Arial"/>
          <w:sz w:val="19"/>
          <w:szCs w:val="19"/>
          <w:color w:val="221E1F"/>
        </w:rPr>
        <w:t>A Participant who voluntarily terminates employment (other than for Retirement or a Change-in-Control</w:t>
      </w:r>
      <w:r>
        <w:rPr>
          <w:rFonts w:ascii="Arial" w:cs="Arial" w:eastAsia="Arial" w:hAnsi="Arial"/>
          <w:sz w:val="19"/>
          <w:szCs w:val="19"/>
          <w:b w:val="1"/>
          <w:bCs w:val="1"/>
          <w:color w:val="221E1F"/>
        </w:rPr>
        <w:t xml:space="preserve"> </w:t>
      </w:r>
      <w:r>
        <w:rPr>
          <w:rFonts w:ascii="Arial" w:cs="Arial" w:eastAsia="Arial" w:hAnsi="Arial"/>
          <w:sz w:val="19"/>
          <w:szCs w:val="19"/>
          <w:color w:val="221E1F"/>
        </w:rPr>
        <w:t>Termination) is not entitled to pro-rata vesting and will forfeit all unvested SARs. Vested SARs may be exercised for up to ninety</w:t>
      </w:r>
    </w:p>
    <w:p>
      <w:pPr>
        <w:spacing w:after="0" w:line="1" w:lineRule="exact"/>
        <w:rPr>
          <w:sz w:val="20"/>
          <w:szCs w:val="20"/>
          <w:color w:val="auto"/>
        </w:rPr>
      </w:pPr>
    </w:p>
    <w:p>
      <w:pPr>
        <w:ind w:right="20" w:firstLine="8"/>
        <w:spacing w:after="0" w:line="234" w:lineRule="auto"/>
        <w:tabs>
          <w:tab w:leader="none" w:pos="407" w:val="left"/>
        </w:tabs>
        <w:numPr>
          <w:ilvl w:val="0"/>
          <w:numId w:val="60"/>
        </w:numPr>
        <w:rPr>
          <w:rFonts w:ascii="Arial" w:cs="Arial" w:eastAsia="Arial" w:hAnsi="Arial"/>
          <w:sz w:val="20"/>
          <w:szCs w:val="20"/>
          <w:color w:val="221E1F"/>
        </w:rPr>
      </w:pPr>
      <w:r>
        <w:rPr>
          <w:rFonts w:ascii="Arial" w:cs="Arial" w:eastAsia="Arial" w:hAnsi="Arial"/>
          <w:sz w:val="20"/>
          <w:szCs w:val="20"/>
          <w:color w:val="221E1F"/>
        </w:rPr>
        <w:t>days from the Termination Date or until the expiration of the SAR (if earlier). Unexercised SARs will expire without value at the close of the NYSE on the ninetieth (90</w:t>
      </w:r>
      <w:r>
        <w:rPr>
          <w:rFonts w:ascii="Arial" w:cs="Arial" w:eastAsia="Arial" w:hAnsi="Arial"/>
          <w:sz w:val="25"/>
          <w:szCs w:val="25"/>
          <w:color w:val="221E1F"/>
          <w:vertAlign w:val="superscript"/>
        </w:rPr>
        <w:t>th</w:t>
      </w:r>
      <w:r>
        <w:rPr>
          <w:rFonts w:ascii="Arial" w:cs="Arial" w:eastAsia="Arial" w:hAnsi="Arial"/>
          <w:sz w:val="20"/>
          <w:szCs w:val="20"/>
          <w:color w:val="221E1F"/>
        </w:rPr>
        <w:t>) day following the Termination Date, or the expiration date, whichever comes first. In the event that the date falls on a weekend or market holiday, the SARs will be cancelled at the end of the last trading day prior to the 90</w:t>
      </w:r>
      <w:r>
        <w:rPr>
          <w:rFonts w:ascii="Arial" w:cs="Arial" w:eastAsia="Arial" w:hAnsi="Arial"/>
          <w:sz w:val="25"/>
          <w:szCs w:val="25"/>
          <w:color w:val="221E1F"/>
          <w:vertAlign w:val="superscript"/>
        </w:rPr>
        <w:t>th</w:t>
      </w:r>
      <w:r>
        <w:rPr>
          <w:rFonts w:ascii="Arial" w:cs="Arial" w:eastAsia="Arial" w:hAnsi="Arial"/>
          <w:sz w:val="20"/>
          <w:szCs w:val="20"/>
          <w:color w:val="221E1F"/>
        </w:rPr>
        <w:t xml:space="preserve"> day.</w:t>
      </w:r>
    </w:p>
    <w:p>
      <w:pPr>
        <w:spacing w:after="0" w:line="87" w:lineRule="exact"/>
        <w:rPr>
          <w:sz w:val="20"/>
          <w:szCs w:val="20"/>
          <w:color w:val="auto"/>
        </w:rPr>
      </w:pPr>
    </w:p>
    <w:p>
      <w:pPr>
        <w:ind w:right="160"/>
        <w:spacing w:after="0" w:line="223"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vested SARs may be exercised for up to three (3) years</w:t>
      </w:r>
      <w:r>
        <w:rPr>
          <w:rFonts w:ascii="Arial" w:cs="Arial" w:eastAsia="Arial" w:hAnsi="Arial"/>
          <w:sz w:val="20"/>
          <w:szCs w:val="20"/>
          <w:b w:val="1"/>
          <w:bCs w:val="1"/>
          <w:color w:val="221E1F"/>
        </w:rPr>
        <w:t xml:space="preserve"> </w:t>
      </w:r>
      <w:r>
        <w:rPr>
          <w:rFonts w:ascii="Arial" w:cs="Arial" w:eastAsia="Arial" w:hAnsi="Arial"/>
          <w:sz w:val="20"/>
          <w:szCs w:val="20"/>
          <w:color w:val="221E1F"/>
        </w:rPr>
        <w:t>from the Termination Date (or until the expiration of the SAR, if earlier). While a Participant remains disabled under a Company sponsored long-term disability plan, unvested SARs will remain eligible to vest on the earlier of (i) the vesting date specified in the Award Agreement; or (ii) 29 months following the date a Participant incurs a Disability, and may then be exercised for three (3) years following the vesting date.</w:t>
      </w:r>
    </w:p>
    <w:p>
      <w:pPr>
        <w:spacing w:after="0" w:line="160"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unvested SARs will vest as of the date</w:t>
      </w:r>
      <w:r>
        <w:rPr>
          <w:rFonts w:ascii="Arial" w:cs="Arial" w:eastAsia="Arial" w:hAnsi="Arial"/>
          <w:sz w:val="20"/>
          <w:szCs w:val="20"/>
          <w:b w:val="1"/>
          <w:bCs w:val="1"/>
          <w:color w:val="221E1F"/>
        </w:rPr>
        <w:t xml:space="preserve"> </w:t>
      </w:r>
      <w:r>
        <w:rPr>
          <w:rFonts w:ascii="Arial" w:cs="Arial" w:eastAsia="Arial" w:hAnsi="Arial"/>
          <w:sz w:val="20"/>
          <w:szCs w:val="20"/>
          <w:color w:val="221E1F"/>
        </w:rPr>
        <w:t>of death and become exercisable. A Participant’s estate will have three (3) years from the date of death (or until the expiration of the SAR, if earlier) to exercise all outstanding SARs, provided however, that if a SAR expires prior to the expiration of the three-year extension period, the SAR will be deemed to be exercised by the Participant’s estate as of the SAR expiration date with net proceeds (where applicable) held for distribution to the estate.</w:t>
      </w:r>
    </w:p>
    <w:p>
      <w:pPr>
        <w:spacing w:after="0" w:line="184" w:lineRule="exact"/>
        <w:rPr>
          <w:sz w:val="20"/>
          <w:szCs w:val="20"/>
          <w:color w:val="auto"/>
        </w:rPr>
      </w:pPr>
    </w:p>
    <w:p>
      <w:pPr>
        <w:spacing w:after="0" w:line="229" w:lineRule="auto"/>
        <w:rPr>
          <w:sz w:val="20"/>
          <w:szCs w:val="20"/>
          <w:color w:val="auto"/>
        </w:rPr>
      </w:pPr>
      <w:r>
        <w:rPr>
          <w:rFonts w:ascii="Arial" w:cs="Arial" w:eastAsia="Arial" w:hAnsi="Arial"/>
          <w:sz w:val="20"/>
          <w:szCs w:val="20"/>
          <w:color w:val="221E1F"/>
        </w:rPr>
        <w:t>Different tax rules may apply when the estate or heir exercises the deceased Participant’s SARs. A personal tax or financial advisor should be consulted under this scenario.</w:t>
      </w:r>
    </w:p>
    <w:p>
      <w:pPr>
        <w:spacing w:after="0" w:line="158" w:lineRule="exact"/>
        <w:rPr>
          <w:sz w:val="20"/>
          <w:szCs w:val="20"/>
          <w:color w:val="auto"/>
        </w:rPr>
      </w:pPr>
    </w:p>
    <w:p>
      <w:pPr>
        <w:ind w:right="580"/>
        <w:spacing w:after="0" w:line="243" w:lineRule="auto"/>
        <w:rPr>
          <w:sz w:val="20"/>
          <w:szCs w:val="20"/>
          <w:color w:val="auto"/>
        </w:rPr>
      </w:pPr>
      <w:r>
        <w:rPr>
          <w:rFonts w:ascii="Arial" w:cs="Arial" w:eastAsia="Arial" w:hAnsi="Arial"/>
          <w:sz w:val="20"/>
          <w:szCs w:val="20"/>
          <w:b w:val="1"/>
          <w:bCs w:val="1"/>
          <w:color w:val="auto"/>
        </w:rPr>
        <w:t xml:space="preserve">Change-in-Control Termination. </w:t>
      </w:r>
      <w:r>
        <w:rPr>
          <w:rFonts w:ascii="Arial" w:cs="Arial" w:eastAsia="Arial" w:hAnsi="Arial"/>
          <w:sz w:val="20"/>
          <w:szCs w:val="20"/>
          <w:color w:val="auto"/>
        </w:rPr>
        <w:t>If a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reasons other than for Cause, or due to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01/2020</w:t>
      </w:r>
      <w:r>
        <w:rPr>
          <w:sz w:val="20"/>
          <w:szCs w:val="20"/>
          <w:color w:val="auto"/>
        </w:rPr>
        <w:tab/>
      </w:r>
      <w:r>
        <w:rPr>
          <w:rFonts w:ascii="Arial" w:cs="Arial" w:eastAsia="Arial" w:hAnsi="Arial"/>
          <w:sz w:val="14"/>
          <w:szCs w:val="14"/>
          <w:color w:val="auto"/>
        </w:rPr>
        <w:t>5</w:t>
      </w:r>
    </w:p>
    <w:p>
      <w:pPr>
        <w:sectPr>
          <w:pgSz w:w="11900" w:h="16838" w:orient="portrait"/>
          <w:cols w:equalWidth="0" w:num="1">
            <w:col w:w="11240"/>
          </w:cols>
          <w:pgMar w:left="320" w:top="1432" w:right="339" w:bottom="1440" w:gutter="0" w:footer="0" w:header="0"/>
        </w:sectPr>
      </w:pPr>
    </w:p>
    <w:bookmarkStart w:id="100" w:name="page101"/>
    <w:bookmarkEnd w:id="100"/>
    <w:p>
      <w:pPr>
        <w:spacing w:after="0" w:line="220" w:lineRule="auto"/>
        <w:rPr>
          <w:sz w:val="20"/>
          <w:szCs w:val="20"/>
          <w:color w:val="auto"/>
        </w:rPr>
      </w:pPr>
      <w:r>
        <w:rPr>
          <w:rFonts w:ascii="Arial" w:cs="Arial" w:eastAsia="Arial" w:hAnsi="Arial"/>
          <w:sz w:val="20"/>
          <w:szCs w:val="20"/>
          <w:color w:val="auto"/>
        </w:rPr>
        <w:t>voluntary termination for “Good Reason,” in each case, within 24 months following a Change-in-Control in accordance with Section 10(d) of the LTIP (such Termination of Service, a “CIC Termination”), then all unvested SARs will vest and become exercisable as of the Termination Date and all vested SARs will be exercisable until the third anniversary of the Termination Date (or until the expiration of the SAR, if earlier).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13"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color w:val="221E1F"/>
        </w:rPr>
        <w:t xml:space="preserve">SAR Awards, including common stock delivered for exercised SARs, are subject to the Raytheon Technologies Corporation Clawback Policy, as amended from time to time, available at </w:t>
      </w:r>
      <w:r>
        <w:rPr>
          <w:rFonts w:ascii="Arial" w:cs="Arial" w:eastAsia="Arial" w:hAnsi="Arial"/>
          <w:sz w:val="20"/>
          <w:szCs w:val="20"/>
          <w:u w:val="single" w:color="auto"/>
          <w:color w:val="0000FF"/>
        </w:rPr>
        <w:t>www.rtx.com</w:t>
      </w:r>
      <w:r>
        <w:rPr>
          <w:rFonts w:ascii="Arial" w:cs="Arial" w:eastAsia="Arial" w:hAnsi="Arial"/>
          <w:sz w:val="20"/>
          <w:szCs w:val="20"/>
          <w:color w:val="221E1F"/>
        </w:rPr>
        <w:t>. SARs, whether or not vested, will be immediately forfeited and a Participant will be obligated to repay to the Company the value realized from the prior exercise of SARs upon the occurrence of any of the following events:</w:t>
      </w:r>
    </w:p>
    <w:p>
      <w:pPr>
        <w:spacing w:after="0" w:line="196"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215" w:lineRule="exact"/>
        <w:rPr>
          <w:rFonts w:ascii="Arial" w:cs="Arial" w:eastAsia="Arial" w:hAnsi="Arial"/>
          <w:sz w:val="20"/>
          <w:szCs w:val="20"/>
          <w:color w:val="auto"/>
        </w:rPr>
      </w:pPr>
    </w:p>
    <w:p>
      <w:pPr>
        <w:ind w:left="660" w:right="140" w:hanging="328"/>
        <w:spacing w:after="0" w:line="246" w:lineRule="auto"/>
        <w:tabs>
          <w:tab w:leader="none" w:pos="65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Within twenty-four months following the Termination Date, the Participant:</w:t>
      </w:r>
    </w:p>
    <w:p>
      <w:pPr>
        <w:spacing w:after="0" w:line="215" w:lineRule="exact"/>
        <w:rPr>
          <w:rFonts w:ascii="Arial" w:cs="Arial" w:eastAsia="Arial" w:hAnsi="Arial"/>
          <w:sz w:val="20"/>
          <w:szCs w:val="20"/>
          <w:color w:val="auto"/>
        </w:rPr>
      </w:pPr>
    </w:p>
    <w:p>
      <w:pPr>
        <w:ind w:left="1300" w:right="700" w:hanging="320"/>
        <w:spacing w:after="0" w:line="246" w:lineRule="auto"/>
        <w:tabs>
          <w:tab w:leader="none" w:pos="1294" w:val="left"/>
        </w:tabs>
        <w:numPr>
          <w:ilvl w:val="1"/>
          <w:numId w:val="61"/>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203" w:lineRule="exact"/>
        <w:rPr>
          <w:rFonts w:ascii="Arial" w:cs="Arial" w:eastAsia="Arial" w:hAnsi="Arial"/>
          <w:sz w:val="20"/>
          <w:szCs w:val="20"/>
          <w:color w:val="auto"/>
        </w:rPr>
      </w:pPr>
    </w:p>
    <w:p>
      <w:pPr>
        <w:ind w:left="1300" w:right="100" w:hanging="320"/>
        <w:spacing w:after="0" w:line="246" w:lineRule="auto"/>
        <w:tabs>
          <w:tab w:leader="none" w:pos="1294" w:val="left"/>
        </w:tabs>
        <w:numPr>
          <w:ilvl w:val="1"/>
          <w:numId w:val="61"/>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15" w:lineRule="exact"/>
        <w:rPr>
          <w:rFonts w:ascii="Arial" w:cs="Arial" w:eastAsia="Arial" w:hAnsi="Arial"/>
          <w:sz w:val="20"/>
          <w:szCs w:val="20"/>
          <w:color w:val="auto"/>
        </w:rPr>
      </w:pPr>
    </w:p>
    <w:p>
      <w:pPr>
        <w:ind w:left="660" w:right="60" w:hanging="328"/>
        <w:spacing w:after="0"/>
        <w:tabs>
          <w:tab w:leader="none" w:pos="648" w:val="left"/>
        </w:tabs>
        <w:numPr>
          <w:ilvl w:val="0"/>
          <w:numId w:val="61"/>
        </w:numPr>
        <w:rPr>
          <w:rFonts w:ascii="Arial" w:cs="Arial" w:eastAsia="Arial" w:hAnsi="Arial"/>
          <w:sz w:val="20"/>
          <w:szCs w:val="20"/>
          <w:color w:val="auto"/>
        </w:rPr>
      </w:pPr>
      <w:r>
        <w:rPr>
          <w:rFonts w:ascii="Arial" w:cs="Arial" w:eastAsia="Arial" w:hAnsi="Arial"/>
          <w:sz w:val="20"/>
          <w:szCs w:val="20"/>
          <w:color w:val="auto"/>
        </w:rPr>
        <w:t>At any time during the twelve-month period following the Termination Date: (A) the Participant becomes employed by, consults for, or otherwise renders services to any business entity or person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39" w:lineRule="exact"/>
        <w:rPr>
          <w:rFonts w:ascii="Arial" w:cs="Arial" w:eastAsia="Arial" w:hAnsi="Arial"/>
          <w:sz w:val="20"/>
          <w:szCs w:val="20"/>
          <w:color w:val="auto"/>
        </w:rPr>
      </w:pPr>
    </w:p>
    <w:p>
      <w:pPr>
        <w:ind w:left="660" w:right="360" w:hanging="328"/>
        <w:spacing w:after="0" w:line="231" w:lineRule="auto"/>
        <w:tabs>
          <w:tab w:leader="none" w:pos="649" w:val="left"/>
        </w:tabs>
        <w:numPr>
          <w:ilvl w:val="0"/>
          <w:numId w:val="61"/>
        </w:numPr>
        <w:rPr>
          <w:rFonts w:ascii="Arial" w:cs="Arial" w:eastAsia="Arial" w:hAnsi="Arial"/>
          <w:sz w:val="22"/>
          <w:szCs w:val="22"/>
          <w:color w:val="auto"/>
        </w:rPr>
      </w:pPr>
      <w:r>
        <w:rPr>
          <w:rFonts w:ascii="Arial" w:cs="Arial" w:eastAsia="Arial" w:hAnsi="Arial"/>
          <w:sz w:val="20"/>
          <w:szCs w:val="20"/>
          <w:color w:val="221E1F"/>
        </w:rPr>
        <w:t>Negligent conduct injurious to the Company, including negligent supervision of a subordinate whose action requires a restatement of financial results, or other significant harm to the Company as determined by the Committee.</w:t>
      </w:r>
    </w:p>
    <w:p>
      <w:pPr>
        <w:spacing w:after="0" w:line="197" w:lineRule="exact"/>
        <w:rPr>
          <w:sz w:val="20"/>
          <w:szCs w:val="20"/>
          <w:color w:val="auto"/>
        </w:rPr>
      </w:pPr>
    </w:p>
    <w:p>
      <w:pPr>
        <w:ind w:right="300"/>
        <w:spacing w:after="0" w:line="223" w:lineRule="auto"/>
        <w:rPr>
          <w:sz w:val="20"/>
          <w:szCs w:val="20"/>
          <w:color w:val="auto"/>
        </w:rPr>
      </w:pPr>
      <w:r>
        <w:rPr>
          <w:rFonts w:ascii="Arial" w:cs="Arial" w:eastAsia="Arial" w:hAnsi="Arial"/>
          <w:sz w:val="20"/>
          <w:szCs w:val="20"/>
          <w:color w:val="221E1F"/>
        </w:rPr>
        <w:t>In addition, the Committee reserves the right to require repayment of all or any portion of a SAR Award under item (iv) above, without regard to whether a restatement is attributable to the Participant’s actions, as appropriate and determined at the Committee’s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01/2020</w:t>
      </w:r>
      <w:r>
        <w:rPr>
          <w:sz w:val="20"/>
          <w:szCs w:val="20"/>
          <w:color w:val="auto"/>
        </w:rPr>
        <w:tab/>
      </w:r>
      <w:r>
        <w:rPr>
          <w:rFonts w:ascii="Arial" w:cs="Arial" w:eastAsia="Arial" w:hAnsi="Arial"/>
          <w:sz w:val="14"/>
          <w:szCs w:val="14"/>
          <w:color w:val="auto"/>
        </w:rPr>
        <w:t>6</w:t>
      </w:r>
    </w:p>
    <w:p>
      <w:pPr>
        <w:sectPr>
          <w:pgSz w:w="11900" w:h="16838" w:orient="portrait"/>
          <w:cols w:equalWidth="0" w:num="1">
            <w:col w:w="11240"/>
          </w:cols>
          <w:pgMar w:left="320" w:top="1418" w:right="339" w:bottom="1440" w:gutter="0" w:footer="0" w:header="0"/>
        </w:sectPr>
      </w:pPr>
    </w:p>
    <w:bookmarkStart w:id="101" w:name="page102"/>
    <w:bookmarkEnd w:id="101"/>
    <w:p>
      <w:pPr>
        <w:ind w:right="180"/>
        <w:spacing w:after="0" w:line="216" w:lineRule="auto"/>
        <w:rPr>
          <w:sz w:val="20"/>
          <w:szCs w:val="20"/>
          <w:color w:val="auto"/>
        </w:rPr>
      </w:pPr>
      <w:r>
        <w:rPr>
          <w:rFonts w:ascii="Arial" w:cs="Arial" w:eastAsia="Arial" w:hAnsi="Arial"/>
          <w:sz w:val="20"/>
          <w:szCs w:val="20"/>
          <w:color w:val="221E1F"/>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 and</w:t>
      </w:r>
      <w:r>
        <w:rPr>
          <w:rFonts w:ascii="Arial" w:cs="Arial" w:eastAsia="Arial" w:hAnsi="Arial"/>
          <w:sz w:val="20"/>
          <w:szCs w:val="20"/>
          <w:color w:val="0000FF"/>
        </w:rPr>
        <w:t xml:space="preserve"> </w:t>
      </w:r>
      <w:r>
        <w:rPr>
          <w:rFonts w:ascii="Arial" w:cs="Arial" w:eastAsia="Arial" w:hAnsi="Arial"/>
          <w:sz w:val="20"/>
          <w:szCs w:val="20"/>
          <w:color w:val="221E1F"/>
        </w:rPr>
        <w:t>the Raytheon Technologies Corporation Clawback Policy, available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0"/>
          <w:szCs w:val="20"/>
          <w:color w:val="221E1F"/>
        </w:rPr>
        <w: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13" w:lineRule="exact"/>
        <w:rPr>
          <w:sz w:val="20"/>
          <w:szCs w:val="20"/>
          <w:color w:val="auto"/>
        </w:rPr>
      </w:pPr>
    </w:p>
    <w:p>
      <w:pPr>
        <w:jc w:val="both"/>
        <w:ind w:right="400"/>
        <w:spacing w:after="0" w:line="235"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SAR Awards may be adjusted as determined by the Committee, in its sole discretion.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221E1F"/>
        </w:rPr>
        <w:t>Further information concerning capital adjustments is set forth in Section 3(e) of the LTIP, available at</w:t>
      </w: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13" w:lineRule="exact"/>
        <w:rPr>
          <w:sz w:val="20"/>
          <w:szCs w:val="20"/>
          <w:color w:val="auto"/>
        </w:rPr>
      </w:pPr>
    </w:p>
    <w:p>
      <w:pPr>
        <w:spacing w:after="0" w:line="230" w:lineRule="auto"/>
        <w:rPr>
          <w:sz w:val="20"/>
          <w:szCs w:val="20"/>
          <w:color w:val="auto"/>
        </w:rPr>
      </w:pPr>
      <w:r>
        <w:rPr>
          <w:rFonts w:ascii="Arial" w:cs="Arial" w:eastAsia="Arial" w:hAnsi="Arial"/>
          <w:sz w:val="19"/>
          <w:szCs w:val="19"/>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available at </w:t>
      </w:r>
      <w:r>
        <w:rPr>
          <w:rFonts w:ascii="Arial" w:cs="Arial" w:eastAsia="Arial" w:hAnsi="Arial"/>
          <w:sz w:val="19"/>
          <w:szCs w:val="19"/>
          <w:u w:val="single" w:color="auto"/>
          <w:color w:val="0000FF"/>
        </w:rPr>
        <w:t>www.ubs.com/onesource/rtx</w:t>
      </w:r>
      <w:r>
        <w:rPr>
          <w:rFonts w:ascii="Arial" w:cs="Arial" w:eastAsia="Arial" w:hAnsi="Arial"/>
          <w:sz w:val="19"/>
          <w:szCs w:val="19"/>
          <w:color w:val="000000"/>
        </w:rPr>
        <w: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Awards Not to Affect Certain Transactions</w:t>
      </w:r>
    </w:p>
    <w:p>
      <w:pPr>
        <w:spacing w:after="0" w:line="213" w:lineRule="exact"/>
        <w:rPr>
          <w:sz w:val="20"/>
          <w:szCs w:val="20"/>
          <w:color w:val="auto"/>
        </w:rPr>
      </w:pPr>
    </w:p>
    <w:p>
      <w:pPr>
        <w:ind w:right="360"/>
        <w:spacing w:after="0" w:line="230" w:lineRule="auto"/>
        <w:rPr>
          <w:sz w:val="20"/>
          <w:szCs w:val="20"/>
          <w:color w:val="auto"/>
        </w:rPr>
      </w:pPr>
      <w:r>
        <w:rPr>
          <w:rFonts w:ascii="Arial" w:cs="Arial" w:eastAsia="Arial" w:hAnsi="Arial"/>
          <w:sz w:val="19"/>
          <w:szCs w:val="19"/>
          <w:color w:val="221E1F"/>
        </w:rPr>
        <w:t>SAR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 Withholding</w:t>
      </w:r>
    </w:p>
    <w:p>
      <w:pPr>
        <w:spacing w:after="0" w:line="213" w:lineRule="exact"/>
        <w:rPr>
          <w:sz w:val="20"/>
          <w:szCs w:val="20"/>
          <w:color w:val="auto"/>
        </w:rPr>
      </w:pPr>
    </w:p>
    <w:p>
      <w:pPr>
        <w:ind w:right="140"/>
        <w:spacing w:after="0" w:line="215" w:lineRule="auto"/>
        <w:rPr>
          <w:sz w:val="20"/>
          <w:szCs w:val="20"/>
          <w:color w:val="auto"/>
        </w:rPr>
      </w:pPr>
      <w:r>
        <w:rPr>
          <w:rFonts w:ascii="Arial" w:cs="Arial" w:eastAsia="Arial" w:hAnsi="Arial"/>
          <w:sz w:val="20"/>
          <w:szCs w:val="20"/>
          <w:color w:val="221E1F"/>
        </w:rPr>
        <w:t>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subject to the SAR Award having a Fair Market Value on the date of exercise equal to the amount required to be withheld for tax purposes (calculated using the minimum statutory withholding rate, except as otherwise approved by the Committee). The Company shall have the right to deduct directly from any payment or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01/2020</w:t>
      </w:r>
      <w:r>
        <w:rPr>
          <w:sz w:val="20"/>
          <w:szCs w:val="20"/>
          <w:color w:val="auto"/>
        </w:rPr>
        <w:tab/>
      </w:r>
      <w:r>
        <w:rPr>
          <w:rFonts w:ascii="Arial" w:cs="Arial" w:eastAsia="Arial" w:hAnsi="Arial"/>
          <w:sz w:val="14"/>
          <w:szCs w:val="14"/>
          <w:color w:val="auto"/>
        </w:rPr>
        <w:t>7</w:t>
      </w:r>
    </w:p>
    <w:p>
      <w:pPr>
        <w:sectPr>
          <w:pgSz w:w="11900" w:h="16838" w:orient="portrait"/>
          <w:cols w:equalWidth="0" w:num="1">
            <w:col w:w="11240"/>
          </w:cols>
          <w:pgMar w:left="320" w:top="1418" w:right="339" w:bottom="1440" w:gutter="0" w:footer="0" w:header="0"/>
        </w:sectPr>
      </w:pPr>
    </w:p>
    <w:bookmarkStart w:id="102" w:name="page103"/>
    <w:bookmarkEnd w:id="102"/>
    <w:p>
      <w:pPr>
        <w:ind w:right="100"/>
        <w:spacing w:after="0" w:line="225" w:lineRule="auto"/>
        <w:rPr>
          <w:sz w:val="20"/>
          <w:szCs w:val="20"/>
          <w:color w:val="auto"/>
        </w:rPr>
      </w:pPr>
      <w:r>
        <w:rPr>
          <w:rFonts w:ascii="Arial" w:cs="Arial" w:eastAsia="Arial" w:hAnsi="Arial"/>
          <w:sz w:val="19"/>
          <w:szCs w:val="19"/>
          <w:color w:val="221E1F"/>
        </w:rPr>
        <w:t xml:space="preserve">of shares due to a Participant or from a Participant’s regular compensation to effect compliance with all Tax-Related Items, including withholding and reporting with respect to the exercise of any SAR. Acceptance of an Award constitutes affirmative consent by a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19"/>
          <w:szCs w:val="19"/>
          <w:color w:val="211F1F"/>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 w:cs="Arial" w:eastAsia="Arial" w:hAnsi="Arial"/>
          <w:sz w:val="19"/>
          <w:szCs w:val="19"/>
          <w:color w:val="221E1F"/>
        </w:rPr>
        <w:t>In those countries where there is no withholding on account of such Tax-Related Items,</w:t>
      </w:r>
      <w:r>
        <w:rPr>
          <w:rFonts w:ascii="Arial" w:cs="Arial" w:eastAsia="Arial" w:hAnsi="Arial"/>
          <w:sz w:val="19"/>
          <w:szCs w:val="19"/>
          <w:color w:val="211F1F"/>
        </w:rPr>
        <w:t xml:space="preserve"> </w:t>
      </w:r>
      <w:r>
        <w:rPr>
          <w:rFonts w:ascii="Arial" w:cs="Arial" w:eastAsia="Arial" w:hAnsi="Arial"/>
          <w:sz w:val="19"/>
          <w:szCs w:val="19"/>
          <w:color w:val="221E1F"/>
        </w:rPr>
        <w:t>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211F1F"/>
        </w:rPr>
        <w:t>Important information about the U.S. Federal income tax consequences of LTIP Awards can be found in the LTIP Prospectus at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13" w:lineRule="exact"/>
        <w:rPr>
          <w:sz w:val="20"/>
          <w:szCs w:val="20"/>
          <w:color w:val="auto"/>
        </w:rPr>
      </w:pPr>
    </w:p>
    <w:p>
      <w:pPr>
        <w:spacing w:after="0" w:line="223" w:lineRule="auto"/>
        <w:rPr>
          <w:sz w:val="20"/>
          <w:szCs w:val="20"/>
          <w:color w:val="auto"/>
        </w:rPr>
      </w:pPr>
      <w:r>
        <w:rPr>
          <w:rFonts w:ascii="Arial" w:cs="Arial" w:eastAsia="Arial" w:hAnsi="Arial"/>
          <w:sz w:val="20"/>
          <w:szCs w:val="20"/>
          <w:color w:val="221E1F"/>
        </w:rPr>
        <w:t xml:space="preserve">Unless otherwise approved by the Committee or its delegate, no </w:t>
      </w:r>
      <w:r>
        <w:rPr>
          <w:rFonts w:ascii="Arial" w:cs="Arial" w:eastAsia="Arial" w:hAnsi="Arial"/>
          <w:sz w:val="20"/>
          <w:szCs w:val="20"/>
          <w:color w:val="000000"/>
        </w:rPr>
        <w:t>assignment or transfer of any right or interest of a Participant in</w:t>
      </w:r>
      <w:r>
        <w:rPr>
          <w:rFonts w:ascii="Arial" w:cs="Arial" w:eastAsia="Arial" w:hAnsi="Arial"/>
          <w:sz w:val="20"/>
          <w:szCs w:val="20"/>
          <w:color w:val="221E1F"/>
        </w:rPr>
        <w:t xml:space="preserve"> </w:t>
      </w:r>
      <w:r>
        <w:rPr>
          <w:rFonts w:ascii="Arial" w:cs="Arial" w:eastAsia="Arial" w:hAnsi="Arial"/>
          <w:sz w:val="20"/>
          <w:szCs w:val="20"/>
          <w:color w:val="000000"/>
        </w:rPr>
        <w:t xml:space="preserve">any SAR Award, whether voluntary or involuntary, by operation of law or otherwise, is permitted except by will or the laws of descent and distribution. Any other </w:t>
      </w:r>
      <w:r>
        <w:rPr>
          <w:rFonts w:ascii="Arial" w:cs="Arial" w:eastAsia="Arial" w:hAnsi="Arial"/>
          <w:sz w:val="20"/>
          <w:szCs w:val="20"/>
          <w:color w:val="221E1F"/>
        </w:rPr>
        <w:t>attempt to assign such rights or interest shall be void and without force or effect.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Payments</w:t>
      </w:r>
    </w:p>
    <w:p>
      <w:pPr>
        <w:spacing w:after="0" w:line="213" w:lineRule="exact"/>
        <w:rPr>
          <w:sz w:val="20"/>
          <w:szCs w:val="20"/>
          <w:color w:val="auto"/>
        </w:rPr>
      </w:pPr>
    </w:p>
    <w:p>
      <w:pPr>
        <w:jc w:val="both"/>
        <w:ind w:right="40"/>
        <w:spacing w:after="0" w:line="220"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13"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211E1F"/>
        </w:rPr>
        <w:t>Nothing in the LTIP or in any SAR Award shall confer upon any Participant the right to continued employment or service for any period of time, or affect any right that the Company may have to terminate the employment of any Participant at any time for any reason.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3" w:lineRule="exact"/>
        <w:rPr>
          <w:sz w:val="20"/>
          <w:szCs w:val="20"/>
          <w:color w:val="auto"/>
        </w:rPr>
      </w:pPr>
    </w:p>
    <w:p>
      <w:pPr>
        <w:ind w:right="20"/>
        <w:spacing w:after="0" w:line="215"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01/2020</w:t>
      </w:r>
      <w:r>
        <w:rPr>
          <w:sz w:val="20"/>
          <w:szCs w:val="20"/>
          <w:color w:val="auto"/>
        </w:rPr>
        <w:tab/>
      </w:r>
      <w:r>
        <w:rPr>
          <w:rFonts w:ascii="Arial" w:cs="Arial" w:eastAsia="Arial" w:hAnsi="Arial"/>
          <w:sz w:val="14"/>
          <w:szCs w:val="14"/>
          <w:color w:val="auto"/>
        </w:rPr>
        <w:t>8</w:t>
      </w:r>
    </w:p>
    <w:p>
      <w:pPr>
        <w:sectPr>
          <w:pgSz w:w="11900" w:h="16838" w:orient="portrait"/>
          <w:cols w:equalWidth="0" w:num="1">
            <w:col w:w="11200"/>
          </w:cols>
          <w:pgMar w:left="320" w:top="1418" w:right="37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color w:val="221E1F"/>
        </w:rPr>
        <w:t>its delegate on any matter related to an Award shall be binding, final, and conclusive on all parties in interest.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3" w:lineRule="exact"/>
        <w:rPr>
          <w:sz w:val="20"/>
          <w:szCs w:val="20"/>
          <w:color w:val="auto"/>
        </w:rPr>
      </w:pPr>
    </w:p>
    <w:p>
      <w:pPr>
        <w:ind w:right="20"/>
        <w:spacing w:after="0" w:line="216"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Compliance Policies</w:t>
      </w:r>
    </w:p>
    <w:p>
      <w:pPr>
        <w:spacing w:after="0" w:line="213"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auto"/>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13" w:lineRule="exact"/>
        <w:rPr>
          <w:sz w:val="20"/>
          <w:szCs w:val="20"/>
          <w:color w:val="auto"/>
        </w:rPr>
      </w:pPr>
    </w:p>
    <w:p>
      <w:pPr>
        <w:ind w:right="80"/>
        <w:spacing w:after="0" w:line="215" w:lineRule="auto"/>
        <w:rPr>
          <w:sz w:val="20"/>
          <w:szCs w:val="20"/>
          <w:color w:val="auto"/>
        </w:rPr>
      </w:pPr>
      <w:r>
        <w:rPr>
          <w:rFonts w:ascii="Arial" w:cs="Arial" w:eastAsia="Arial" w:hAnsi="Arial"/>
          <w:sz w:val="20"/>
          <w:szCs w:val="20"/>
          <w:color w:val="221E1F"/>
        </w:rPr>
        <w:t xml:space="preserve">This Schedule of Terms provides a summary of terms applicable to the SAR Award. This Schedule of Terms and each Award Agreement are subject in all respects to the terms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01/2020</w:t>
      </w:r>
      <w:r>
        <w:rPr>
          <w:sz w:val="20"/>
          <w:szCs w:val="20"/>
          <w:color w:val="auto"/>
        </w:rPr>
        <w:tab/>
      </w:r>
      <w:r>
        <w:rPr>
          <w:rFonts w:ascii="Arial" w:cs="Arial" w:eastAsia="Arial" w:hAnsi="Arial"/>
          <w:sz w:val="14"/>
          <w:szCs w:val="14"/>
          <w:color w:val="auto"/>
        </w:rPr>
        <w:t>9</w:t>
      </w:r>
    </w:p>
    <w:p>
      <w:pPr>
        <w:sectPr>
          <w:pgSz w:w="11900" w:h="16838" w:orient="portrait"/>
          <w:cols w:equalWidth="0" w:num="1">
            <w:col w:w="11180"/>
          </w:cols>
          <w:pgMar w:left="320" w:top="1418" w:right="39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b w:val="1"/>
          <w:bCs w:val="1"/>
          <w:color w:val="221E1F"/>
        </w:rPr>
        <w:t>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Stock Plan Administrator</w:t>
      </w:r>
    </w:p>
    <w:p>
      <w:pPr>
        <w:ind w:left="660"/>
        <w:spacing w:after="0"/>
        <w:rPr>
          <w:sz w:val="20"/>
          <w:szCs w:val="20"/>
          <w:color w:val="auto"/>
        </w:rPr>
      </w:pPr>
      <w:r>
        <w:rPr>
          <w:rFonts w:ascii="Arial" w:cs="Arial" w:eastAsia="Arial" w:hAnsi="Arial"/>
          <w:sz w:val="20"/>
          <w:szCs w:val="20"/>
          <w:u w:val="single" w:color="auto"/>
          <w:color w:val="0000FF"/>
        </w:rPr>
        <w:t>rtxstockadmin@rtx.com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Raytheon Technologies Corporation</w:t>
      </w:r>
    </w:p>
    <w:p>
      <w:pPr>
        <w:ind w:left="660"/>
        <w:spacing w:after="0"/>
        <w:rPr>
          <w:sz w:val="20"/>
          <w:szCs w:val="20"/>
          <w:color w:val="auto"/>
        </w:rPr>
      </w:pPr>
      <w:r>
        <w:rPr>
          <w:rFonts w:ascii="Arial" w:cs="Arial" w:eastAsia="Arial" w:hAnsi="Arial"/>
          <w:sz w:val="20"/>
          <w:szCs w:val="20"/>
          <w:color w:val="auto"/>
        </w:rPr>
        <w:t>Attn: Stock Plan Administrator</w:t>
      </w:r>
    </w:p>
    <w:p>
      <w:pPr>
        <w:ind w:left="660"/>
        <w:spacing w:after="0"/>
        <w:rPr>
          <w:sz w:val="20"/>
          <w:szCs w:val="20"/>
          <w:color w:val="auto"/>
        </w:rPr>
      </w:pPr>
      <w:r>
        <w:rPr>
          <w:rFonts w:ascii="Arial" w:cs="Arial" w:eastAsia="Arial" w:hAnsi="Arial"/>
          <w:sz w:val="20"/>
          <w:szCs w:val="20"/>
          <w:color w:val="auto"/>
        </w:rPr>
        <w:t>4 Farm Springs Road</w:t>
      </w:r>
    </w:p>
    <w:p>
      <w:pPr>
        <w:ind w:left="660"/>
        <w:spacing w:after="0"/>
        <w:rPr>
          <w:sz w:val="20"/>
          <w:szCs w:val="20"/>
          <w:color w:val="auto"/>
        </w:rPr>
      </w:pPr>
      <w:r>
        <w:rPr>
          <w:rFonts w:ascii="Arial" w:cs="Arial" w:eastAsia="Arial" w:hAnsi="Arial"/>
          <w:sz w:val="20"/>
          <w:szCs w:val="20"/>
          <w:color w:val="auto"/>
        </w:rPr>
        <w:t>Farmington, CT 06032</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01/2020</w:t>
      </w:r>
      <w:r>
        <w:rPr>
          <w:sz w:val="20"/>
          <w:szCs w:val="20"/>
          <w:color w:val="auto"/>
        </w:rPr>
        <w:tab/>
      </w:r>
      <w:r>
        <w:rPr>
          <w:rFonts w:ascii="Arial" w:cs="Arial" w:eastAsia="Arial" w:hAnsi="Arial"/>
          <w:sz w:val="14"/>
          <w:szCs w:val="14"/>
          <w:color w:val="auto"/>
        </w:rPr>
        <w:t>10</w:t>
      </w:r>
    </w:p>
    <w:p>
      <w:pPr>
        <w:sectPr>
          <w:pgSz w:w="11900" w:h="16838" w:orient="portrait"/>
          <w:cols w:equalWidth="0" w:num="1">
            <w:col w:w="11160"/>
          </w:cols>
          <w:pgMar w:left="320" w:top="1394" w:right="4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10.7</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Raytheon Technologies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Non-Qualified Stock Option Award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This Schedule of Terms describes the material features of the Participant’s Non-Qualified Stock Option Award (the “Option Award” or the “Award”) granted under the Raytheon Technologies Corporation 2018 Long-Term Incentive Plan (the “LTIP”), subject to this Schedule of Terms, the Award Agreement, and the terms and conditions set forth in the LTIP. The LTIP Prospectus contains further information about the LTIP and this Award and is available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02/2021</w:t>
      </w:r>
    </w:p>
    <w:p>
      <w:pPr>
        <w:sectPr>
          <w:pgSz w:w="11900" w:h="16838" w:orient="portrait"/>
          <w:cols w:equalWidth="0" w:num="1">
            <w:col w:w="11240"/>
          </w:cols>
          <w:pgMar w:left="320" w:top="850" w:right="3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color w:val="221E1F"/>
        </w:rPr>
        <w:t>Ce</w:t>
      </w:r>
      <w:r>
        <w:rPr>
          <w:rFonts w:ascii="Arial" w:cs="Arial" w:eastAsia="Arial" w:hAnsi="Arial"/>
          <w:sz w:val="20"/>
          <w:szCs w:val="20"/>
          <w:b w:val="1"/>
          <w:bCs w:val="1"/>
          <w:color w:val="000000"/>
        </w:rPr>
        <w:t>rtain Definitions</w:t>
      </w:r>
    </w:p>
    <w:p>
      <w:pPr>
        <w:spacing w:after="0" w:line="213" w:lineRule="exact"/>
        <w:rPr>
          <w:sz w:val="20"/>
          <w:szCs w:val="20"/>
          <w:color w:val="auto"/>
        </w:rPr>
      </w:pPr>
    </w:p>
    <w:p>
      <w:pPr>
        <w:ind w:right="100"/>
        <w:spacing w:after="0" w:line="214" w:lineRule="auto"/>
        <w:rPr>
          <w:sz w:val="20"/>
          <w:szCs w:val="20"/>
          <w:color w:val="auto"/>
        </w:rPr>
      </w:pPr>
      <w:r>
        <w:rPr>
          <w:rFonts w:ascii="Arial" w:cs="Arial" w:eastAsia="Arial" w:hAnsi="Arial"/>
          <w:sz w:val="20"/>
          <w:szCs w:val="20"/>
          <w:color w:val="auto"/>
        </w:rPr>
        <w:t>A Non-qualified Stock Option (an “Option”) represents the right to purchase a specified number of shares of Common Stock of Raytheon Technologies Corporation (the “Common Stock”) for a specified price (the “Grant Price”). Options are generally exercisable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“Company” means Raytheon Technologies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Compensation Committee of the Board. Capitalized terms not otherwise defined in this Schedule of Terms have the same meaning as defined in the LTIP.</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13"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 xml:space="preserve">The number of Options awarded and the </w:t>
      </w:r>
      <w:r>
        <w:rPr>
          <w:rFonts w:ascii="Arial" w:cs="Arial" w:eastAsia="Arial" w:hAnsi="Arial"/>
          <w:sz w:val="19"/>
          <w:szCs w:val="19"/>
          <w:color w:val="221E1F"/>
        </w:rPr>
        <w:t>Option</w:t>
      </w:r>
      <w:r>
        <w:rPr>
          <w:rFonts w:ascii="Arial" w:cs="Arial" w:eastAsia="Arial" w:hAnsi="Arial"/>
          <w:sz w:val="19"/>
          <w:szCs w:val="19"/>
          <w:color w:val="auto"/>
        </w:rPr>
        <w:t xml:space="preserve"> grant price are set forth in the Award Agreement. An LTIP Award recipient (a “Participant”) must affirmatively acknowledge and accept the terms and conditions of the Option Award within 150 days following the Grant Date. A failure to acknowledge and accept the Option Award subject to the LTIP and this Schedule of Terms, within such 150-day period may result in forfeiture of the Option Award, effective as of the 150th day following the Grant Date.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Participants must acknowledge and accept the terms and conditions of this Option Award electronically via the UBS </w:t>
      </w:r>
      <w:r>
        <w:rPr>
          <w:rFonts w:ascii="Arial" w:cs="Arial" w:eastAsia="Arial" w:hAnsi="Arial"/>
          <w:sz w:val="19"/>
          <w:szCs w:val="19"/>
          <w:i w:val="1"/>
          <w:iCs w:val="1"/>
          <w:color w:val="auto"/>
        </w:rPr>
        <w:t>One Source</w:t>
      </w:r>
    </w:p>
    <w:p>
      <w:pPr>
        <w:spacing w:after="0" w:line="1" w:lineRule="exact"/>
        <w:rPr>
          <w:sz w:val="20"/>
          <w:szCs w:val="20"/>
          <w:color w:val="auto"/>
        </w:rPr>
      </w:pPr>
    </w:p>
    <w:p>
      <w:pPr>
        <w:jc w:val="both"/>
        <w:ind w:right="40"/>
        <w:spacing w:after="0" w:line="225" w:lineRule="auto"/>
        <w:rPr>
          <w:sz w:val="20"/>
          <w:szCs w:val="20"/>
          <w:color w:val="auto"/>
        </w:rPr>
      </w:pPr>
      <w:r>
        <w:rPr>
          <w:rFonts w:ascii="Arial" w:cs="Arial" w:eastAsia="Arial" w:hAnsi="Arial"/>
          <w:sz w:val="20"/>
          <w:szCs w:val="20"/>
          <w:color w:val="auto"/>
        </w:rPr>
        <w:t xml:space="preserve">website at </w:t>
      </w:r>
      <w:r>
        <w:rPr>
          <w:rFonts w:ascii="Arial" w:cs="Arial" w:eastAsia="Arial" w:hAnsi="Arial"/>
          <w:sz w:val="20"/>
          <w:szCs w:val="20"/>
          <w:u w:val="single" w:color="auto"/>
          <w:color w:val="0000FF"/>
        </w:rPr>
        <w:t>www.ubs.com/onesource/rtx</w:t>
      </w:r>
      <w:r>
        <w:rPr>
          <w:rFonts w:ascii="Arial" w:cs="Arial" w:eastAsia="Arial" w:hAnsi="Arial"/>
          <w:sz w:val="21"/>
          <w:szCs w:val="21"/>
          <w:color w:val="auto"/>
        </w:rPr>
        <w:t>.</w:t>
      </w:r>
      <w:r>
        <w:rPr>
          <w:rFonts w:ascii="Arial" w:cs="Arial" w:eastAsia="Arial" w:hAnsi="Arial"/>
          <w:sz w:val="20"/>
          <w:szCs w:val="20"/>
          <w:color w:val="auto"/>
        </w:rPr>
        <w:t xml:space="preserve"> Participants based in certain countries may be required to acknowledge and accept the terms and conditions of this Option Award by signing and returning the designated hard copy portion of the Award Agreement to the Stock Plan Administrator. These countries currently include Russia, Turkey, Hungary, and Slovenia.</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Price (or “Grant Price”)</w:t>
      </w:r>
    </w:p>
    <w:p>
      <w:pPr>
        <w:spacing w:after="0" w:line="213"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The Grant Price represents the Fair Market Value of the Corporation’s Common Stock on the date of grant. “Fair Market Value” means, as of any given date, the closing price of the Common Stock on the New York Stock Exchange.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 and Expiration</w:t>
      </w:r>
    </w:p>
    <w:p>
      <w:pPr>
        <w:spacing w:after="0" w:line="213" w:lineRule="exact"/>
        <w:rPr>
          <w:sz w:val="20"/>
          <w:szCs w:val="20"/>
          <w:color w:val="auto"/>
        </w:rPr>
      </w:pPr>
    </w:p>
    <w:p>
      <w:pPr>
        <w:ind w:right="160"/>
        <w:spacing w:after="0" w:line="231" w:lineRule="auto"/>
        <w:rPr>
          <w:sz w:val="20"/>
          <w:szCs w:val="20"/>
          <w:color w:val="auto"/>
        </w:rPr>
      </w:pPr>
      <w:r>
        <w:rPr>
          <w:rFonts w:ascii="Arial" w:cs="Arial" w:eastAsia="Arial" w:hAnsi="Arial"/>
          <w:sz w:val="19"/>
          <w:szCs w:val="19"/>
          <w:color w:val="221E1F"/>
        </w:rPr>
        <w:t>Options will vest and expire (if unexercised) in accordance with the schedule set forth in the Award Agreement, subject to the Participant’s continued employment with the Company through each applicable vesting date. Options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221E1F"/>
        </w:rPr>
        <w:t>Options may be exercised on or after the vesting date until the earlier of the: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21E1F"/>
        </w:rPr>
        <w:t>(i) Expiration date specified in the Award Agreement, at which time the Stock Options and all associated rights lapse;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10700"/>
        <w:spacing w:after="0"/>
        <w:rPr>
          <w:sz w:val="20"/>
          <w:szCs w:val="20"/>
          <w:color w:val="auto"/>
        </w:rPr>
      </w:pPr>
      <w:r>
        <w:rPr>
          <w:rFonts w:ascii="Arial" w:cs="Arial" w:eastAsia="Arial" w:hAnsi="Arial"/>
          <w:sz w:val="14"/>
          <w:szCs w:val="14"/>
          <w:color w:val="auto"/>
        </w:rPr>
        <w:t>01/2020</w:t>
      </w:r>
    </w:p>
    <w:p>
      <w:pPr>
        <w:spacing w:after="0" w:line="69" w:lineRule="exact"/>
        <w:rPr>
          <w:sz w:val="20"/>
          <w:szCs w:val="20"/>
          <w:color w:val="auto"/>
        </w:rPr>
      </w:pPr>
    </w:p>
    <w:p>
      <w:pPr>
        <w:jc w:val="right"/>
        <w:ind w:right="106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20"/>
          </w:cols>
          <w:pgMar w:left="320" w:top="1394" w:right="35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221E1F"/>
        </w:rPr>
        <w:t>(ii) Last day permitted on or following Termination of Service as specified in “Termination of Service” below.</w:t>
      </w:r>
    </w:p>
    <w:p>
      <w:pPr>
        <w:spacing w:after="0" w:line="189" w:lineRule="exact"/>
        <w:rPr>
          <w:sz w:val="20"/>
          <w:szCs w:val="20"/>
          <w:color w:val="auto"/>
        </w:rPr>
      </w:pPr>
    </w:p>
    <w:p>
      <w:pPr>
        <w:ind w:right="560"/>
        <w:spacing w:after="0" w:line="229" w:lineRule="auto"/>
        <w:rPr>
          <w:sz w:val="20"/>
          <w:szCs w:val="20"/>
          <w:color w:val="auto"/>
        </w:rPr>
      </w:pPr>
      <w:r>
        <w:rPr>
          <w:rFonts w:ascii="Arial" w:cs="Arial" w:eastAsia="Arial" w:hAnsi="Arial"/>
          <w:sz w:val="20"/>
          <w:szCs w:val="20"/>
          <w:color w:val="221E1F"/>
        </w:rPr>
        <w:t xml:space="preserve">Options </w:t>
      </w:r>
      <w:r>
        <w:rPr>
          <w:rFonts w:ascii="Arial" w:cs="Arial" w:eastAsia="Arial" w:hAnsi="Arial"/>
          <w:sz w:val="20"/>
          <w:szCs w:val="20"/>
          <w:color w:val="000000"/>
        </w:rPr>
        <w:t>may also be forfeited and value realized from exercised</w:t>
      </w:r>
      <w:r>
        <w:rPr>
          <w:rFonts w:ascii="Arial" w:cs="Arial" w:eastAsia="Arial" w:hAnsi="Arial"/>
          <w:sz w:val="20"/>
          <w:szCs w:val="20"/>
          <w:color w:val="221E1F"/>
        </w:rPr>
        <w:t xml:space="preserve"> Options </w:t>
      </w:r>
      <w:r>
        <w:rPr>
          <w:rFonts w:ascii="Arial" w:cs="Arial" w:eastAsia="Arial" w:hAnsi="Arial"/>
          <w:sz w:val="20"/>
          <w:szCs w:val="20"/>
          <w:color w:val="000000"/>
        </w:rPr>
        <w:t>may be recouped by the Company under certain</w:t>
      </w:r>
      <w:r>
        <w:rPr>
          <w:rFonts w:ascii="Arial" w:cs="Arial" w:eastAsia="Arial" w:hAnsi="Arial"/>
          <w:sz w:val="20"/>
          <w:szCs w:val="20"/>
          <w:color w:val="221E1F"/>
        </w:rPr>
        <w:t xml:space="preserve"> </w:t>
      </w:r>
      <w:r>
        <w:rPr>
          <w:rFonts w:ascii="Arial" w:cs="Arial" w:eastAsia="Arial" w:hAnsi="Arial"/>
          <w:sz w:val="20"/>
          <w:szCs w:val="20"/>
          <w:color w:val="000000"/>
        </w:rPr>
        <w:t>circumstances (see “Forfeiture of Award and Repayment of Realized Gains” below).</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3" w:lineRule="exact"/>
        <w:rPr>
          <w:sz w:val="20"/>
          <w:szCs w:val="20"/>
          <w:color w:val="auto"/>
        </w:rPr>
      </w:pPr>
    </w:p>
    <w:p>
      <w:pPr>
        <w:spacing w:after="0" w:line="223" w:lineRule="auto"/>
        <w:rPr>
          <w:sz w:val="20"/>
          <w:szCs w:val="20"/>
          <w:color w:val="auto"/>
        </w:rPr>
      </w:pPr>
      <w:r>
        <w:rPr>
          <w:rFonts w:ascii="Arial" w:cs="Arial" w:eastAsia="Arial" w:hAnsi="Arial"/>
          <w:sz w:val="20"/>
          <w:szCs w:val="20"/>
          <w:color w:val="221E1F"/>
        </w:rPr>
        <w:t xml:space="preserve">An Option is the right to </w:t>
      </w:r>
      <w:r>
        <w:rPr>
          <w:rFonts w:ascii="Arial" w:cs="Arial" w:eastAsia="Arial" w:hAnsi="Arial"/>
          <w:sz w:val="20"/>
          <w:szCs w:val="20"/>
          <w:color w:val="000000"/>
        </w:rPr>
        <w:t>purchase a specified number of shares of</w:t>
      </w:r>
      <w:r>
        <w:rPr>
          <w:rFonts w:ascii="Arial" w:cs="Arial" w:eastAsia="Arial" w:hAnsi="Arial"/>
          <w:sz w:val="20"/>
          <w:szCs w:val="20"/>
          <w:color w:val="221E1F"/>
        </w:rPr>
        <w:t xml:space="preserve"> Common Stock </w:t>
      </w:r>
      <w:r>
        <w:rPr>
          <w:rFonts w:ascii="Arial" w:cs="Arial" w:eastAsia="Arial" w:hAnsi="Arial"/>
          <w:sz w:val="20"/>
          <w:szCs w:val="20"/>
          <w:color w:val="000000"/>
        </w:rPr>
        <w:t>for a specified price,</w:t>
      </w:r>
      <w:r>
        <w:rPr>
          <w:rFonts w:ascii="Arial" w:cs="Arial" w:eastAsia="Arial" w:hAnsi="Arial"/>
          <w:sz w:val="20"/>
          <w:szCs w:val="20"/>
          <w:color w:val="221E1F"/>
        </w:rPr>
        <w:t xml:space="preserve"> subject to continued employment and certain other conditions. The holder of an Option has no voting, dividend, or other rights accorded to owners of Common Stock, unless and until Options are exercised and settled in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Exercise and Payment</w:t>
      </w:r>
    </w:p>
    <w:p>
      <w:pPr>
        <w:spacing w:after="0" w:line="213" w:lineRule="exact"/>
        <w:rPr>
          <w:sz w:val="20"/>
          <w:szCs w:val="20"/>
          <w:color w:val="auto"/>
        </w:rPr>
      </w:pPr>
    </w:p>
    <w:p>
      <w:pPr>
        <w:ind w:right="160"/>
        <w:spacing w:after="0" w:line="218" w:lineRule="auto"/>
        <w:rPr>
          <w:sz w:val="20"/>
          <w:szCs w:val="20"/>
          <w:color w:val="auto"/>
        </w:rPr>
      </w:pPr>
      <w:r>
        <w:rPr>
          <w:rFonts w:ascii="Arial" w:cs="Arial" w:eastAsia="Arial" w:hAnsi="Arial"/>
          <w:sz w:val="20"/>
          <w:szCs w:val="20"/>
          <w:color w:val="221E1F"/>
        </w:rPr>
        <w:t>While a Participant is employed by the Company, the Participant may exercise Options on or after the vesting date until the expiration date. The value a Participant will realize upon the exercise of an Option is the difference between the price of the Common Stock at the time of exercise and the Grant Price. The Participant will generally receive shares of Common Stock as soon as administratively practicable following exercise. The value of the Options may instead be paid in cash if the Committee so determines, including where local law restricts the distribution of Common Stock.</w:t>
      </w:r>
    </w:p>
    <w:p>
      <w:pPr>
        <w:spacing w:after="0" w:line="184"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color w:val="221E1F"/>
        </w:rPr>
        <w:t>It is the responsibility of the Participant, or a designated representative, to track the expiration of the Award and exercise Options in a timely manner. The Company assumes no responsibility for, and will make no adjustments with respect to, Options that expire unexercised. Any communication from the Plan Administrator or the Company to the Participant with respect to expiration is provided as a courtesy only.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13"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221E1F"/>
        </w:rPr>
        <w:t>The treatment of Options upon Termination of Service depends upon the reason for termination, as detailed in the following sections. Options held for less than one year as of the Termination Date will be forfeited, except in the event of Death, Disability, or Change-in-Control Termination, as discussed below.</w:t>
      </w:r>
    </w:p>
    <w:p>
      <w:pPr>
        <w:spacing w:after="0" w:line="182" w:lineRule="exact"/>
        <w:rPr>
          <w:sz w:val="20"/>
          <w:szCs w:val="20"/>
          <w:color w:val="auto"/>
        </w:rPr>
      </w:pPr>
    </w:p>
    <w:p>
      <w:pPr>
        <w:ind w:right="220"/>
        <w:spacing w:after="0" w:line="229"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58" w:lineRule="exact"/>
        <w:rPr>
          <w:sz w:val="20"/>
          <w:szCs w:val="20"/>
          <w:color w:val="auto"/>
        </w:rPr>
      </w:pPr>
    </w:p>
    <w:p>
      <w:pPr>
        <w:ind w:right="300"/>
        <w:spacing w:after="0" w:line="231"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Options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become exercisable. For this purpose, Retirement means either a Normal Retirement or Early Retirement as defined below:</w:t>
      </w:r>
    </w:p>
    <w:p>
      <w:pPr>
        <w:spacing w:after="0" w:line="183"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20"/>
          <w:szCs w:val="20"/>
          <w:color w:val="221E1F"/>
        </w:rPr>
      </w:pPr>
      <w:r>
        <w:rPr>
          <w:rFonts w:ascii="Arial" w:cs="Arial" w:eastAsia="Arial" w:hAnsi="Arial"/>
          <w:sz w:val="20"/>
          <w:szCs w:val="20"/>
          <w:color w:val="221E1F"/>
        </w:rPr>
        <w:t>“Normal Retirement” means retirement on or after age 65;</w:t>
      </w:r>
    </w:p>
    <w:p>
      <w:pPr>
        <w:spacing w:after="0" w:line="188" w:lineRule="exact"/>
        <w:rPr>
          <w:rFonts w:ascii="Arial" w:cs="Arial" w:eastAsia="Arial" w:hAnsi="Arial"/>
          <w:sz w:val="20"/>
          <w:szCs w:val="20"/>
          <w:color w:val="221E1F"/>
        </w:rPr>
      </w:pPr>
    </w:p>
    <w:p>
      <w:pPr>
        <w:ind w:left="700" w:hanging="368"/>
        <w:spacing w:after="0"/>
        <w:tabs>
          <w:tab w:leader="none" w:pos="700" w:val="left"/>
        </w:tabs>
        <w:numPr>
          <w:ilvl w:val="0"/>
          <w:numId w:val="62"/>
        </w:numPr>
        <w:rPr>
          <w:rFonts w:ascii="Arial" w:cs="Arial" w:eastAsia="Arial" w:hAnsi="Arial"/>
          <w:sz w:val="20"/>
          <w:szCs w:val="20"/>
          <w:color w:val="221E1F"/>
        </w:rPr>
      </w:pPr>
      <w:r>
        <w:rPr>
          <w:rFonts w:ascii="Arial" w:cs="Arial" w:eastAsia="Arial" w:hAnsi="Arial"/>
          <w:sz w:val="20"/>
          <w:szCs w:val="20"/>
          <w:color w:val="221E1F"/>
        </w:rPr>
        <w:t>“Early Retirement” means retirement on or after:</w:t>
      </w:r>
    </w:p>
    <w:p>
      <w:pPr>
        <w:spacing w:after="0" w:line="177" w:lineRule="exact"/>
        <w:rPr>
          <w:rFonts w:ascii="Arial" w:cs="Arial" w:eastAsia="Arial" w:hAnsi="Arial"/>
          <w:sz w:val="20"/>
          <w:szCs w:val="20"/>
          <w:color w:val="221E1F"/>
        </w:rPr>
      </w:pPr>
    </w:p>
    <w:p>
      <w:pPr>
        <w:ind w:left="1300" w:hanging="320"/>
        <w:spacing w:after="0"/>
        <w:tabs>
          <w:tab w:leader="none" w:pos="1300" w:val="left"/>
        </w:tabs>
        <w:numPr>
          <w:ilvl w:val="1"/>
          <w:numId w:val="62"/>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194" w:lineRule="exact"/>
        <w:rPr>
          <w:rFonts w:ascii="Courier New" w:cs="Courier New" w:eastAsia="Courier New" w:hAnsi="Courier New"/>
          <w:sz w:val="20"/>
          <w:szCs w:val="20"/>
          <w:color w:val="221E1F"/>
        </w:rPr>
      </w:pPr>
    </w:p>
    <w:p>
      <w:pPr>
        <w:ind w:left="1300" w:right="100" w:hanging="320"/>
        <w:spacing w:after="0" w:line="227" w:lineRule="auto"/>
        <w:tabs>
          <w:tab w:leader="none" w:pos="1297" w:val="left"/>
        </w:tabs>
        <w:numPr>
          <w:ilvl w:val="1"/>
          <w:numId w:val="62"/>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10660"/>
        <w:spacing w:after="0"/>
        <w:rPr>
          <w:sz w:val="20"/>
          <w:szCs w:val="20"/>
          <w:color w:val="auto"/>
        </w:rPr>
      </w:pPr>
      <w:r>
        <w:rPr>
          <w:rFonts w:ascii="Arial" w:cs="Arial" w:eastAsia="Arial" w:hAnsi="Arial"/>
          <w:sz w:val="14"/>
          <w:szCs w:val="14"/>
          <w:color w:val="auto"/>
        </w:rPr>
        <w:t>01/2020</w:t>
      </w:r>
    </w:p>
    <w:p>
      <w:pPr>
        <w:spacing w:after="0" w:line="69" w:lineRule="exact"/>
        <w:rPr>
          <w:sz w:val="20"/>
          <w:szCs w:val="20"/>
          <w:color w:val="auto"/>
        </w:rPr>
      </w:pPr>
    </w:p>
    <w:p>
      <w:pPr>
        <w:jc w:val="right"/>
        <w:ind w:right="106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80"/>
          </w:cols>
          <w:pgMar w:left="320" w:top="1418" w:right="39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221E1F"/>
        </w:rPr>
        <w:t>Upon Retirement, vested Options may be exercised as detailed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40575" cy="2734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0575" cy="27349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Type</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221E1F"/>
                <w:w w:val="98"/>
              </w:rPr>
              <w:t>Company Consents to Early</w:t>
            </w:r>
          </w:p>
        </w:tc>
        <w:tc>
          <w:tcPr>
            <w:tcW w:w="5400" w:type="dxa"/>
            <w:vAlign w:val="bottom"/>
            <w:tcBorders>
              <w:top w:val="single" w:sz="8" w:color="auto"/>
            </w:tcBorders>
            <w:vMerge w:val="restart"/>
          </w:tcPr>
          <w:p>
            <w:pPr>
              <w:ind w:left="1940"/>
              <w:spacing w:after="0"/>
              <w:rPr>
                <w:sz w:val="20"/>
                <w:szCs w:val="20"/>
                <w:color w:val="auto"/>
              </w:rPr>
            </w:pPr>
            <w:r>
              <w:rPr>
                <w:rFonts w:ascii="Arial" w:cs="Arial" w:eastAsia="Arial" w:hAnsi="Arial"/>
                <w:sz w:val="20"/>
                <w:szCs w:val="20"/>
                <w:b w:val="1"/>
                <w:bCs w:val="1"/>
                <w:color w:val="221E1F"/>
              </w:rPr>
              <w:t>Exercise Period</w:t>
            </w:r>
          </w:p>
        </w:tc>
        <w:tc>
          <w:tcPr>
            <w:tcW w:w="0" w:type="dxa"/>
            <w:vAlign w:val="bottom"/>
          </w:tcPr>
          <w:p>
            <w:pPr>
              <w:spacing w:after="0"/>
              <w:rPr>
                <w:sz w:val="1"/>
                <w:szCs w:val="1"/>
                <w:color w:val="auto"/>
              </w:rPr>
            </w:pPr>
          </w:p>
        </w:tc>
      </w:tr>
      <w:tr>
        <w:trPr>
          <w:trHeight w:val="140"/>
        </w:trPr>
        <w:tc>
          <w:tcPr>
            <w:tcW w:w="2940" w:type="dxa"/>
            <w:vAlign w:val="bottom"/>
            <w:tcBorders>
              <w:right w:val="single" w:sz="8" w:color="auto"/>
            </w:tcBorders>
            <w:vMerge w:val="continue"/>
          </w:tcPr>
          <w:p>
            <w:pPr>
              <w:spacing w:after="0"/>
              <w:rPr>
                <w:sz w:val="12"/>
                <w:szCs w:val="12"/>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rPr>
              <w:t>Retirement *</w:t>
            </w:r>
          </w:p>
        </w:tc>
        <w:tc>
          <w:tcPr>
            <w:tcW w:w="5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940" w:type="dxa"/>
            <w:vAlign w:val="bottom"/>
            <w:tcBorders>
              <w:right w:val="single" w:sz="8" w:color="auto"/>
            </w:tcBorders>
          </w:tcPr>
          <w:p>
            <w:pPr>
              <w:spacing w:after="0"/>
              <w:rPr>
                <w:sz w:val="10"/>
                <w:szCs w:val="10"/>
                <w:color w:val="auto"/>
              </w:rPr>
            </w:pPr>
          </w:p>
        </w:tc>
        <w:tc>
          <w:tcPr>
            <w:tcW w:w="2920" w:type="dxa"/>
            <w:vAlign w:val="bottom"/>
            <w:tcBorders>
              <w:right w:val="single" w:sz="8" w:color="auto"/>
            </w:tcBorders>
            <w:vMerge w:val="continue"/>
          </w:tcPr>
          <w:p>
            <w:pPr>
              <w:spacing w:after="0"/>
              <w:rPr>
                <w:sz w:val="10"/>
                <w:szCs w:val="10"/>
                <w:color w:val="auto"/>
              </w:rPr>
            </w:pPr>
          </w:p>
        </w:tc>
        <w:tc>
          <w:tcPr>
            <w:tcW w:w="5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9"/>
              </w:rPr>
              <w:t>Normal Retirement (age 65)</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rPr>
              <w:t>N/A</w:t>
            </w:r>
          </w:p>
        </w:tc>
        <w:tc>
          <w:tcPr>
            <w:tcW w:w="5400" w:type="dxa"/>
            <w:vAlign w:val="bottom"/>
          </w:tcPr>
          <w:p>
            <w:pPr>
              <w:ind w:left="20"/>
              <w:spacing w:after="0"/>
              <w:rPr>
                <w:sz w:val="20"/>
                <w:szCs w:val="20"/>
                <w:color w:val="auto"/>
              </w:rPr>
            </w:pPr>
            <w:r>
              <w:rPr>
                <w:rFonts w:ascii="Arial" w:cs="Arial" w:eastAsia="Arial" w:hAnsi="Arial"/>
                <w:sz w:val="20"/>
                <w:szCs w:val="20"/>
                <w:color w:val="221E1F"/>
              </w:rPr>
              <w:t>Options may be exercised until the expiration of their term</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9"/>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Yes</w:t>
            </w:r>
          </w:p>
        </w:tc>
        <w:tc>
          <w:tcPr>
            <w:tcW w:w="5400" w:type="dxa"/>
            <w:vAlign w:val="bottom"/>
          </w:tcPr>
          <w:p>
            <w:pPr>
              <w:ind w:left="20"/>
              <w:spacing w:after="0"/>
              <w:rPr>
                <w:sz w:val="20"/>
                <w:szCs w:val="20"/>
                <w:color w:val="auto"/>
              </w:rPr>
            </w:pPr>
            <w:r>
              <w:rPr>
                <w:rFonts w:ascii="Arial" w:cs="Arial" w:eastAsia="Arial" w:hAnsi="Arial"/>
                <w:sz w:val="20"/>
                <w:szCs w:val="20"/>
                <w:color w:val="221E1F"/>
              </w:rPr>
              <w:t>Options may be exercised until the expiration of their term</w:t>
            </w:r>
          </w:p>
        </w:tc>
        <w:tc>
          <w:tcPr>
            <w:tcW w:w="0" w:type="dxa"/>
            <w:vAlign w:val="bottom"/>
          </w:tcPr>
          <w:p>
            <w:pPr>
              <w:spacing w:after="0"/>
              <w:rPr>
                <w:sz w:val="1"/>
                <w:szCs w:val="1"/>
                <w:color w:val="auto"/>
              </w:rPr>
            </w:pPr>
          </w:p>
        </w:tc>
      </w:tr>
      <w:tr>
        <w:trPr>
          <w:trHeight w:val="117"/>
        </w:trPr>
        <w:tc>
          <w:tcPr>
            <w:tcW w:w="2940" w:type="dxa"/>
            <w:vAlign w:val="bottom"/>
            <w:tcBorders>
              <w:right w:val="single" w:sz="8" w:color="auto"/>
            </w:tcBorders>
            <w:vMerge w:val="continue"/>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5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940" w:type="dxa"/>
            <w:vAlign w:val="bottom"/>
            <w:tcBorders>
              <w:right w:val="single" w:sz="8" w:color="auto"/>
            </w:tcBorders>
          </w:tcPr>
          <w:p>
            <w:pPr>
              <w:jc w:val="center"/>
              <w:spacing w:after="0" w:line="219" w:lineRule="exact"/>
              <w:rPr>
                <w:sz w:val="20"/>
                <w:szCs w:val="20"/>
                <w:color w:val="auto"/>
              </w:rPr>
            </w:pPr>
            <w:r>
              <w:rPr>
                <w:rFonts w:ascii="Arial" w:cs="Arial" w:eastAsia="Arial" w:hAnsi="Arial"/>
                <w:sz w:val="20"/>
                <w:szCs w:val="20"/>
                <w:color w:val="221E1F"/>
                <w:w w:val="99"/>
              </w:rPr>
              <w:t>55 + 10 years of continuous</w:t>
            </w:r>
          </w:p>
        </w:tc>
        <w:tc>
          <w:tcPr>
            <w:tcW w:w="2920" w:type="dxa"/>
            <w:vAlign w:val="bottom"/>
            <w:tcBorders>
              <w:right w:val="single" w:sz="8" w:color="auto"/>
            </w:tcBorders>
          </w:tcPr>
          <w:p>
            <w:pPr>
              <w:spacing w:after="0"/>
              <w:rPr>
                <w:sz w:val="19"/>
                <w:szCs w:val="19"/>
                <w:color w:val="auto"/>
              </w:rPr>
            </w:pPr>
          </w:p>
        </w:tc>
        <w:tc>
          <w:tcPr>
            <w:tcW w:w="5400" w:type="dxa"/>
            <w:vAlign w:val="bottom"/>
            <w:vMerge w:val="restart"/>
          </w:tcPr>
          <w:p>
            <w:pPr>
              <w:ind w:left="20"/>
              <w:spacing w:after="0"/>
              <w:rPr>
                <w:sz w:val="20"/>
                <w:szCs w:val="20"/>
                <w:color w:val="auto"/>
              </w:rPr>
            </w:pPr>
            <w:r>
              <w:rPr>
                <w:rFonts w:ascii="Arial" w:cs="Arial" w:eastAsia="Arial" w:hAnsi="Arial"/>
                <w:sz w:val="20"/>
                <w:szCs w:val="20"/>
                <w:color w:val="221E1F"/>
              </w:rPr>
              <w:t>Options may be exercised for three (3) years following the</w:t>
            </w: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8"/>
              </w:rPr>
              <w:t>service as of the Termination</w:t>
            </w:r>
          </w:p>
        </w:tc>
        <w:tc>
          <w:tcPr>
            <w:tcW w:w="2920" w:type="dxa"/>
            <w:vAlign w:val="bottom"/>
            <w:tcBorders>
              <w:right w:val="single" w:sz="8" w:color="auto"/>
            </w:tcBorders>
          </w:tcPr>
          <w:p>
            <w:pPr>
              <w:spacing w:after="0"/>
              <w:rPr>
                <w:sz w:val="11"/>
                <w:szCs w:val="11"/>
                <w:color w:val="auto"/>
              </w:rPr>
            </w:pPr>
          </w:p>
        </w:tc>
        <w:tc>
          <w:tcPr>
            <w:tcW w:w="5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940" w:type="dxa"/>
            <w:vAlign w:val="bottom"/>
            <w:tcBorders>
              <w:right w:val="single" w:sz="8" w:color="auto"/>
            </w:tcBorders>
            <w:vMerge w:val="continue"/>
          </w:tcPr>
          <w:p>
            <w:pPr>
              <w:spacing w:after="0"/>
              <w:rPr>
                <w:sz w:val="8"/>
                <w:szCs w:val="8"/>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rPr>
              <w:t>No</w:t>
            </w:r>
          </w:p>
        </w:tc>
        <w:tc>
          <w:tcPr>
            <w:tcW w:w="5400" w:type="dxa"/>
            <w:vAlign w:val="bottom"/>
            <w:vMerge w:val="restart"/>
          </w:tcPr>
          <w:p>
            <w:pPr>
              <w:ind w:left="20"/>
              <w:spacing w:after="0"/>
              <w:rPr>
                <w:sz w:val="20"/>
                <w:szCs w:val="20"/>
                <w:color w:val="auto"/>
              </w:rPr>
            </w:pPr>
            <w:r>
              <w:rPr>
                <w:rFonts w:ascii="Arial" w:cs="Arial" w:eastAsia="Arial" w:hAnsi="Arial"/>
                <w:sz w:val="20"/>
                <w:szCs w:val="20"/>
                <w:color w:val="221E1F"/>
              </w:rPr>
              <w:t>Termination Date or until the expiration of the Stock Option,</w:t>
            </w: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Date</w:t>
            </w:r>
          </w:p>
        </w:tc>
        <w:tc>
          <w:tcPr>
            <w:tcW w:w="2920" w:type="dxa"/>
            <w:vAlign w:val="bottom"/>
            <w:tcBorders>
              <w:right w:val="single" w:sz="8" w:color="auto"/>
            </w:tcBorders>
            <w:vMerge w:val="continue"/>
          </w:tcPr>
          <w:p>
            <w:pPr>
              <w:spacing w:after="0"/>
              <w:rPr>
                <w:sz w:val="11"/>
                <w:szCs w:val="11"/>
                <w:color w:val="auto"/>
              </w:rPr>
            </w:pPr>
          </w:p>
        </w:tc>
        <w:tc>
          <w:tcPr>
            <w:tcW w:w="5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940" w:type="dxa"/>
            <w:vAlign w:val="bottom"/>
            <w:tcBorders>
              <w:right w:val="single" w:sz="8" w:color="auto"/>
            </w:tcBorders>
            <w:vMerge w:val="continue"/>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5400" w:type="dxa"/>
            <w:vAlign w:val="bottom"/>
            <w:vMerge w:val="restart"/>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tcPr>
          <w:p>
            <w:pPr>
              <w:spacing w:after="0"/>
              <w:rPr>
                <w:sz w:val="11"/>
                <w:szCs w:val="11"/>
                <w:color w:val="auto"/>
              </w:rPr>
            </w:pPr>
          </w:p>
        </w:tc>
        <w:tc>
          <w:tcPr>
            <w:tcW w:w="2920" w:type="dxa"/>
            <w:vAlign w:val="bottom"/>
            <w:tcBorders>
              <w:right w:val="single" w:sz="8" w:color="auto"/>
            </w:tcBorders>
          </w:tcPr>
          <w:p>
            <w:pPr>
              <w:spacing w:after="0"/>
              <w:rPr>
                <w:sz w:val="11"/>
                <w:szCs w:val="11"/>
                <w:color w:val="auto"/>
              </w:rPr>
            </w:pPr>
          </w:p>
        </w:tc>
        <w:tc>
          <w:tcPr>
            <w:tcW w:w="5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940" w:type="dxa"/>
            <w:vAlign w:val="bottom"/>
            <w:tcBorders>
              <w:bottom w:val="single" w:sz="8" w:color="auto"/>
              <w:right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5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294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221E1F"/>
              </w:rPr>
              <w:t>Options may be exercised for five (5) years following the</w:t>
            </w:r>
          </w:p>
        </w:tc>
        <w:tc>
          <w:tcPr>
            <w:tcW w:w="0" w:type="dxa"/>
            <w:vAlign w:val="bottom"/>
          </w:tcPr>
          <w:p>
            <w:pPr>
              <w:spacing w:after="0"/>
              <w:rPr>
                <w:sz w:val="1"/>
                <w:szCs w:val="1"/>
                <w:color w:val="auto"/>
              </w:rPr>
            </w:pPr>
          </w:p>
        </w:tc>
      </w:tr>
      <w:tr>
        <w:trPr>
          <w:trHeight w:val="229"/>
        </w:trPr>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Yes</w:t>
            </w:r>
          </w:p>
        </w:tc>
        <w:tc>
          <w:tcPr>
            <w:tcW w:w="540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Option,</w:t>
            </w:r>
          </w:p>
        </w:tc>
        <w:tc>
          <w:tcPr>
            <w:tcW w:w="0" w:type="dxa"/>
            <w:vAlign w:val="bottom"/>
          </w:tcPr>
          <w:p>
            <w:pPr>
              <w:spacing w:after="0"/>
              <w:rPr>
                <w:sz w:val="1"/>
                <w:szCs w:val="1"/>
                <w:color w:val="auto"/>
              </w:rPr>
            </w:pPr>
          </w:p>
        </w:tc>
      </w:tr>
      <w:tr>
        <w:trPr>
          <w:trHeight w:val="257"/>
        </w:trPr>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50, but prior to age 55 + years of</w:t>
            </w:r>
          </w:p>
        </w:tc>
        <w:tc>
          <w:tcPr>
            <w:tcW w:w="29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09"/>
        </w:trPr>
        <w:tc>
          <w:tcPr>
            <w:tcW w:w="29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221E1F"/>
                <w:w w:val="98"/>
              </w:rPr>
              <w:t>service = 65+ as of the</w:t>
            </w:r>
          </w:p>
        </w:tc>
        <w:tc>
          <w:tcPr>
            <w:tcW w:w="2920" w:type="dxa"/>
            <w:vAlign w:val="bottom"/>
            <w:tcBorders>
              <w:right w:val="single" w:sz="8" w:color="auto"/>
            </w:tcBorders>
          </w:tcPr>
          <w:p>
            <w:pPr>
              <w:spacing w:after="0"/>
              <w:rPr>
                <w:sz w:val="18"/>
                <w:szCs w:val="18"/>
                <w:color w:val="auto"/>
              </w:rPr>
            </w:pPr>
          </w:p>
        </w:tc>
        <w:tc>
          <w:tcPr>
            <w:tcW w:w="5400" w:type="dxa"/>
            <w:vAlign w:val="bottom"/>
          </w:tcPr>
          <w:p>
            <w:pPr>
              <w:ind w:left="20"/>
              <w:spacing w:after="0" w:line="209" w:lineRule="exact"/>
              <w:rPr>
                <w:sz w:val="20"/>
                <w:szCs w:val="20"/>
                <w:color w:val="auto"/>
              </w:rPr>
            </w:pPr>
            <w:r>
              <w:rPr>
                <w:rFonts w:ascii="Arial" w:cs="Arial" w:eastAsia="Arial" w:hAnsi="Arial"/>
                <w:sz w:val="20"/>
                <w:szCs w:val="20"/>
                <w:color w:val="221E1F"/>
              </w:rPr>
              <w:t>Options may be exercised for three (3) years following the</w:t>
            </w:r>
          </w:p>
        </w:tc>
        <w:tc>
          <w:tcPr>
            <w:tcW w:w="0" w:type="dxa"/>
            <w:vAlign w:val="bottom"/>
          </w:tcPr>
          <w:p>
            <w:pPr>
              <w:spacing w:after="0"/>
              <w:rPr>
                <w:sz w:val="1"/>
                <w:szCs w:val="1"/>
                <w:color w:val="auto"/>
              </w:rPr>
            </w:pPr>
          </w:p>
        </w:tc>
      </w:tr>
      <w:tr>
        <w:trPr>
          <w:trHeight w:val="270"/>
        </w:trPr>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7"/>
              </w:rPr>
              <w:t>Termination Date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rPr>
              <w:t>No</w:t>
            </w:r>
          </w:p>
        </w:tc>
        <w:tc>
          <w:tcPr>
            <w:tcW w:w="540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Option,</w:t>
            </w:r>
          </w:p>
        </w:tc>
        <w:tc>
          <w:tcPr>
            <w:tcW w:w="0" w:type="dxa"/>
            <w:vAlign w:val="bottom"/>
          </w:tcPr>
          <w:p>
            <w:pPr>
              <w:spacing w:after="0"/>
              <w:rPr>
                <w:sz w:val="1"/>
                <w:szCs w:val="1"/>
                <w:color w:val="auto"/>
              </w:rPr>
            </w:pPr>
          </w:p>
        </w:tc>
      </w:tr>
      <w:tr>
        <w:trPr>
          <w:trHeight w:val="237"/>
        </w:trPr>
        <w:tc>
          <w:tcPr>
            <w:tcW w:w="294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80" w:right="420"/>
        <w:spacing w:after="0" w:line="261" w:lineRule="auto"/>
        <w:rPr>
          <w:sz w:val="20"/>
          <w:szCs w:val="20"/>
          <w:color w:val="auto"/>
        </w:rPr>
      </w:pPr>
      <w:r>
        <w:rPr>
          <w:rFonts w:ascii="Arial" w:cs="Arial" w:eastAsia="Arial" w:hAnsi="Arial"/>
          <w:sz w:val="18"/>
          <w:szCs w:val="18"/>
          <w:color w:val="221E1F"/>
        </w:rPr>
        <w:t>* The Company’s consent to the Participant’s Retirement will be at the sole discretion of the Company based on its ability to effectively transition the Participant’s responsibilities as of the Termination Date and such other factors as it may deem appropriate.</w:t>
      </w:r>
    </w:p>
    <w:p>
      <w:pPr>
        <w:spacing w:after="0" w:line="200" w:lineRule="exact"/>
        <w:rPr>
          <w:sz w:val="20"/>
          <w:szCs w:val="20"/>
          <w:color w:val="auto"/>
        </w:rPr>
      </w:pPr>
    </w:p>
    <w:p>
      <w:pPr>
        <w:spacing w:after="0" w:line="265" w:lineRule="exact"/>
        <w:rPr>
          <w:sz w:val="20"/>
          <w:szCs w:val="20"/>
          <w:color w:val="auto"/>
        </w:rPr>
      </w:pPr>
    </w:p>
    <w:p>
      <w:pPr>
        <w:jc w:val="both"/>
        <w:ind w:right="200"/>
        <w:spacing w:after="0" w:line="272"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determined under the UTC Savings Plan. The calculation to determine Early Retirement will include partial years, rounded down to the nearest full month.</w:t>
      </w:r>
    </w:p>
    <w:p>
      <w:pPr>
        <w:spacing w:after="0" w:line="193" w:lineRule="exact"/>
        <w:rPr>
          <w:sz w:val="20"/>
          <w:szCs w:val="20"/>
          <w:color w:val="auto"/>
        </w:rPr>
      </w:pPr>
    </w:p>
    <w:p>
      <w:pPr>
        <w:ind w:right="600"/>
        <w:spacing w:after="0" w:line="229"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172"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b w:val="1"/>
          <w:bCs w:val="1"/>
          <w:color w:val="221E1F"/>
        </w:rPr>
        <w:t xml:space="preserve">Involuntary Termination for Cause. </w:t>
      </w:r>
      <w:r>
        <w:rPr>
          <w:rFonts w:ascii="Arial" w:cs="Arial" w:eastAsia="Arial" w:hAnsi="Arial"/>
          <w:sz w:val="20"/>
          <w:szCs w:val="20"/>
          <w:color w:val="221E1F"/>
        </w:rPr>
        <w:t>If the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221E1F"/>
        </w:rPr>
        <w:t>Cause (as defined in the LTIP), both vested and unvested Options will be forfeited as of the Termination Date regardless of the Participant’s Retirement eligibility. In addition, value realized from previously exercised Option is subject to repayment in the event of termination for Cause or certain other occurrences (see “Forfeiture of Award and Repayment of Realized Gains” below).</w:t>
      </w:r>
    </w:p>
    <w:p>
      <w:pPr>
        <w:spacing w:after="0" w:line="207"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other than Cause, unvested Options held for at least one year as of the Termination Date will receive pro-rata vesting treatment, subject to the Participant providing the Company with a release of claims against the Company in a form and manner satisfactory to the Company. The pro-rata vesting of an </w:t>
      </w:r>
      <w:r>
        <w:rPr>
          <w:rFonts w:ascii="Arial" w:cs="Arial" w:eastAsia="Arial" w:hAnsi="Arial"/>
          <w:sz w:val="20"/>
          <w:szCs w:val="20"/>
          <w:color w:val="000000"/>
        </w:rPr>
        <w:t>Option</w:t>
      </w:r>
      <w:r>
        <w:rPr>
          <w:rFonts w:ascii="Arial" w:cs="Arial" w:eastAsia="Arial" w:hAnsi="Arial"/>
          <w:sz w:val="20"/>
          <w:szCs w:val="20"/>
          <w:color w:val="221E1F"/>
        </w:rPr>
        <w:t xml:space="preserve"> Award held for at least one year will be based on the number of months worked during the vesting period, including partial months, relative to the full vesting period. Options not vested under this pro-rata vesting formula will be forfeited as of the Termination Date.</w:t>
      </w:r>
    </w:p>
    <w:p>
      <w:pPr>
        <w:spacing w:after="0" w:line="235" w:lineRule="exact"/>
        <w:rPr>
          <w:sz w:val="20"/>
          <w:szCs w:val="20"/>
          <w:color w:val="auto"/>
        </w:rPr>
      </w:pPr>
    </w:p>
    <w:p>
      <w:pPr>
        <w:ind w:right="520"/>
        <w:spacing w:after="0" w:line="246" w:lineRule="auto"/>
        <w:rPr>
          <w:sz w:val="20"/>
          <w:szCs w:val="20"/>
          <w:color w:val="auto"/>
        </w:rPr>
      </w:pPr>
      <w:r>
        <w:rPr>
          <w:rFonts w:ascii="Arial" w:cs="Arial" w:eastAsia="Arial" w:hAnsi="Arial"/>
          <w:sz w:val="20"/>
          <w:szCs w:val="20"/>
          <w:color w:val="221E1F"/>
        </w:rPr>
        <w:t>Upon involuntary termination for reasons other than Cause, vested Options may be exercised for one (1) year following the Termination Date or until the expiration of the Option, whichever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10740"/>
        <w:spacing w:after="0"/>
        <w:rPr>
          <w:sz w:val="20"/>
          <w:szCs w:val="20"/>
          <w:color w:val="auto"/>
        </w:rPr>
      </w:pPr>
      <w:r>
        <w:rPr>
          <w:rFonts w:ascii="Arial" w:cs="Arial" w:eastAsia="Arial" w:hAnsi="Arial"/>
          <w:sz w:val="14"/>
          <w:szCs w:val="14"/>
          <w:color w:val="auto"/>
        </w:rPr>
        <w:t>01/2020</w:t>
      </w:r>
    </w:p>
    <w:p>
      <w:pPr>
        <w:spacing w:after="0" w:line="69" w:lineRule="exact"/>
        <w:rPr>
          <w:sz w:val="20"/>
          <w:szCs w:val="20"/>
          <w:color w:val="auto"/>
        </w:rPr>
      </w:pPr>
    </w:p>
    <w:p>
      <w:pPr>
        <w:jc w:val="right"/>
        <w:ind w:right="1068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320" w:top="1418" w:right="319" w:bottom="1440" w:gutter="0" w:footer="0" w:header="0"/>
        </w:sectPr>
      </w:pPr>
    </w:p>
    <w:bookmarkStart w:id="109" w:name="page110"/>
    <w:bookmarkEnd w:id="109"/>
    <w:p>
      <w:pPr>
        <w:jc w:val="both"/>
        <w:ind w:right="80"/>
        <w:spacing w:after="0" w:line="243" w:lineRule="auto"/>
        <w:rPr>
          <w:sz w:val="20"/>
          <w:szCs w:val="20"/>
          <w:color w:val="auto"/>
        </w:rPr>
      </w:pPr>
      <w:r>
        <w:rPr>
          <w:rFonts w:ascii="Arial" w:cs="Arial" w:eastAsia="Arial" w:hAnsi="Arial"/>
          <w:sz w:val="20"/>
          <w:szCs w:val="20"/>
          <w:color w:val="221E1F"/>
        </w:rPr>
        <w:t>earlier. Unexercised Options will expire without value at the close of the NYSE on the first anniversary of the Termination Date, or the expiration date, whichever comes first. In the event that the date falls on a weekend or market holiday, the Options will be cancelled at the end of the last trading day prior to such date.</w:t>
      </w:r>
    </w:p>
    <w:p>
      <w:pPr>
        <w:spacing w:after="0" w:line="233"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pro-rata vesting percentage.</w:t>
      </w:r>
    </w:p>
    <w:p>
      <w:pPr>
        <w:spacing w:after="0" w:line="231"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color w:val="221E1F"/>
        </w:rPr>
        <w:t>Pro-rata vesting will occur for involuntary terminations resulting from workforce reductions, location closings, restructurings, layoffs, or similar events, as determined by the Committee.</w:t>
      </w:r>
    </w:p>
    <w:p>
      <w:pPr>
        <w:spacing w:after="0" w:line="231" w:lineRule="exact"/>
        <w:rPr>
          <w:sz w:val="20"/>
          <w:szCs w:val="20"/>
          <w:color w:val="auto"/>
        </w:rPr>
      </w:pPr>
    </w:p>
    <w:p>
      <w:pPr>
        <w:jc w:val="both"/>
        <w:ind w:right="680"/>
        <w:spacing w:after="0" w:line="243" w:lineRule="auto"/>
        <w:rPr>
          <w:sz w:val="20"/>
          <w:szCs w:val="20"/>
          <w:color w:val="auto"/>
        </w:rPr>
      </w:pPr>
      <w:r>
        <w:rPr>
          <w:rFonts w:ascii="Arial" w:cs="Arial" w:eastAsia="Arial" w:hAnsi="Arial"/>
          <w:sz w:val="20"/>
          <w:szCs w:val="20"/>
          <w:color w:val="auto"/>
        </w:rPr>
        <w:t xml:space="preserve">Retirement eligible Participants will vest in accordance with the Retirement provisions set forth above. Change-in-Control Terminations are subject to vesting treatment as set forth in the Change-in-Control provisions below. </w:t>
      </w:r>
      <w:r>
        <w:rPr>
          <w:rFonts w:ascii="Arial" w:cs="Arial" w:eastAsia="Arial" w:hAnsi="Arial"/>
          <w:sz w:val="20"/>
          <w:szCs w:val="20"/>
          <w:color w:val="221E1F"/>
        </w:rPr>
        <w:t>A Participant who is</w:t>
      </w:r>
      <w:r>
        <w:rPr>
          <w:rFonts w:ascii="Arial" w:cs="Arial" w:eastAsia="Arial" w:hAnsi="Arial"/>
          <w:sz w:val="20"/>
          <w:szCs w:val="20"/>
          <w:color w:val="auto"/>
        </w:rPr>
        <w:t xml:space="preserve"> </w:t>
      </w:r>
      <w:r>
        <w:rPr>
          <w:rFonts w:ascii="Arial" w:cs="Arial" w:eastAsia="Arial" w:hAnsi="Arial"/>
          <w:sz w:val="20"/>
          <w:szCs w:val="20"/>
          <w:color w:val="221E1F"/>
        </w:rPr>
        <w:t>involuntarily terminated for Cause is not eligible for pro-rata vesting of Awards.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is not entitled to pro-rata vesting and will forfeit all unvested Options. Vested Options may be exercised for up to ninety (90) days from the Termination Date or until the expiration of the Option (if earlier). Unexercised Options will expire without value at the close of the NYSE on the ninetieth (90</w:t>
      </w:r>
      <w:r>
        <w:rPr>
          <w:rFonts w:ascii="Arial" w:cs="Arial" w:eastAsia="Arial" w:hAnsi="Arial"/>
          <w:sz w:val="25"/>
          <w:szCs w:val="25"/>
          <w:color w:val="221E1F"/>
          <w:vertAlign w:val="superscript"/>
        </w:rPr>
        <w:t>th</w:t>
      </w:r>
      <w:r>
        <w:rPr>
          <w:rFonts w:ascii="Arial" w:cs="Arial" w:eastAsia="Arial" w:hAnsi="Arial"/>
          <w:sz w:val="20"/>
          <w:szCs w:val="20"/>
          <w:color w:val="221E1F"/>
        </w:rPr>
        <w:t>) day following the Termination Date, or the expiration date, whichever comes first. In the event that the date falls on a weekend or market holiday, the Options will be cancelled at the end of the last trading day prior to the 90</w:t>
      </w:r>
      <w:r>
        <w:rPr>
          <w:rFonts w:ascii="Arial" w:cs="Arial" w:eastAsia="Arial" w:hAnsi="Arial"/>
          <w:sz w:val="25"/>
          <w:szCs w:val="25"/>
          <w:color w:val="221E1F"/>
          <w:vertAlign w:val="superscript"/>
        </w:rPr>
        <w:t>th</w:t>
      </w:r>
      <w:r>
        <w:rPr>
          <w:rFonts w:ascii="Arial" w:cs="Arial" w:eastAsia="Arial" w:hAnsi="Arial"/>
          <w:sz w:val="20"/>
          <w:szCs w:val="20"/>
          <w:color w:val="221E1F"/>
        </w:rPr>
        <w:t xml:space="preserve"> day.</w:t>
      </w:r>
    </w:p>
    <w:p>
      <w:pPr>
        <w:spacing w:after="0" w:line="85" w:lineRule="exact"/>
        <w:rPr>
          <w:sz w:val="20"/>
          <w:szCs w:val="20"/>
          <w:color w:val="auto"/>
        </w:rPr>
      </w:pPr>
    </w:p>
    <w:p>
      <w:pPr>
        <w:ind w:right="140"/>
        <w:spacing w:after="0" w:line="223"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vested Options may be exercised for up to three (3) years</w:t>
      </w:r>
      <w:r>
        <w:rPr>
          <w:rFonts w:ascii="Arial" w:cs="Arial" w:eastAsia="Arial" w:hAnsi="Arial"/>
          <w:sz w:val="20"/>
          <w:szCs w:val="20"/>
          <w:b w:val="1"/>
          <w:bCs w:val="1"/>
          <w:color w:val="221E1F"/>
        </w:rPr>
        <w:t xml:space="preserve"> </w:t>
      </w:r>
      <w:r>
        <w:rPr>
          <w:rFonts w:ascii="Arial" w:cs="Arial" w:eastAsia="Arial" w:hAnsi="Arial"/>
          <w:sz w:val="20"/>
          <w:szCs w:val="20"/>
          <w:color w:val="221E1F"/>
        </w:rPr>
        <w:t>from the Termination Date (or until the expiration of the Option, if earlier). While a Participant remains disabled under a Company sponsored long-term disability plan, unvested Options will remain eligible to vest on the earlier of (i) the vesting date specified in the Award Agreement; or (ii) 29 months following the date a Participant incurs a Disability, and may then be exercised for three (3) years following the vesting date.</w:t>
      </w:r>
    </w:p>
    <w:p>
      <w:pPr>
        <w:spacing w:after="0" w:line="160" w:lineRule="exact"/>
        <w:rPr>
          <w:sz w:val="20"/>
          <w:szCs w:val="20"/>
          <w:color w:val="auto"/>
        </w:rPr>
      </w:pPr>
    </w:p>
    <w:p>
      <w:pPr>
        <w:ind w:right="260"/>
        <w:spacing w:after="0" w:line="223"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unvested Options will vest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date of death and become exercisable. A Participant’s estate will have three (3) years from the date of death (or until the expiration of the Options, if earlier) to exercise all outstanding Options, provided however, that if an Option expires prior to the expiration of the three-year extension period, the Option will be deemed to be exercised by the Participant’s estate as of the Option expiration date with net proceeds (where applicable) held for distribution to the estate.</w:t>
      </w:r>
    </w:p>
    <w:p>
      <w:pPr>
        <w:spacing w:after="0" w:line="184" w:lineRule="exact"/>
        <w:rPr>
          <w:sz w:val="20"/>
          <w:szCs w:val="20"/>
          <w:color w:val="auto"/>
        </w:rPr>
      </w:pPr>
    </w:p>
    <w:p>
      <w:pPr>
        <w:spacing w:after="0" w:line="229" w:lineRule="auto"/>
        <w:rPr>
          <w:sz w:val="20"/>
          <w:szCs w:val="20"/>
          <w:color w:val="auto"/>
        </w:rPr>
      </w:pPr>
      <w:r>
        <w:rPr>
          <w:rFonts w:ascii="Arial" w:cs="Arial" w:eastAsia="Arial" w:hAnsi="Arial"/>
          <w:sz w:val="20"/>
          <w:szCs w:val="20"/>
          <w:color w:val="221E1F"/>
        </w:rPr>
        <w:t>Different tax rules may apply when the estate or heir exercises the deceased Participant’s Options. A personal tax or financial advisor should be consulted under this scenario.</w:t>
      </w:r>
    </w:p>
    <w:p>
      <w:pPr>
        <w:spacing w:after="0" w:line="158" w:lineRule="exact"/>
        <w:rPr>
          <w:sz w:val="20"/>
          <w:szCs w:val="20"/>
          <w:color w:val="auto"/>
        </w:rPr>
      </w:pPr>
    </w:p>
    <w:p>
      <w:pPr>
        <w:ind w:right="80"/>
        <w:spacing w:after="0" w:line="223" w:lineRule="auto"/>
        <w:rPr>
          <w:sz w:val="20"/>
          <w:szCs w:val="20"/>
          <w:color w:val="auto"/>
        </w:rPr>
      </w:pPr>
      <w:r>
        <w:rPr>
          <w:rFonts w:ascii="Arial" w:cs="Arial" w:eastAsia="Arial" w:hAnsi="Arial"/>
          <w:sz w:val="20"/>
          <w:szCs w:val="20"/>
          <w:b w:val="1"/>
          <w:bCs w:val="1"/>
          <w:color w:val="auto"/>
        </w:rPr>
        <w:t xml:space="preserve">Change-in-Control Termination. </w:t>
      </w:r>
      <w:r>
        <w:rPr>
          <w:rFonts w:ascii="Arial" w:cs="Arial" w:eastAsia="Arial" w:hAnsi="Arial"/>
          <w:sz w:val="20"/>
          <w:szCs w:val="20"/>
          <w:color w:val="auto"/>
        </w:rPr>
        <w:t>If a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reasons other than for Cause, or due to the Participant’s voluntary termination for “Good Reason,” in each case, within 24 months following a Change-in-Control in accordance with Section 10(d) of the LTIP (such Termination of Service, a “CIC Termination”), then all unvested </w:t>
      </w:r>
      <w:r>
        <w:rPr>
          <w:rFonts w:ascii="Arial" w:cs="Arial" w:eastAsia="Arial" w:hAnsi="Arial"/>
          <w:sz w:val="20"/>
          <w:szCs w:val="20"/>
          <w:color w:val="221E1F"/>
        </w:rPr>
        <w:t>Options</w:t>
      </w:r>
      <w:r>
        <w:rPr>
          <w:rFonts w:ascii="Arial" w:cs="Arial" w:eastAsia="Arial" w:hAnsi="Arial"/>
          <w:sz w:val="20"/>
          <w:szCs w:val="20"/>
          <w:color w:val="auto"/>
        </w:rPr>
        <w:t xml:space="preserve"> will vest and become exercisable as of the Termination Date and all vested </w:t>
      </w:r>
      <w:r>
        <w:rPr>
          <w:rFonts w:ascii="Arial" w:cs="Arial" w:eastAsia="Arial" w:hAnsi="Arial"/>
          <w:sz w:val="20"/>
          <w:szCs w:val="20"/>
          <w:color w:val="221E1F"/>
        </w:rPr>
        <w:t>Options</w:t>
      </w:r>
      <w:r>
        <w:rPr>
          <w:rFonts w:ascii="Arial" w:cs="Arial" w:eastAsia="Arial" w:hAnsi="Arial"/>
          <w:sz w:val="20"/>
          <w:szCs w:val="20"/>
          <w:color w:val="auto"/>
        </w:rPr>
        <w:t xml:space="preserve"> will be exercisable until the third anniversary of the Termination Date (or until the expiration of the </w:t>
      </w:r>
      <w:r>
        <w:rPr>
          <w:rFonts w:ascii="Arial" w:cs="Arial" w:eastAsia="Arial" w:hAnsi="Arial"/>
          <w:sz w:val="20"/>
          <w:szCs w:val="20"/>
          <w:color w:val="221E1F"/>
        </w:rPr>
        <w:t>Option</w:t>
      </w:r>
      <w:r>
        <w:rPr>
          <w:rFonts w:ascii="Arial" w:cs="Arial" w:eastAsia="Arial" w:hAnsi="Arial"/>
          <w:sz w:val="20"/>
          <w:szCs w:val="20"/>
          <w:color w:val="auto"/>
        </w:rPr>
        <w:t>, if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0720"/>
        <w:spacing w:after="0"/>
        <w:rPr>
          <w:sz w:val="20"/>
          <w:szCs w:val="20"/>
          <w:color w:val="auto"/>
        </w:rPr>
      </w:pPr>
      <w:r>
        <w:rPr>
          <w:rFonts w:ascii="Arial" w:cs="Arial" w:eastAsia="Arial" w:hAnsi="Arial"/>
          <w:sz w:val="14"/>
          <w:szCs w:val="14"/>
          <w:color w:val="auto"/>
        </w:rPr>
        <w:t>01/2020</w:t>
      </w:r>
    </w:p>
    <w:p>
      <w:pPr>
        <w:spacing w:after="0" w:line="69" w:lineRule="exact"/>
        <w:rPr>
          <w:sz w:val="20"/>
          <w:szCs w:val="20"/>
          <w:color w:val="auto"/>
        </w:rPr>
      </w:pPr>
    </w:p>
    <w:p>
      <w:pPr>
        <w:jc w:val="right"/>
        <w:ind w:right="106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32" w:right="3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13"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221E1F"/>
        </w:rPr>
        <w:t xml:space="preserve">Option Awards, including common stock delivered for exercised Options, are subject to the Raytheon Technologies Corporation Clawback Policy, as amended from time to time, available at </w:t>
      </w:r>
      <w:r>
        <w:rPr>
          <w:rFonts w:ascii="Arial" w:cs="Arial" w:eastAsia="Arial" w:hAnsi="Arial"/>
          <w:sz w:val="20"/>
          <w:szCs w:val="20"/>
          <w:u w:val="single" w:color="auto"/>
          <w:color w:val="0000FF"/>
        </w:rPr>
        <w:t>www.rtx.com</w:t>
      </w:r>
      <w:r>
        <w:rPr>
          <w:rFonts w:ascii="Arial" w:cs="Arial" w:eastAsia="Arial" w:hAnsi="Arial"/>
          <w:sz w:val="20"/>
          <w:szCs w:val="20"/>
          <w:color w:val="221E1F"/>
        </w:rPr>
        <w:t>. Options, whether or not vested, will be immediately forfeited and a Participant will be obligated to repay to the Company the value realized from the prior exercise of Options upon the occurrence of any of the following events:</w:t>
      </w:r>
    </w:p>
    <w:p>
      <w:pPr>
        <w:spacing w:after="0" w:line="196"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215" w:lineRule="exact"/>
        <w:rPr>
          <w:rFonts w:ascii="Arial" w:cs="Arial" w:eastAsia="Arial" w:hAnsi="Arial"/>
          <w:sz w:val="20"/>
          <w:szCs w:val="20"/>
          <w:color w:val="auto"/>
        </w:rPr>
      </w:pPr>
    </w:p>
    <w:p>
      <w:pPr>
        <w:ind w:left="660" w:right="140" w:hanging="328"/>
        <w:spacing w:after="0" w:line="246" w:lineRule="auto"/>
        <w:tabs>
          <w:tab w:leader="none" w:pos="65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Within twenty-four months following the Termination Date, the Participant:</w:t>
      </w:r>
    </w:p>
    <w:p>
      <w:pPr>
        <w:spacing w:after="0" w:line="215" w:lineRule="exact"/>
        <w:rPr>
          <w:rFonts w:ascii="Arial" w:cs="Arial" w:eastAsia="Arial" w:hAnsi="Arial"/>
          <w:sz w:val="20"/>
          <w:szCs w:val="20"/>
          <w:color w:val="auto"/>
        </w:rPr>
      </w:pPr>
    </w:p>
    <w:p>
      <w:pPr>
        <w:ind w:left="1300" w:right="700" w:hanging="320"/>
        <w:spacing w:after="0" w:line="246" w:lineRule="auto"/>
        <w:tabs>
          <w:tab w:leader="none" w:pos="1294" w:val="left"/>
        </w:tabs>
        <w:numPr>
          <w:ilvl w:val="1"/>
          <w:numId w:val="63"/>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203" w:lineRule="exact"/>
        <w:rPr>
          <w:rFonts w:ascii="Arial" w:cs="Arial" w:eastAsia="Arial" w:hAnsi="Arial"/>
          <w:sz w:val="20"/>
          <w:szCs w:val="20"/>
          <w:color w:val="auto"/>
        </w:rPr>
      </w:pPr>
    </w:p>
    <w:p>
      <w:pPr>
        <w:ind w:left="1300" w:right="100" w:hanging="320"/>
        <w:spacing w:after="0" w:line="246" w:lineRule="auto"/>
        <w:tabs>
          <w:tab w:leader="none" w:pos="1294" w:val="left"/>
        </w:tabs>
        <w:numPr>
          <w:ilvl w:val="1"/>
          <w:numId w:val="63"/>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15" w:lineRule="exact"/>
        <w:rPr>
          <w:rFonts w:ascii="Arial" w:cs="Arial" w:eastAsia="Arial" w:hAnsi="Arial"/>
          <w:sz w:val="20"/>
          <w:szCs w:val="20"/>
          <w:color w:val="auto"/>
        </w:rPr>
      </w:pPr>
    </w:p>
    <w:p>
      <w:pPr>
        <w:ind w:left="660" w:right="60" w:hanging="328"/>
        <w:spacing w:after="0"/>
        <w:tabs>
          <w:tab w:leader="none" w:pos="648" w:val="left"/>
        </w:tabs>
        <w:numPr>
          <w:ilvl w:val="0"/>
          <w:numId w:val="63"/>
        </w:numPr>
        <w:rPr>
          <w:rFonts w:ascii="Arial" w:cs="Arial" w:eastAsia="Arial" w:hAnsi="Arial"/>
          <w:sz w:val="20"/>
          <w:szCs w:val="20"/>
          <w:color w:val="auto"/>
        </w:rPr>
      </w:pPr>
      <w:r>
        <w:rPr>
          <w:rFonts w:ascii="Arial" w:cs="Arial" w:eastAsia="Arial" w:hAnsi="Arial"/>
          <w:sz w:val="20"/>
          <w:szCs w:val="20"/>
          <w:color w:val="auto"/>
        </w:rPr>
        <w:t>At any time during the twelve-month period following the Termination Date: (A) the Participant becomes employed by, consults for, or otherwise renders services to any business entity or person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198" w:lineRule="exact"/>
        <w:rPr>
          <w:rFonts w:ascii="Arial" w:cs="Arial" w:eastAsia="Arial" w:hAnsi="Arial"/>
          <w:sz w:val="20"/>
          <w:szCs w:val="20"/>
          <w:color w:val="auto"/>
        </w:rPr>
      </w:pPr>
    </w:p>
    <w:p>
      <w:pPr>
        <w:ind w:left="660" w:right="360" w:hanging="328"/>
        <w:spacing w:after="0" w:line="222" w:lineRule="auto"/>
        <w:tabs>
          <w:tab w:leader="none" w:pos="651" w:val="left"/>
        </w:tabs>
        <w:numPr>
          <w:ilvl w:val="0"/>
          <w:numId w:val="63"/>
        </w:numPr>
        <w:rPr>
          <w:rFonts w:ascii="Arial" w:cs="Arial" w:eastAsia="Arial" w:hAnsi="Arial"/>
          <w:sz w:val="20"/>
          <w:szCs w:val="20"/>
          <w:color w:val="auto"/>
        </w:rPr>
      </w:pPr>
      <w:r>
        <w:rPr>
          <w:rFonts w:ascii="Arial" w:cs="Arial" w:eastAsia="Arial" w:hAnsi="Arial"/>
          <w:sz w:val="20"/>
          <w:szCs w:val="20"/>
          <w:color w:val="221E1F"/>
        </w:rPr>
        <w:t>Negligent conduct injurious to the Company, including negligent supervision of a subordinate whose action requires a restatement of financial results, or other significant harm to the Company as determined by the Committee.</w:t>
      </w:r>
    </w:p>
    <w:p>
      <w:pPr>
        <w:spacing w:after="0" w:line="169" w:lineRule="exact"/>
        <w:rPr>
          <w:sz w:val="20"/>
          <w:szCs w:val="20"/>
          <w:color w:val="auto"/>
        </w:rPr>
      </w:pPr>
    </w:p>
    <w:p>
      <w:pPr>
        <w:spacing w:after="0" w:line="223" w:lineRule="auto"/>
        <w:rPr>
          <w:sz w:val="20"/>
          <w:szCs w:val="20"/>
          <w:color w:val="auto"/>
        </w:rPr>
      </w:pPr>
      <w:r>
        <w:rPr>
          <w:rFonts w:ascii="Arial" w:cs="Arial" w:eastAsia="Arial" w:hAnsi="Arial"/>
          <w:sz w:val="20"/>
          <w:szCs w:val="20"/>
          <w:color w:val="221E1F"/>
        </w:rPr>
        <w:t>In addition, the Committee reserves the right to require repayment of all or any portion of an Option Award under item (iv) above, without regard to whether a restatement is attributable to the Participant’s actions, as appropriate and determined at the Committee’s sole discretion.</w:t>
      </w:r>
    </w:p>
    <w:p>
      <w:pPr>
        <w:spacing w:after="0" w:line="209" w:lineRule="exact"/>
        <w:rPr>
          <w:sz w:val="20"/>
          <w:szCs w:val="20"/>
          <w:color w:val="auto"/>
        </w:rPr>
      </w:pPr>
    </w:p>
    <w:p>
      <w:pPr>
        <w:ind w:right="320"/>
        <w:spacing w:after="0" w:line="218" w:lineRule="auto"/>
        <w:rPr>
          <w:sz w:val="20"/>
          <w:szCs w:val="20"/>
          <w:color w:val="auto"/>
        </w:rPr>
      </w:pPr>
      <w:r>
        <w:rPr>
          <w:rFonts w:ascii="Arial" w:cs="Arial" w:eastAsia="Arial" w:hAnsi="Arial"/>
          <w:sz w:val="20"/>
          <w:szCs w:val="20"/>
          <w:color w:val="221E1F"/>
        </w:rPr>
        <w:t>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0720"/>
        <w:spacing w:after="0"/>
        <w:rPr>
          <w:sz w:val="20"/>
          <w:szCs w:val="20"/>
          <w:color w:val="auto"/>
        </w:rPr>
      </w:pPr>
      <w:r>
        <w:rPr>
          <w:rFonts w:ascii="Arial" w:cs="Arial" w:eastAsia="Arial" w:hAnsi="Arial"/>
          <w:sz w:val="14"/>
          <w:szCs w:val="14"/>
          <w:color w:val="auto"/>
        </w:rPr>
        <w:t>01/2020</w:t>
      </w:r>
    </w:p>
    <w:p>
      <w:pPr>
        <w:spacing w:after="0" w:line="69" w:lineRule="exact"/>
        <w:rPr>
          <w:sz w:val="20"/>
          <w:szCs w:val="20"/>
          <w:color w:val="auto"/>
        </w:rPr>
      </w:pPr>
    </w:p>
    <w:p>
      <w:pPr>
        <w:jc w:val="right"/>
        <w:ind w:right="106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394" w:right="339" w:bottom="1440" w:gutter="0" w:footer="0" w:header="0"/>
        </w:sectPr>
      </w:pPr>
    </w:p>
    <w:bookmarkStart w:id="111" w:name="page112"/>
    <w:bookmarkEnd w:id="111"/>
    <w:p>
      <w:pPr>
        <w:ind w:right="220"/>
        <w:spacing w:after="0" w:line="230" w:lineRule="auto"/>
        <w:rPr>
          <w:sz w:val="20"/>
          <w:szCs w:val="20"/>
          <w:color w:val="auto"/>
        </w:rPr>
      </w:pPr>
      <w:r>
        <w:rPr>
          <w:rFonts w:ascii="Arial" w:cs="Arial" w:eastAsia="Arial" w:hAnsi="Arial"/>
          <w:sz w:val="20"/>
          <w:szCs w:val="20"/>
          <w:color w:val="221E1F"/>
        </w:rPr>
        <w:t xml:space="preserve">covenants. Further details concerning the forfeiture of Awards and the obligation to repay gains realized from LTIP Awards are set forth in Section 14(i)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xml:space="preserve"> </w:t>
      </w:r>
      <w:r>
        <w:rPr>
          <w:rFonts w:ascii="Arial" w:cs="Arial" w:eastAsia="Arial" w:hAnsi="Arial"/>
          <w:sz w:val="20"/>
          <w:szCs w:val="20"/>
          <w:color w:val="000000"/>
        </w:rPr>
        <w:t>and the Raytheon Technologies Corporation</w:t>
      </w:r>
      <w:r>
        <w:rPr>
          <w:rFonts w:ascii="Arial" w:cs="Arial" w:eastAsia="Arial" w:hAnsi="Arial"/>
          <w:sz w:val="20"/>
          <w:szCs w:val="20"/>
          <w:color w:val="221E1F"/>
        </w:rPr>
        <w:t xml:space="preserve"> </w:t>
      </w:r>
      <w:r>
        <w:rPr>
          <w:rFonts w:ascii="Arial" w:cs="Arial" w:eastAsia="Arial" w:hAnsi="Arial"/>
          <w:sz w:val="20"/>
          <w:szCs w:val="20"/>
          <w:color w:val="000000"/>
        </w:rPr>
        <w:t xml:space="preserve">Clawback Policy, available at </w:t>
      </w:r>
      <w:r>
        <w:rPr>
          <w:rFonts w:ascii="Arial" w:cs="Arial" w:eastAsia="Arial" w:hAnsi="Arial"/>
          <w:sz w:val="20"/>
          <w:szCs w:val="20"/>
          <w:u w:val="single" w:color="auto"/>
          <w:color w:val="0000FF"/>
        </w:rPr>
        <w:t>www.rtx.com</w:t>
      </w:r>
      <w:r>
        <w:rPr>
          <w:rFonts w:ascii="Arial" w:cs="Arial" w:eastAsia="Arial" w:hAnsi="Arial"/>
          <w:sz w:val="21"/>
          <w:szCs w:val="21"/>
          <w:color w:val="000000"/>
        </w:rPr>
        <w: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13" w:lineRule="exact"/>
        <w:rPr>
          <w:sz w:val="20"/>
          <w:szCs w:val="20"/>
          <w:color w:val="auto"/>
        </w:rPr>
      </w:pPr>
    </w:p>
    <w:p>
      <w:pPr>
        <w:jc w:val="both"/>
        <w:ind w:right="400"/>
        <w:spacing w:after="0" w:line="235"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Option Awards may be adjusted as determined by the Committee, in its sole discretion.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221E1F"/>
        </w:rPr>
        <w:t>Further information concerning capital adjustments is set forth in Section 3(e) of the LTIP, available at</w:t>
      </w: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0000FF"/>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13" w:lineRule="exact"/>
        <w:rPr>
          <w:sz w:val="20"/>
          <w:szCs w:val="20"/>
          <w:color w:val="auto"/>
        </w:rPr>
      </w:pPr>
    </w:p>
    <w:p>
      <w:pPr>
        <w:spacing w:after="0" w:line="226" w:lineRule="auto"/>
        <w:rPr>
          <w:sz w:val="20"/>
          <w:szCs w:val="20"/>
          <w:color w:val="auto"/>
        </w:rPr>
      </w:pPr>
      <w:r>
        <w:rPr>
          <w:rFonts w:ascii="Arial" w:cs="Arial" w:eastAsia="Arial" w:hAnsi="Arial"/>
          <w:sz w:val="19"/>
          <w:szCs w:val="19"/>
          <w:color w:val="221E1F"/>
        </w:rPr>
        <w:t>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221E1F"/>
        </w:rPr>
        <w:t xml:space="preserve">Further details concerning Change-in-Control are set forth in Section 10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Awards Not to Affect Certain Transactions</w:t>
      </w:r>
    </w:p>
    <w:p>
      <w:pPr>
        <w:spacing w:after="0" w:line="213" w:lineRule="exact"/>
        <w:rPr>
          <w:sz w:val="20"/>
          <w:szCs w:val="20"/>
          <w:color w:val="auto"/>
        </w:rPr>
      </w:pPr>
    </w:p>
    <w:p>
      <w:pPr>
        <w:ind w:right="360"/>
        <w:spacing w:after="0" w:line="230" w:lineRule="auto"/>
        <w:rPr>
          <w:sz w:val="20"/>
          <w:szCs w:val="20"/>
          <w:color w:val="auto"/>
        </w:rPr>
      </w:pPr>
      <w:r>
        <w:rPr>
          <w:rFonts w:ascii="Arial" w:cs="Arial" w:eastAsia="Arial" w:hAnsi="Arial"/>
          <w:sz w:val="19"/>
          <w:szCs w:val="19"/>
          <w:color w:val="221E1F"/>
        </w:rPr>
        <w:t>Option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 Withholding</w:t>
      </w:r>
    </w:p>
    <w:p>
      <w:pPr>
        <w:spacing w:after="0" w:line="213" w:lineRule="exact"/>
        <w:rPr>
          <w:sz w:val="20"/>
          <w:szCs w:val="20"/>
          <w:color w:val="auto"/>
        </w:rPr>
      </w:pPr>
    </w:p>
    <w:p>
      <w:pPr>
        <w:ind w:right="60"/>
        <w:spacing w:after="0" w:line="214"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subject to the Option Award having a Fair Market Value on the date of exercise equal to the amount required to be withheld for tax purposes (calculated using the minimum statutory withholding rate, except as otherwise approved by the Committee). The Company shall have the right to deduct directly from any payment or delivery of shares due to a Participant or from a Participant’s regular compensation to effect compliance with all Tax-Related Items, including withholding and reporting with respect to the exercise of any Option. Acceptance of an Award constitutes affirmative consent by a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w:t>
      </w:r>
      <w:r>
        <w:rPr>
          <w:rFonts w:ascii="Arial" w:cs="Arial" w:eastAsia="Arial" w:hAnsi="Arial"/>
          <w:sz w:val="20"/>
          <w:szCs w:val="20"/>
          <w:color w:val="221E1F"/>
        </w:rPr>
        <w:t xml:space="preserve"> </w:t>
      </w:r>
      <w:r>
        <w:rPr>
          <w:rFonts w:ascii="Arial" w:cs="Arial" w:eastAsia="Arial" w:hAnsi="Arial"/>
          <w:sz w:val="20"/>
          <w:szCs w:val="20"/>
          <w:color w:val="211F1F"/>
        </w:rPr>
        <w:t>one jurisdiction between the date of grant and the date of any relevant taxable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10720"/>
        <w:spacing w:after="0"/>
        <w:rPr>
          <w:sz w:val="20"/>
          <w:szCs w:val="20"/>
          <w:color w:val="auto"/>
        </w:rPr>
      </w:pPr>
      <w:r>
        <w:rPr>
          <w:rFonts w:ascii="Arial" w:cs="Arial" w:eastAsia="Arial" w:hAnsi="Arial"/>
          <w:sz w:val="14"/>
          <w:szCs w:val="14"/>
          <w:color w:val="auto"/>
        </w:rPr>
        <w:t>01/2020</w:t>
      </w:r>
    </w:p>
    <w:p>
      <w:pPr>
        <w:spacing w:after="0" w:line="69" w:lineRule="exact"/>
        <w:rPr>
          <w:sz w:val="20"/>
          <w:szCs w:val="20"/>
          <w:color w:val="auto"/>
        </w:rPr>
      </w:pPr>
    </w:p>
    <w:p>
      <w:pPr>
        <w:jc w:val="right"/>
        <w:ind w:right="106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18" w:right="339" w:bottom="1440" w:gutter="0" w:footer="0" w:header="0"/>
        </w:sectPr>
      </w:pPr>
    </w:p>
    <w:bookmarkStart w:id="112" w:name="page113"/>
    <w:bookmarkEnd w:id="112"/>
    <w:p>
      <w:pPr>
        <w:ind w:right="40"/>
        <w:spacing w:after="0" w:line="217" w:lineRule="auto"/>
        <w:rPr>
          <w:sz w:val="20"/>
          <w:szCs w:val="20"/>
          <w:color w:val="auto"/>
        </w:rPr>
      </w:pPr>
      <w:r>
        <w:rPr>
          <w:rFonts w:ascii="Arial" w:cs="Arial" w:eastAsia="Arial" w:hAnsi="Arial"/>
          <w:sz w:val="20"/>
          <w:szCs w:val="20"/>
          <w:color w:val="211F1F"/>
        </w:rPr>
        <w:t xml:space="preserve">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 there is no withholding on account of such Tax-Related Items, Participants must</w:t>
      </w:r>
      <w:r>
        <w:rPr>
          <w:rFonts w:ascii="Arial" w:cs="Arial" w:eastAsia="Arial" w:hAnsi="Arial"/>
          <w:sz w:val="20"/>
          <w:szCs w:val="20"/>
          <w:color w:val="211F1F"/>
        </w:rPr>
        <w:t xml:space="preserve"> </w:t>
      </w:r>
      <w:r>
        <w:rPr>
          <w:rFonts w:ascii="Arial" w:cs="Arial" w:eastAsia="Arial" w:hAnsi="Arial"/>
          <w:sz w:val="20"/>
          <w:szCs w:val="20"/>
          <w:color w:val="221E1F"/>
        </w:rPr>
        <w:t>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211F1F"/>
        </w:rPr>
        <w:t>Important information about the U.S. Federal income tax consequences of LTIP Awards can be found in the LTIP Prospectus at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13" w:lineRule="exact"/>
        <w:rPr>
          <w:sz w:val="20"/>
          <w:szCs w:val="20"/>
          <w:color w:val="auto"/>
        </w:rPr>
      </w:pPr>
    </w:p>
    <w:p>
      <w:pPr>
        <w:spacing w:after="0" w:line="223" w:lineRule="auto"/>
        <w:rPr>
          <w:sz w:val="20"/>
          <w:szCs w:val="20"/>
          <w:color w:val="auto"/>
        </w:rPr>
      </w:pPr>
      <w:r>
        <w:rPr>
          <w:rFonts w:ascii="Arial" w:cs="Arial" w:eastAsia="Arial" w:hAnsi="Arial"/>
          <w:sz w:val="20"/>
          <w:szCs w:val="20"/>
          <w:color w:val="221E1F"/>
        </w:rPr>
        <w:t xml:space="preserve">Unless otherwise approved by the Committee or its delegate, no </w:t>
      </w:r>
      <w:r>
        <w:rPr>
          <w:rFonts w:ascii="Arial" w:cs="Arial" w:eastAsia="Arial" w:hAnsi="Arial"/>
          <w:sz w:val="20"/>
          <w:szCs w:val="20"/>
          <w:color w:val="000000"/>
        </w:rPr>
        <w:t>assignment or transfer of any right or interest of a Participant in</w:t>
      </w:r>
      <w:r>
        <w:rPr>
          <w:rFonts w:ascii="Arial" w:cs="Arial" w:eastAsia="Arial" w:hAnsi="Arial"/>
          <w:sz w:val="20"/>
          <w:szCs w:val="20"/>
          <w:color w:val="221E1F"/>
        </w:rPr>
        <w:t xml:space="preserve"> </w:t>
      </w:r>
      <w:r>
        <w:rPr>
          <w:rFonts w:ascii="Arial" w:cs="Arial" w:eastAsia="Arial" w:hAnsi="Arial"/>
          <w:sz w:val="20"/>
          <w:szCs w:val="20"/>
          <w:color w:val="000000"/>
        </w:rPr>
        <w:t xml:space="preserve">any </w:t>
      </w:r>
      <w:r>
        <w:rPr>
          <w:rFonts w:ascii="Arial" w:cs="Arial" w:eastAsia="Arial" w:hAnsi="Arial"/>
          <w:sz w:val="20"/>
          <w:szCs w:val="20"/>
          <w:color w:val="221E1F"/>
        </w:rPr>
        <w:t>Option</w:t>
      </w:r>
      <w:r>
        <w:rPr>
          <w:rFonts w:ascii="Arial" w:cs="Arial" w:eastAsia="Arial" w:hAnsi="Arial"/>
          <w:sz w:val="20"/>
          <w:szCs w:val="20"/>
          <w:color w:val="000000"/>
        </w:rPr>
        <w:t xml:space="preserve"> Award, whether voluntary or involuntary, by operation of law or otherwise, is permitted except by will or the laws of descent and distribution. Any other </w:t>
      </w:r>
      <w:r>
        <w:rPr>
          <w:rFonts w:ascii="Arial" w:cs="Arial" w:eastAsia="Arial" w:hAnsi="Arial"/>
          <w:sz w:val="20"/>
          <w:szCs w:val="20"/>
          <w:color w:val="221E1F"/>
        </w:rPr>
        <w:t>attempt to assign such rights or interest shall be void and without force or effect.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Payments</w:t>
      </w:r>
    </w:p>
    <w:p>
      <w:pPr>
        <w:spacing w:after="0" w:line="213" w:lineRule="exact"/>
        <w:rPr>
          <w:sz w:val="20"/>
          <w:szCs w:val="20"/>
          <w:color w:val="auto"/>
        </w:rPr>
      </w:pPr>
    </w:p>
    <w:p>
      <w:pPr>
        <w:jc w:val="both"/>
        <w:ind w:right="40"/>
        <w:spacing w:after="0" w:line="220"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13" w:lineRule="exact"/>
        <w:rPr>
          <w:sz w:val="20"/>
          <w:szCs w:val="20"/>
          <w:color w:val="auto"/>
        </w:rPr>
      </w:pPr>
    </w:p>
    <w:p>
      <w:pPr>
        <w:spacing w:after="0" w:line="223" w:lineRule="auto"/>
        <w:rPr>
          <w:sz w:val="20"/>
          <w:szCs w:val="20"/>
          <w:color w:val="auto"/>
        </w:rPr>
      </w:pPr>
      <w:r>
        <w:rPr>
          <w:rFonts w:ascii="Arial" w:cs="Arial" w:eastAsia="Arial" w:hAnsi="Arial"/>
          <w:sz w:val="20"/>
          <w:szCs w:val="20"/>
          <w:color w:val="211E1F"/>
        </w:rPr>
        <w:t xml:space="preserve">Nothing in the LTIP or in any </w:t>
      </w:r>
      <w:r>
        <w:rPr>
          <w:rFonts w:ascii="Arial" w:cs="Arial" w:eastAsia="Arial" w:hAnsi="Arial"/>
          <w:sz w:val="20"/>
          <w:szCs w:val="20"/>
          <w:color w:val="221E1F"/>
        </w:rPr>
        <w:t>Option</w:t>
      </w:r>
      <w:r>
        <w:rPr>
          <w:rFonts w:ascii="Arial" w:cs="Arial" w:eastAsia="Arial" w:hAnsi="Arial"/>
          <w:sz w:val="20"/>
          <w:szCs w:val="20"/>
          <w:color w:val="211E1F"/>
        </w:rPr>
        <w:t xml:space="preserve"> Award shall confer upon any Participant the right to continued employment or service for any period of time, or affect any right that the Company may have to terminate the employment of any Participant at any time for any reason.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3" w:lineRule="exact"/>
        <w:rPr>
          <w:sz w:val="20"/>
          <w:szCs w:val="20"/>
          <w:color w:val="auto"/>
        </w:rPr>
      </w:pPr>
    </w:p>
    <w:p>
      <w:pPr>
        <w:ind w:right="20"/>
        <w:spacing w:after="0" w:line="215"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 on any matter related to an Award shall be binding, final, and conclusive on all parties in interest.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3" w:lineRule="exact"/>
        <w:rPr>
          <w:sz w:val="20"/>
          <w:szCs w:val="20"/>
          <w:color w:val="auto"/>
        </w:rPr>
      </w:pPr>
    </w:p>
    <w:p>
      <w:pPr>
        <w:jc w:val="both"/>
        <w:ind w:right="320"/>
        <w:spacing w:after="0" w:line="223"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10680"/>
        <w:spacing w:after="0"/>
        <w:rPr>
          <w:sz w:val="20"/>
          <w:szCs w:val="20"/>
          <w:color w:val="auto"/>
        </w:rPr>
      </w:pPr>
      <w:r>
        <w:rPr>
          <w:rFonts w:ascii="Arial" w:cs="Arial" w:eastAsia="Arial" w:hAnsi="Arial"/>
          <w:sz w:val="14"/>
          <w:szCs w:val="14"/>
          <w:color w:val="auto"/>
        </w:rPr>
        <w:t>01/2020</w:t>
      </w:r>
    </w:p>
    <w:p>
      <w:pPr>
        <w:spacing w:after="0" w:line="69" w:lineRule="exact"/>
        <w:rPr>
          <w:sz w:val="20"/>
          <w:szCs w:val="20"/>
          <w:color w:val="auto"/>
        </w:rPr>
      </w:pPr>
    </w:p>
    <w:p>
      <w:pPr>
        <w:jc w:val="right"/>
        <w:ind w:right="106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00"/>
          </w:cols>
          <w:pgMar w:left="320" w:top="1418" w:right="379" w:bottom="1440" w:gutter="0" w:footer="0" w:header="0"/>
        </w:sectPr>
      </w:pPr>
    </w:p>
    <w:bookmarkStart w:id="113" w:name="page114"/>
    <w:bookmarkEnd w:id="113"/>
    <w:p>
      <w:pPr>
        <w:spacing w:after="0" w:line="218" w:lineRule="auto"/>
        <w:rPr>
          <w:sz w:val="20"/>
          <w:szCs w:val="20"/>
          <w:color w:val="auto"/>
        </w:rPr>
      </w:pPr>
      <w:r>
        <w:rPr>
          <w:rFonts w:ascii="Arial" w:cs="Arial" w:eastAsia="Arial" w:hAnsi="Arial"/>
          <w:sz w:val="20"/>
          <w:szCs w:val="20"/>
          <w:color w:val="221E1F"/>
        </w:rPr>
        <w:t>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Compliance Policies</w:t>
      </w:r>
    </w:p>
    <w:p>
      <w:pPr>
        <w:spacing w:after="0" w:line="213"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auto"/>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221E1F"/>
        </w:rPr>
        <w:t>This Schedule of Terms provides a summary of terms applicable to the Option Award. This Schedule of Terms and each Award</w:t>
      </w:r>
    </w:p>
    <w:p>
      <w:pPr>
        <w:ind w:right="100"/>
        <w:spacing w:after="0" w:line="216" w:lineRule="auto"/>
        <w:rPr>
          <w:sz w:val="20"/>
          <w:szCs w:val="20"/>
          <w:color w:val="auto"/>
        </w:rPr>
      </w:pPr>
      <w:r>
        <w:rPr>
          <w:rFonts w:ascii="Arial" w:cs="Arial" w:eastAsia="Arial" w:hAnsi="Arial"/>
          <w:sz w:val="20"/>
          <w:szCs w:val="20"/>
          <w:color w:val="221E1F"/>
        </w:rPr>
        <w:t xml:space="preserve">Agreement are subject in all respects to the terms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3"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Stock Plan Administrator</w:t>
      </w:r>
    </w:p>
    <w:p>
      <w:pPr>
        <w:ind w:left="660"/>
        <w:spacing w:after="0"/>
        <w:rPr>
          <w:sz w:val="20"/>
          <w:szCs w:val="20"/>
          <w:color w:val="auto"/>
        </w:rPr>
      </w:pPr>
      <w:r>
        <w:rPr>
          <w:rFonts w:ascii="Arial" w:cs="Arial" w:eastAsia="Arial" w:hAnsi="Arial"/>
          <w:sz w:val="20"/>
          <w:szCs w:val="20"/>
          <w:u w:val="single" w:color="auto"/>
          <w:color w:val="0000FF"/>
        </w:rPr>
        <w:t>rtxstockadmin@rtx.com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Raytheon Technologies Corporation</w:t>
      </w:r>
    </w:p>
    <w:p>
      <w:pPr>
        <w:ind w:left="660"/>
        <w:spacing w:after="0" w:line="225" w:lineRule="auto"/>
        <w:rPr>
          <w:sz w:val="20"/>
          <w:szCs w:val="20"/>
          <w:color w:val="auto"/>
        </w:rPr>
      </w:pPr>
      <w:r>
        <w:rPr>
          <w:rFonts w:ascii="Arial" w:cs="Arial" w:eastAsia="Arial" w:hAnsi="Arial"/>
          <w:sz w:val="20"/>
          <w:szCs w:val="20"/>
          <w:color w:val="auto"/>
        </w:rPr>
        <w:t>Attn: Stock Plan Administrator</w:t>
      </w:r>
    </w:p>
    <w:p>
      <w:pPr>
        <w:ind w:left="660"/>
        <w:spacing w:after="0" w:line="225" w:lineRule="auto"/>
        <w:rPr>
          <w:sz w:val="20"/>
          <w:szCs w:val="20"/>
          <w:color w:val="auto"/>
        </w:rPr>
      </w:pPr>
      <w:r>
        <w:rPr>
          <w:rFonts w:ascii="Arial" w:cs="Arial" w:eastAsia="Arial" w:hAnsi="Arial"/>
          <w:sz w:val="20"/>
          <w:szCs w:val="20"/>
          <w:color w:val="auto"/>
        </w:rPr>
        <w:t>4 Farm Springs Road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Farmington, CT 06032</w:t>
      </w:r>
    </w:p>
    <w:p>
      <w:pPr>
        <w:spacing w:after="0" w:line="229" w:lineRule="exact"/>
        <w:rPr>
          <w:sz w:val="20"/>
          <w:szCs w:val="20"/>
          <w:color w:val="auto"/>
        </w:rPr>
      </w:pPr>
    </w:p>
    <w:p>
      <w:pPr>
        <w:jc w:val="both"/>
        <w:ind w:right="40"/>
        <w:spacing w:after="0" w:line="235"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10680"/>
        <w:spacing w:after="0"/>
        <w:rPr>
          <w:sz w:val="20"/>
          <w:szCs w:val="20"/>
          <w:color w:val="auto"/>
        </w:rPr>
      </w:pPr>
      <w:r>
        <w:rPr>
          <w:rFonts w:ascii="Arial" w:cs="Arial" w:eastAsia="Arial" w:hAnsi="Arial"/>
          <w:sz w:val="14"/>
          <w:szCs w:val="14"/>
          <w:color w:val="auto"/>
        </w:rPr>
        <w:t>01/2020</w:t>
      </w:r>
    </w:p>
    <w:p>
      <w:pPr>
        <w:spacing w:after="0" w:line="69" w:lineRule="exact"/>
        <w:rPr>
          <w:sz w:val="20"/>
          <w:szCs w:val="20"/>
          <w:color w:val="auto"/>
        </w:rPr>
      </w:pPr>
    </w:p>
    <w:p>
      <w:pPr>
        <w:jc w:val="right"/>
        <w:ind w:right="106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00"/>
          </w:cols>
          <w:pgMar w:left="320" w:top="1418" w:right="37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52" w:lineRule="exact"/>
        <w:rPr>
          <w:sz w:val="20"/>
          <w:szCs w:val="20"/>
          <w:color w:val="auto"/>
        </w:rPr>
      </w:pPr>
    </w:p>
    <w:p>
      <w:pPr>
        <w:ind w:right="860"/>
        <w:spacing w:after="0" w:line="241" w:lineRule="auto"/>
        <w:rPr>
          <w:sz w:val="20"/>
          <w:szCs w:val="20"/>
          <w:color w:val="auto"/>
        </w:rPr>
      </w:pPr>
      <w:r>
        <w:rPr>
          <w:rFonts w:ascii="Arial" w:cs="Arial" w:eastAsia="Arial" w:hAnsi="Arial"/>
          <w:sz w:val="18"/>
          <w:szCs w:val="18"/>
          <w:color w:val="auto"/>
        </w:rPr>
        <w:t>We are aware that our report dated April 27, 2021 on our review of interim financial information of Raytheon Technologies Corporation, which appears in this Quarterly Report on Form 10-Q, is incorporated by reference in the Registration Statements on Form S-3 (No. 333-234027) and Form S-8 (Nos. 333-237576, 333-234086, 333-234085, 333-234084, 333-228649, 333-225839, 333-207193, 333-197704, 333-183123, 333-177517, 333-175781, 333-150643, 333-125293, 333-110020, 333-100724, 333-100723, 333-100718 and 033-51385) of Raytheon Technologies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240"/>
          </w:cols>
          <w:pgMar w:left="320" w:top="89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April 27,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J. HAYES</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Gregory J. Hayes</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Neil G. Mitchell Jr., certify that:</w:t>
      </w:r>
    </w:p>
    <w:p>
      <w:pPr>
        <w:spacing w:after="0" w:line="171"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April 27,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NEIL G. MITCHILL JR.</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Neil G. Mitchill Jr.</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J. Wood, certify that:</w:t>
      </w:r>
    </w:p>
    <w:p>
      <w:pPr>
        <w:spacing w:after="0" w:line="171"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April 27,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WOOD</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Michael J. Wood</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Corporate Vice President and Controller</w:t>
            </w:r>
          </w:p>
        </w:tc>
      </w:tr>
    </w:tbl>
    <w:p>
      <w:pPr>
        <w:sectPr>
          <w:pgSz w:w="11900" w:h="16838" w:orient="portrait"/>
          <w:cols w:equalWidth="0" w:num="1">
            <w:col w:w="11240"/>
          </w:cols>
          <w:pgMar w:left="320" w:top="89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45"/>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Raytheon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16"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The Quarterly Report on Form 10-Q for the quarter ended March 31, 2021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100"/>
              <w:spacing w:after="0"/>
              <w:rPr>
                <w:sz w:val="20"/>
                <w:szCs w:val="20"/>
                <w:color w:val="auto"/>
              </w:rPr>
            </w:pPr>
            <w:r>
              <w:rPr>
                <w:rFonts w:ascii="Arial" w:cs="Arial" w:eastAsia="Arial" w:hAnsi="Arial"/>
                <w:sz w:val="18"/>
                <w:szCs w:val="18"/>
                <w:color w:val="auto"/>
              </w:rPr>
              <w:t>April 27, 2021</w:t>
            </w: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J. HAYES</w:t>
            </w:r>
          </w:p>
        </w:tc>
      </w:tr>
      <w:tr>
        <w:trPr>
          <w:trHeight w:val="222"/>
        </w:trPr>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Gregory J. Hayes</w:t>
            </w:r>
          </w:p>
        </w:tc>
      </w:tr>
      <w:tr>
        <w:trPr>
          <w:trHeight w:val="230"/>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100"/>
              <w:spacing w:after="0"/>
              <w:rPr>
                <w:sz w:val="20"/>
                <w:szCs w:val="20"/>
                <w:color w:val="auto"/>
              </w:rPr>
            </w:pPr>
            <w:r>
              <w:rPr>
                <w:rFonts w:ascii="Arial" w:cs="Arial" w:eastAsia="Arial" w:hAnsi="Arial"/>
                <w:sz w:val="18"/>
                <w:szCs w:val="18"/>
                <w:color w:val="auto"/>
              </w:rPr>
              <w:t>April 27, 2021</w:t>
            </w: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NEIL G. MITCHILL JR.</w:t>
            </w:r>
          </w:p>
        </w:tc>
      </w:tr>
      <w:tr>
        <w:trPr>
          <w:trHeight w:val="222"/>
        </w:trPr>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Neil G. Mitchill Jr.</w:t>
            </w:r>
          </w:p>
        </w:tc>
      </w:tr>
      <w:tr>
        <w:trPr>
          <w:trHeight w:val="230"/>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100"/>
              <w:spacing w:after="0"/>
              <w:rPr>
                <w:sz w:val="20"/>
                <w:szCs w:val="20"/>
                <w:color w:val="auto"/>
              </w:rPr>
            </w:pPr>
            <w:r>
              <w:rPr>
                <w:rFonts w:ascii="Arial" w:cs="Arial" w:eastAsia="Arial" w:hAnsi="Arial"/>
                <w:sz w:val="18"/>
                <w:szCs w:val="18"/>
                <w:color w:val="auto"/>
              </w:rPr>
              <w:t>April 27, 2021</w:t>
            </w: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WOOD</w:t>
            </w:r>
          </w:p>
        </w:tc>
      </w:tr>
      <w:tr>
        <w:trPr>
          <w:trHeight w:val="222"/>
        </w:trPr>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Michael J. Wood</w:t>
            </w:r>
          </w:p>
        </w:tc>
      </w:tr>
      <w:tr>
        <w:trPr>
          <w:trHeight w:val="230"/>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Corporate Vice President and Controller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6"/>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amp;"/>
      <w:numFmt w:val="bullet"/>
      <w:start w:val="1"/>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1."/>
      <w:numFmt w:val="decimal"/>
      <w:start w:val="1"/>
    </w:lvl>
    <w:lvl w:ilvl="1">
      <w:lvlJc w:val="left"/>
      <w:lvlText w:val="(%2)"/>
      <w:numFmt w:val="lowerLetter"/>
      <w:start w:val="1"/>
    </w:lvl>
  </w:abstractNum>
  <w:abstractNum w:abstractNumId="26">
    <w:nsid w:val="542289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
    <w:nsid w:val="6DE91B1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
    <w:nsid w:val="38437FDB"/>
    <w:multiLevelType w:val="hybridMultilevel"/>
    <w:lvl w:ilvl="0">
      <w:lvlJc w:val="left"/>
      <w:lvlText w:val="(%1)"/>
      <w:numFmt w:val="lowerLetter"/>
      <w:start w:val="3"/>
    </w:lvl>
  </w:abstractNum>
  <w:abstractNum w:abstractNumId="29">
    <w:nsid w:val="7644A45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0">
    <w:nsid w:val="32FFF902"/>
    <w:multiLevelType w:val="hybridMultilevel"/>
    <w:lvl w:ilvl="0">
      <w:lvlJc w:val="left"/>
      <w:lvlText w:val="(%1)"/>
      <w:numFmt w:val="lowerRoman"/>
      <w:start w:val="2"/>
    </w:lvl>
  </w:abstractNum>
  <w:abstractNum w:abstractNumId="31">
    <w:nsid w:val="684A481A"/>
    <w:multiLevelType w:val="hybridMultilevel"/>
    <w:lvl w:ilvl="0">
      <w:lvlJc w:val="left"/>
      <w:lvlText w:val="(%1)"/>
      <w:numFmt w:val="lowerLetter"/>
      <w:start w:val="4"/>
    </w:lvl>
    <w:lvl w:ilvl="1">
      <w:lvlJc w:val="left"/>
      <w:lvlText w:val="(%2)"/>
      <w:numFmt w:val="lowerRoman"/>
      <w:start w:val="1"/>
    </w:lvl>
  </w:abstractNum>
  <w:abstractNum w:abstractNumId="32">
    <w:nsid w:val="579478FE"/>
    <w:multiLevelType w:val="hybridMultilevel"/>
    <w:lvl w:ilvl="0">
      <w:lvlJc w:val="left"/>
      <w:lvlText w:val="(%1)"/>
      <w:numFmt w:val="lowerLetter"/>
      <w:start w:val="5"/>
    </w:lvl>
  </w:abstractNum>
  <w:abstractNum w:abstractNumId="33">
    <w:nsid w:val="749ABB43"/>
    <w:multiLevelType w:val="hybridMultilevel"/>
    <w:lvl w:ilvl="0">
      <w:lvlJc w:val="left"/>
      <w:lvlText w:val="(%1)"/>
      <w:numFmt w:val="lowerRoman"/>
      <w:start w:val="1"/>
    </w:lvl>
  </w:abstractNum>
  <w:abstractNum w:abstractNumId="34">
    <w:nsid w:val="3DC240FB"/>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35">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6">
    <w:nsid w:val="79A1DEA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7">
    <w:nsid w:val="75C6C33A"/>
    <w:multiLevelType w:val="hybridMultilevel"/>
    <w:lvl w:ilvl="0">
      <w:lvlJc w:val="left"/>
      <w:lvlText w:val="(%1)"/>
      <w:numFmt w:val="lowerLetter"/>
      <w:start w:val="2"/>
    </w:lvl>
  </w:abstractNum>
  <w:abstractNum w:abstractNumId="38">
    <w:nsid w:val="12E685FB"/>
    <w:multiLevelType w:val="hybridMultilevel"/>
    <w:lvl w:ilvl="0">
      <w:lvlJc w:val="left"/>
      <w:lvlText w:val="%1"/>
      <w:numFmt w:val="lowerLetter"/>
      <w:start w:val="1"/>
    </w:lvl>
    <w:lvl w:ilvl="1">
      <w:lvlJc w:val="left"/>
      <w:lvlText w:val="(%2)"/>
      <w:numFmt w:val="lowerLetter"/>
      <w:start w:val="3"/>
    </w:lvl>
  </w:abstractNum>
  <w:abstractNum w:abstractNumId="39">
    <w:nsid w:val="70C6A529"/>
    <w:multiLevelType w:val="hybridMultilevel"/>
    <w:lvl w:ilvl="0">
      <w:lvlJc w:val="left"/>
      <w:lvlText w:val="(%1)"/>
      <w:numFmt w:val="lowerLetter"/>
      <w:start w:val="35"/>
    </w:lvl>
    <w:lvl w:ilvl="1">
      <w:lvlJc w:val="left"/>
      <w:lvlText w:val="(%2)"/>
      <w:numFmt w:val="lowerLetter"/>
      <w:start w:val="4"/>
    </w:lvl>
  </w:abstractNum>
  <w:abstractNum w:abstractNumId="40">
    <w:nsid w:val="520EEDD1"/>
    <w:multiLevelType w:val="hybridMultilevel"/>
    <w:lvl w:ilvl="0">
      <w:lvlJc w:val="left"/>
      <w:lvlText w:val="%1."/>
      <w:numFmt w:val="decimal"/>
      <w:start w:val="9"/>
    </w:lvl>
    <w:lvl w:ilvl="1">
      <w:lvlJc w:val="left"/>
      <w:lvlText w:val="(%2)"/>
      <w:numFmt w:val="lowerLetter"/>
      <w:start w:val="1"/>
    </w:lvl>
  </w:abstractNum>
  <w:abstractNum w:abstractNumId="41">
    <w:nsid w:val="374A3FE6"/>
    <w:multiLevelType w:val="hybridMultilevel"/>
    <w:lvl w:ilvl="0">
      <w:lvlJc w:val="left"/>
      <w:lvlText w:val="%1"/>
      <w:numFmt w:val="decimal"/>
      <w:start w:val="1"/>
    </w:lvl>
    <w:lvl w:ilvl="1">
      <w:lvlJc w:val="left"/>
      <w:lvlText w:val="(%2)"/>
      <w:numFmt w:val="lowerLetter"/>
      <w:start w:val="3"/>
    </w:lvl>
  </w:abstractNum>
  <w:abstractNum w:abstractNumId="42">
    <w:nsid w:val="4F4EF005"/>
    <w:multiLevelType w:val="hybridMultilevel"/>
    <w:lvl w:ilvl="0">
      <w:lvlJc w:val="left"/>
      <w:lvlText w:val="%1."/>
      <w:numFmt w:val="decimal"/>
      <w:start w:val="10"/>
    </w:lvl>
    <w:lvl w:ilvl="1">
      <w:lvlJc w:val="left"/>
      <w:lvlText w:val="(%2)"/>
      <w:numFmt w:val="lowerLetter"/>
      <w:start w:val="1"/>
    </w:lvl>
  </w:abstractNum>
  <w:abstractNum w:abstractNumId="43">
    <w:nsid w:val="23F9C13C"/>
    <w:multiLevelType w:val="hybridMultilevel"/>
    <w:lvl w:ilvl="0">
      <w:lvlJc w:val="left"/>
      <w:lvlText w:val="(%1)"/>
      <w:numFmt w:val="lowerLetter"/>
      <w:start w:val="8"/>
    </w:lvl>
    <w:lvl w:ilvl="1">
      <w:lvlJc w:val="left"/>
      <w:lvlText w:val="(%2)"/>
      <w:numFmt w:val="lowerRoman"/>
      <w:start w:val="1"/>
    </w:lvl>
  </w:abstractNum>
  <w:abstractNum w:abstractNumId="44">
    <w:nsid w:val="649BB77C"/>
    <w:multiLevelType w:val="hybridMultilevel"/>
    <w:lvl w:ilvl="0">
      <w:lvlJc w:val="left"/>
      <w:lvlText w:val="%1"/>
      <w:numFmt w:val="lowerLetter"/>
      <w:start w:val="1"/>
    </w:lvl>
    <w:lvl w:ilvl="1">
      <w:lvlJc w:val="left"/>
      <w:lvlText w:val="(%2)"/>
      <w:numFmt w:val="lowerLetter"/>
      <w:start w:val="61"/>
    </w:lvl>
  </w:abstractNum>
  <w:abstractNum w:abstractNumId="45">
    <w:nsid w:val="275AC794"/>
    <w:multiLevelType w:val="hybridMultilevel"/>
    <w:lvl w:ilvl="0">
      <w:lvlJc w:val="left"/>
      <w:lvlText w:val="(%1)"/>
      <w:numFmt w:val="lowerLetter"/>
      <w:start w:val="10"/>
    </w:lvl>
    <w:lvl w:ilvl="1">
      <w:lvlJc w:val="left"/>
      <w:lvlText w:val="%2"/>
      <w:numFmt w:val="lowerLetter"/>
      <w:start w:val="1"/>
    </w:lvl>
  </w:abstractNum>
  <w:abstractNum w:abstractNumId="46">
    <w:nsid w:val="39386575"/>
    <w:multiLevelType w:val="hybridMultilevel"/>
    <w:lvl w:ilvl="0">
      <w:lvlJc w:val="left"/>
      <w:lvlText w:val="%1."/>
      <w:numFmt w:val="decimal"/>
      <w:start w:val="1"/>
    </w:lvl>
    <w:lvl w:ilvl="1">
      <w:lvlJc w:val="left"/>
      <w:lvlText w:val="(%2)"/>
      <w:numFmt w:val="lowerLetter"/>
      <w:start w:val="3"/>
    </w:lvl>
  </w:abstractNum>
  <w:abstractNum w:abstractNumId="47">
    <w:nsid w:val="1CF10FD8"/>
    <w:multiLevelType w:val="hybridMultilevel"/>
    <w:lvl w:ilvl="0">
      <w:lvlJc w:val="left"/>
      <w:lvlText w:val="(%1)"/>
      <w:numFmt w:val="lowerRoman"/>
      <w:start w:val="4"/>
    </w:lvl>
  </w:abstractNum>
  <w:abstractNum w:abstractNumId="48">
    <w:nsid w:val="180115BE"/>
    <w:multiLevelType w:val="hybridMultilevel"/>
    <w:lvl w:ilvl="0">
      <w:lvlJc w:val="left"/>
      <w:lvlText w:val="•"/>
      <w:numFmt w:val="bullet"/>
      <w:start w:val="1"/>
    </w:lvl>
    <w:lvl w:ilvl="1">
      <w:lvlJc w:val="left"/>
      <w:lvlText w:val="◦"/>
      <w:numFmt w:val="bullet"/>
      <w:start w:val="1"/>
    </w:lvl>
  </w:abstractNum>
  <w:abstractNum w:abstractNumId="49">
    <w:nsid w:val="235BA861"/>
    <w:multiLevelType w:val="hybridMultilevel"/>
    <w:lvl w:ilvl="0">
      <w:lvlJc w:val="left"/>
      <w:lvlText w:val="(%1)"/>
      <w:numFmt w:val="lowerRoman"/>
      <w:start w:val="1"/>
    </w:lvl>
    <w:lvl w:ilvl="1">
      <w:lvlJc w:val="left"/>
      <w:lvlText w:val="(%2)"/>
      <w:numFmt w:val="upperLetter"/>
      <w:start w:val="1"/>
    </w:lvl>
  </w:abstractNum>
  <w:abstractNum w:abstractNumId="50">
    <w:nsid w:val="47398C89"/>
    <w:multiLevelType w:val="hybridMultilevel"/>
    <w:lvl w:ilvl="0">
      <w:lvlJc w:val="left"/>
      <w:lvlText w:val="(%1)"/>
      <w:numFmt w:val="lowerRoman"/>
      <w:start w:val="2"/>
    </w:lvl>
  </w:abstractNum>
  <w:abstractNum w:abstractNumId="51">
    <w:nsid w:val="354FE9F9"/>
    <w:multiLevelType w:val="hybridMultilevel"/>
    <w:lvl w:ilvl="0">
      <w:lvlJc w:val="left"/>
      <w:lvlText w:val="•"/>
      <w:numFmt w:val="bullet"/>
      <w:start w:val="1"/>
    </w:lvl>
    <w:lvl w:ilvl="1">
      <w:lvlJc w:val="left"/>
      <w:lvlText w:val="◦"/>
      <w:numFmt w:val="bullet"/>
      <w:start w:val="1"/>
    </w:lvl>
  </w:abstractNum>
  <w:abstractNum w:abstractNumId="52">
    <w:nsid w:val="15B5AF5C"/>
    <w:multiLevelType w:val="hybridMultilevel"/>
    <w:lvl w:ilvl="0">
      <w:lvlJc w:val="left"/>
      <w:lvlText w:val="(%1)"/>
      <w:numFmt w:val="lowerRoman"/>
      <w:start w:val="1"/>
    </w:lvl>
    <w:lvl w:ilvl="1">
      <w:lvlJc w:val="left"/>
      <w:lvlText w:val="(%2)"/>
      <w:numFmt w:val="upperLetter"/>
      <w:start w:val="1"/>
    </w:lvl>
  </w:abstractNum>
  <w:abstractNum w:abstractNumId="53">
    <w:nsid w:val="741226BB"/>
    <w:multiLevelType w:val="hybridMultilevel"/>
    <w:lvl w:ilvl="0">
      <w:lvlJc w:val="left"/>
      <w:lvlText w:val="(%1)"/>
      <w:numFmt w:val="lowerRoman"/>
      <w:start w:val="7"/>
    </w:lvl>
  </w:abstractNum>
  <w:abstractNum w:abstractNumId="54">
    <w:nsid w:val="D34B6A8"/>
    <w:multiLevelType w:val="hybridMultilevel"/>
    <w:lvl w:ilvl="0">
      <w:lvlJc w:val="left"/>
      <w:lvlText w:val="(%1)"/>
      <w:numFmt w:val="lowerRoman"/>
      <w:start w:val="2"/>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lowerRoman"/>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lvl w:ilvl="1">
      <w:lvlJc w:val="left"/>
      <w:lvlText w:val="◦"/>
      <w:numFmt w:val="bullet"/>
      <w:start w:val="1"/>
    </w:lvl>
  </w:abstractNum>
  <w:abstractNum w:abstractNumId="59">
    <w:nsid w:val="77AE35EB"/>
    <w:multiLevelType w:val="hybridMultilevel"/>
    <w:lvl w:ilvl="0">
      <w:lvlJc w:val="left"/>
      <w:lvlText w:val="(%1)"/>
      <w:numFmt w:val="decimal"/>
      <w:start w:val="90"/>
    </w:lvl>
  </w:abstractNum>
  <w:abstractNum w:abstractNumId="60">
    <w:nsid w:val="579BE4F1"/>
    <w:multiLevelType w:val="hybridMultilevel"/>
    <w:lvl w:ilvl="0">
      <w:lvlJc w:val="left"/>
      <w:lvlText w:val="(%1)"/>
      <w:numFmt w:val="lowerRoman"/>
      <w:start w:val="1"/>
    </w:lvl>
    <w:lvl w:ilvl="1">
      <w:lvlJc w:val="left"/>
      <w:lvlText w:val="(%2)"/>
      <w:numFmt w:val="upperLetter"/>
      <w:start w:val="1"/>
    </w:lvl>
  </w:abstractNum>
  <w:abstractNum w:abstractNumId="61">
    <w:nsid w:val="310C50B3"/>
    <w:multiLevelType w:val="hybridMultilevel"/>
    <w:lvl w:ilvl="0">
      <w:lvlJc w:val="left"/>
      <w:lvlText w:val="•"/>
      <w:numFmt w:val="bullet"/>
      <w:start w:val="1"/>
    </w:lvl>
    <w:lvl w:ilvl="1">
      <w:lvlJc w:val="left"/>
      <w:lvlText w:val="◦"/>
      <w:numFmt w:val="bullet"/>
      <w:start w:val="1"/>
    </w:lvl>
  </w:abstractNum>
  <w:abstractNum w:abstractNumId="62">
    <w:nsid w:val="5FF87E05"/>
    <w:multiLevelType w:val="hybridMultilevel"/>
    <w:lvl w:ilvl="0">
      <w:lvlJc w:val="left"/>
      <w:lvlText w:val="(%1)"/>
      <w:numFmt w:val="lowerRoman"/>
      <w:start w:val="1"/>
    </w:lvl>
    <w:lvl w:ilvl="1">
      <w:lvlJc w:val="left"/>
      <w:lvlText w:val="(%2)"/>
      <w:numFmt w:val="upp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1" Type="http://schemas.openxmlformats.org/officeDocument/2006/relationships/hyperlink" Target="http://www.sec.gov/Archives/edgar/data/101829/000010182921000010/a2021-03x04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2021-04-27T15:31:51Z</dcterms:created>
  <dcterms:modified xsi:type="dcterms:W3CDTF">2021-04-27T15:31:51Z</dcterms:modified>
</cp:coreProperties>
</file>