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4580255</wp:posOffset>
            </wp:positionH>
            <wp:positionV relativeFrom="page">
              <wp:posOffset>182880</wp:posOffset>
            </wp:positionV>
            <wp:extent cx="2366010" cy="1062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6010" cy="10629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001-00812</w:t>
        </w:r>
      </w:hyperlink>
    </w:p>
    <w:p>
      <w:pPr>
        <w:spacing w:after="0" w:line="125" w:lineRule="exact"/>
        <w:rPr>
          <w:sz w:val="24"/>
          <w:szCs w:val="24"/>
          <w:color w:val="auto"/>
        </w:rPr>
      </w:pPr>
    </w:p>
    <w:p>
      <w:pPr>
        <w:jc w:val="center"/>
        <w:ind w:left="2600"/>
        <w:spacing w:after="0"/>
        <w:tabs>
          <w:tab w:leader="none" w:pos="38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UNITED TECHNOLOGIES CORP /DE/</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740"/>
        <w:spacing w:after="0"/>
        <w:rPr>
          <w:sz w:val="20"/>
          <w:szCs w:val="20"/>
          <w:color w:val="auto"/>
        </w:rPr>
      </w:pPr>
      <w:r>
        <w:rPr>
          <w:rFonts w:ascii="Arial" w:cs="Arial" w:eastAsia="Arial" w:hAnsi="Arial"/>
          <w:sz w:val="22"/>
          <w:szCs w:val="22"/>
          <w:color w:val="auto"/>
        </w:rPr>
        <w:t>Address: 10 Farm Springs Road</w:t>
      </w:r>
    </w:p>
    <w:p>
      <w:pPr>
        <w:spacing w:after="0" w:line="44" w:lineRule="exact"/>
        <w:rPr>
          <w:sz w:val="24"/>
          <w:szCs w:val="24"/>
          <w:color w:val="auto"/>
        </w:rPr>
      </w:pPr>
    </w:p>
    <w:p>
      <w:pPr>
        <w:ind w:left="3560"/>
        <w:spacing w:after="0"/>
        <w:rPr>
          <w:sz w:val="20"/>
          <w:szCs w:val="20"/>
          <w:color w:val="auto"/>
        </w:rPr>
      </w:pPr>
      <w:r>
        <w:rPr>
          <w:rFonts w:ascii="Arial" w:cs="Arial" w:eastAsia="Arial" w:hAnsi="Arial"/>
          <w:sz w:val="22"/>
          <w:szCs w:val="22"/>
          <w:color w:val="auto"/>
        </w:rPr>
        <w:t>Farmington CONNECTICUT 06032</w:t>
      </w:r>
    </w:p>
    <w:p>
      <w:pPr>
        <w:spacing w:after="0" w:line="44" w:lineRule="exact"/>
        <w:rPr>
          <w:sz w:val="24"/>
          <w:szCs w:val="24"/>
          <w:color w:val="auto"/>
        </w:rPr>
      </w:pPr>
    </w:p>
    <w:tbl>
      <w:tblPr>
        <w:tblLayout w:type="fixed"/>
        <w:tblInd w:w="1840" w:type="dxa"/>
        <w:tblCellMar>
          <w:top w:w="0" w:type="dxa"/>
          <w:left w:w="0" w:type="dxa"/>
          <w:bottom w:w="0" w:type="dxa"/>
          <w:right w:w="0" w:type="dxa"/>
        </w:tblCellMar>
      </w:tblP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Telephone number:</w:t>
            </w:r>
          </w:p>
        </w:tc>
        <w:tc>
          <w:tcPr>
            <w:tcW w:w="3000" w:type="dxa"/>
            <w:vAlign w:val="bottom"/>
          </w:tcPr>
          <w:p>
            <w:pPr>
              <w:jc w:val="right"/>
              <w:spacing w:after="0"/>
              <w:rPr>
                <w:sz w:val="20"/>
                <w:szCs w:val="20"/>
                <w:color w:val="auto"/>
              </w:rPr>
            </w:pPr>
            <w:r>
              <w:rPr>
                <w:rFonts w:ascii="Arial" w:cs="Arial" w:eastAsia="Arial" w:hAnsi="Arial"/>
                <w:sz w:val="22"/>
                <w:szCs w:val="22"/>
                <w:color w:val="auto"/>
              </w:rPr>
              <w:t>(860) 728-7000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1.125% Notes due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4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2"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2020-03-31</w:t>
            </w:r>
          </w:p>
        </w:tc>
        <w:tc>
          <w:tcPr>
            <w:tcW w:w="940" w:type="dxa"/>
            <w:vAlign w:val="bottom"/>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ind w:left="1080"/>
              <w:spacing w:after="0"/>
              <w:rPr>
                <w:sz w:val="20"/>
                <w:szCs w:val="20"/>
                <w:color w:val="auto"/>
              </w:rPr>
            </w:pPr>
            <w:r>
              <w:rPr>
                <w:rFonts w:ascii="Arial" w:cs="Arial" w:eastAsia="Arial" w:hAnsi="Arial"/>
                <w:sz w:val="22"/>
                <w:szCs w:val="22"/>
                <w:color w:val="auto"/>
              </w:rPr>
              <w:t>Victoria Paper</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Lead Analyst</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line="246"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April 13, 2020, pursuant to the provisions of Rule 12d2-2 (a). [ X ] 17 CFR 240.12d2-2(a)(1) That the entire class of this security was called for redemption, maturity or retirement on March 29, 2020; appropriate notice thereof was given; funds sufficient for the payment of all such securities were deposited with an agency authorized to make such payment; and such funds were made available to security holders on March 29, 2020. The Exchange also notifies the Securities and Exchange Commission that as a result of the above indicated conditions this security was suspended from trading on March 30, 2020.</w:t>
      </w:r>
    </w:p>
    <w:sectPr>
      <w:pgSz w:w="11900" w:h="16838" w:orient="portrait"/>
      <w:cols w:equalWidth="0" w:num="1">
        <w:col w:w="11160"/>
      </w:cols>
      <w:pgMar w:left="320" w:top="11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00812" TargetMode="External"/><Relationship Id="rId10" Type="http://schemas.openxmlformats.org/officeDocument/2006/relationships/hyperlink" Target="http://www.sec.gov/cgi-bin/browse-edgar?action=getcompany&amp;CIK=0000101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2020-03-31T13:40:42Z</dcterms:created>
  <dcterms:modified xsi:type="dcterms:W3CDTF">2020-03-31T13:40:42Z</dcterms:modified>
</cp:coreProperties>
</file>