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4"/>
          <w:szCs w:val="24"/>
          <w:color w:val="auto"/>
        </w:rPr>
      </w:pPr>
    </w:p>
    <w:p>
      <w:pPr>
        <w:ind w:left="680" w:right="2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7"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502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r>
      <w:tr>
        <w:trPr>
          <w:trHeight w:val="380"/>
        </w:trPr>
        <w:tc>
          <w:tcPr>
            <w:tcW w:w="6400" w:type="dxa"/>
            <w:vAlign w:val="bottom"/>
            <w:gridSpan w:val="6"/>
          </w:tcPr>
          <w:p>
            <w:pPr>
              <w:jc w:val="center"/>
              <w:ind w:left="2865"/>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6400" w:type="dxa"/>
            <w:vAlign w:val="bottom"/>
            <w:gridSpan w:val="6"/>
          </w:tcPr>
          <w:p>
            <w:pPr>
              <w:jc w:val="center"/>
              <w:ind w:left="2825"/>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45"/>
        </w:trPr>
        <w:tc>
          <w:tcPr>
            <w:tcW w:w="8720" w:type="dxa"/>
            <w:vAlign w:val="bottom"/>
            <w:gridSpan w:val="8"/>
          </w:tcPr>
          <w:p>
            <w:pPr>
              <w:jc w:val="center"/>
              <w:ind w:left="565"/>
              <w:spacing w:after="0"/>
              <w:rPr>
                <w:sz w:val="20"/>
                <w:szCs w:val="20"/>
                <w:color w:val="auto"/>
              </w:rPr>
            </w:pPr>
            <w:r>
              <w:rPr>
                <w:rFonts w:ascii="Times New Roman" w:cs="Times New Roman" w:eastAsia="Times New Roman" w:hAnsi="Times New Roman"/>
                <w:sz w:val="43"/>
                <w:szCs w:val="43"/>
                <w:b w:val="1"/>
                <w:bCs w:val="1"/>
                <w:color w:val="auto"/>
                <w:w w:val="99"/>
              </w:rPr>
              <w:t>RTX CORPORATION</w:t>
            </w:r>
          </w:p>
        </w:tc>
      </w:tr>
      <w:tr>
        <w:trPr>
          <w:trHeight w:val="237"/>
        </w:trPr>
        <w:tc>
          <w:tcPr>
            <w:tcW w:w="6400" w:type="dxa"/>
            <w:vAlign w:val="bottom"/>
            <w:gridSpan w:val="6"/>
          </w:tcPr>
          <w:p>
            <w:pPr>
              <w:jc w:val="center"/>
              <w:ind w:left="288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88"/>
        </w:trPr>
        <w:tc>
          <w:tcPr>
            <w:tcW w:w="5980" w:type="dxa"/>
            <w:vAlign w:val="bottom"/>
            <w:gridSpan w:val="5"/>
          </w:tcPr>
          <w:p>
            <w:pPr>
              <w:jc w:val="center"/>
              <w:ind w:left="3265"/>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5"/>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90"/>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71"/>
        </w:trPr>
        <w:tc>
          <w:tcPr>
            <w:tcW w:w="41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1000 Wilson Boulevard,</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32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22209</w:t>
            </w:r>
          </w:p>
        </w:tc>
      </w:tr>
      <w:tr>
        <w:trPr>
          <w:trHeight w:val="190"/>
        </w:trPr>
        <w:tc>
          <w:tcPr>
            <w:tcW w:w="5440" w:type="dxa"/>
            <w:vAlign w:val="bottom"/>
            <w:gridSpan w:val="3"/>
          </w:tcPr>
          <w:p>
            <w:pPr>
              <w:ind w:left="3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0"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9"/>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42"/>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660" w:type="dxa"/>
            <w:vAlign w:val="bottom"/>
          </w:tcPr>
          <w:p>
            <w:pPr>
              <w:spacing w:after="0"/>
              <w:rPr>
                <w:sz w:val="21"/>
                <w:szCs w:val="21"/>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6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and “emerging growth company” in Rule 12b-2 of the Exchange Act.</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ind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2024 there were 1,331,016,397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CONTENTS OF QUARTERLY REPORT ON FORM 10-Q</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2024</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560" w:type="dxa"/>
            <w:vAlign w:val="bottom"/>
            <w:gridSpan w:val="11"/>
          </w:tcPr>
          <w:p>
            <w:pPr>
              <w:spacing w:after="0"/>
              <w:rPr>
                <w:sz w:val="19"/>
                <w:szCs w:val="19"/>
                <w:color w:val="auto"/>
              </w:rPr>
            </w:pPr>
          </w:p>
        </w:tc>
        <w:tc>
          <w:tcPr>
            <w:tcW w:w="50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9"/>
                <w:szCs w:val="19"/>
                <w:color w:val="auto"/>
              </w:rPr>
            </w:pPr>
          </w:p>
        </w:tc>
      </w:tr>
      <w:tr>
        <w:trPr>
          <w:trHeight w:val="263"/>
        </w:trPr>
        <w:tc>
          <w:tcPr>
            <w:tcW w:w="140" w:type="dxa"/>
            <w:vAlign w:val="bottom"/>
          </w:tcPr>
          <w:p>
            <w:pPr>
              <w:spacing w:after="0"/>
              <w:rPr>
                <w:sz w:val="22"/>
                <w:szCs w:val="22"/>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7500" w:type="dxa"/>
            <w:vAlign w:val="bottom"/>
            <w:gridSpan w:val="10"/>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Operations for the quarters and nine months ended September 30, 2024 and 2023</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(Loss) for the quarters and nine months ended September 30, 2024 and 2023</w:t>
            </w:r>
          </w:p>
        </w:tc>
        <w:tc>
          <w:tcPr>
            <w:tcW w:w="140" w:type="dxa"/>
            <w:vAlign w:val="bottom"/>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 at September 30, 2024 and December 31, 2023</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nine months ended September 30, 2024 and 2023</w:t>
            </w:r>
          </w:p>
        </w:tc>
        <w:tc>
          <w:tcPr>
            <w:tcW w:w="2440" w:type="dxa"/>
            <w:vAlign w:val="bottom"/>
            <w:gridSpan w:val="4"/>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Equity for the quarters and nine months ended September 30, 2024 and 2023</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64"/>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1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40" w:type="dxa"/>
            <w:vAlign w:val="bottom"/>
            <w:gridSpan w:val="2"/>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0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4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2120" w:type="dxa"/>
            <w:vAlign w:val="bottom"/>
            <w:gridSpan w:val="2"/>
          </w:tcPr>
          <w:p>
            <w:pPr>
              <w:spacing w:after="0"/>
              <w:rPr>
                <w:sz w:val="22"/>
                <w:szCs w:val="22"/>
                <w:color w:val="auto"/>
              </w:rPr>
            </w:pPr>
          </w:p>
        </w:tc>
        <w:tc>
          <w:tcPr>
            <w:tcW w:w="3400" w:type="dxa"/>
            <w:vAlign w:val="bottom"/>
            <w:gridSpan w:val="5"/>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60" w:type="dxa"/>
            <w:vAlign w:val="bottom"/>
            <w:gridSpan w:val="6"/>
          </w:tcPr>
          <w:p>
            <w:pPr>
              <w:spacing w:after="0"/>
              <w:rPr>
                <w:sz w:val="22"/>
                <w:szCs w:val="22"/>
                <w:color w:val="auto"/>
              </w:rPr>
            </w:pPr>
          </w:p>
        </w:tc>
        <w:tc>
          <w:tcPr>
            <w:tcW w:w="5520" w:type="dxa"/>
            <w:vAlign w:val="bottom"/>
            <w:gridSpan w:val="7"/>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Item 1. Legal Proceedings</w:t>
            </w:r>
          </w:p>
        </w:tc>
        <w:tc>
          <w:tcPr>
            <w:tcW w:w="680" w:type="dxa"/>
            <w:vAlign w:val="bottom"/>
            <w:gridSpan w:val="2"/>
          </w:tcPr>
          <w:p>
            <w:pPr>
              <w:spacing w:after="0"/>
              <w:rPr>
                <w:sz w:val="22"/>
                <w:szCs w:val="22"/>
                <w:color w:val="auto"/>
              </w:rPr>
            </w:pPr>
          </w:p>
        </w:tc>
        <w:tc>
          <w:tcPr>
            <w:tcW w:w="7880" w:type="dxa"/>
            <w:vAlign w:val="bottom"/>
            <w:gridSpan w:val="12"/>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60" w:type="dxa"/>
            <w:vAlign w:val="bottom"/>
          </w:tcPr>
          <w:p>
            <w:pPr>
              <w:spacing w:after="0"/>
              <w:rPr>
                <w:sz w:val="22"/>
                <w:szCs w:val="22"/>
                <w:color w:val="auto"/>
              </w:rPr>
            </w:pPr>
          </w:p>
        </w:tc>
        <w:tc>
          <w:tcPr>
            <w:tcW w:w="8560" w:type="dxa"/>
            <w:vAlign w:val="bottom"/>
            <w:gridSpan w:val="14"/>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0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40" w:type="dxa"/>
            <w:vAlign w:val="bottom"/>
            <w:gridSpan w:val="20"/>
          </w:tcPr>
          <w:p>
            <w:pPr>
              <w:ind w:left="12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2"/>
                <w:szCs w:val="22"/>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6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560" w:type="dxa"/>
            <w:vAlign w:val="bottom"/>
            <w:gridSpan w:val="14"/>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60" w:type="dxa"/>
            <w:vAlign w:val="bottom"/>
            <w:gridSpan w:val="1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2"/>
                <w:szCs w:val="22"/>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Products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14,708</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8,615</w:t>
            </w:r>
          </w:p>
        </w:tc>
        <w:tc>
          <w:tcPr>
            <w:tcW w:w="10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43,573</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34,813</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Services sales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5,381</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4,849</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15,542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14,180</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20,089</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13,464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59,115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48,993</w:t>
            </w:r>
          </w:p>
        </w:tc>
        <w:tc>
          <w:tcPr>
            <w:tcW w:w="0" w:type="dxa"/>
            <w:vAlign w:val="bottom"/>
          </w:tcPr>
          <w:p>
            <w:pPr>
              <w:spacing w:after="0"/>
              <w:rPr>
                <w:sz w:val="1"/>
                <w:szCs w:val="1"/>
                <w:color w:val="auto"/>
              </w:rPr>
            </w:pP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 of sales - products</w:t>
            </w:r>
          </w:p>
        </w:tc>
        <w:tc>
          <w:tcPr>
            <w:tcW w:w="2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12,336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37,177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31,078</w:t>
            </w:r>
          </w:p>
        </w:tc>
        <w:tc>
          <w:tcPr>
            <w:tcW w:w="0" w:type="dxa"/>
            <w:vAlign w:val="bottom"/>
          </w:tcPr>
          <w:p>
            <w:pPr>
              <w:spacing w:after="0"/>
              <w:rPr>
                <w:sz w:val="1"/>
                <w:szCs w:val="1"/>
                <w:color w:val="auto"/>
              </w:rPr>
            </w:pPr>
          </w:p>
        </w:tc>
      </w:tr>
      <w:tr>
        <w:trPr>
          <w:trHeight w:val="231"/>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sales - services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3,719</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10,763</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9,835</w:t>
            </w:r>
          </w:p>
        </w:tc>
        <w:tc>
          <w:tcPr>
            <w:tcW w:w="0" w:type="dxa"/>
            <w:vAlign w:val="bottom"/>
          </w:tcPr>
          <w:p>
            <w:pPr>
              <w:spacing w:after="0"/>
              <w:rPr>
                <w:sz w:val="1"/>
                <w:szCs w:val="1"/>
                <w:color w:val="auto"/>
              </w:rPr>
            </w:pPr>
          </w:p>
        </w:tc>
      </w:tr>
      <w:tr>
        <w:trPr>
          <w:trHeight w:val="228"/>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751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2,126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1,389</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4,232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4,364</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18,195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54,298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47,325</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134</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(390)</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 (loss)</w:t>
            </w:r>
          </w:p>
        </w:tc>
        <w:tc>
          <w:tcPr>
            <w:tcW w:w="2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4,427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0" w:type="dxa"/>
            <w:vAlign w:val="bottom"/>
          </w:tcPr>
          <w:p>
            <w:pPr>
              <w:spacing w:after="0"/>
              <w:rPr>
                <w:sz w:val="1"/>
                <w:szCs w:val="1"/>
                <w:color w:val="auto"/>
              </w:rPr>
            </w:pPr>
          </w:p>
        </w:tc>
      </w:tr>
      <w:tr>
        <w:trPr>
          <w:trHeight w:val="23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 (income), net:</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(1,134)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496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1,376</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0" w:type="dxa"/>
            <w:vAlign w:val="bottom"/>
          </w:tcPr>
          <w:p>
            <w:pPr>
              <w:spacing w:after="0"/>
              <w:rPr>
                <w:sz w:val="1"/>
                <w:szCs w:val="1"/>
                <w:color w:val="auto"/>
              </w:rPr>
            </w:pPr>
          </w:p>
        </w:tc>
      </w:tr>
      <w:tr>
        <w:trPr>
          <w:trHeight w:val="221"/>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non-operating expense (income), net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122</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1,906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4,185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0" w:type="dxa"/>
            <w:vAlign w:val="bottom"/>
          </w:tcPr>
          <w:p>
            <w:pPr>
              <w:spacing w:after="0"/>
              <w:rPr>
                <w:sz w:val="1"/>
                <w:szCs w:val="1"/>
                <w:color w:val="auto"/>
              </w:rPr>
            </w:pPr>
          </w:p>
        </w:tc>
      </w:tr>
      <w:tr>
        <w:trPr>
          <w:trHeight w:val="228"/>
        </w:trPr>
        <w:tc>
          <w:tcPr>
            <w:tcW w:w="6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732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1,535</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3,453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0" w:type="dxa"/>
            <w:vAlign w:val="bottom"/>
          </w:tcPr>
          <w:p>
            <w:pPr>
              <w:spacing w:after="0"/>
              <w:rPr>
                <w:sz w:val="1"/>
                <w:szCs w:val="1"/>
                <w:color w:val="auto"/>
              </w:rPr>
            </w:pPr>
          </w:p>
        </w:tc>
      </w:tr>
      <w:tr>
        <w:trPr>
          <w:trHeight w:val="228"/>
        </w:trPr>
        <w:tc>
          <w:tcPr>
            <w:tcW w:w="6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Less: Noncontrolling interest in subsidiaries’ earnings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32"/>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shareowners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1,472</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3,292</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shareowners: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1.10</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2.47</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38"/>
        </w:trPr>
        <w:tc>
          <w:tcPr>
            <w:tcW w:w="6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1.09</w:t>
            </w: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2.45</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1,535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3,453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560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139</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772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434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2,284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3,903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2,221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3,742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780" w:type="dxa"/>
            <w:vAlign w:val="bottom"/>
          </w:tcPr>
          <w:p>
            <w:pPr>
              <w:spacing w:after="0"/>
              <w:rPr>
                <w:sz w:val="16"/>
                <w:szCs w:val="16"/>
                <w:color w:val="auto"/>
              </w:rPr>
            </w:pPr>
          </w:p>
        </w:tc>
        <w:tc>
          <w:tcPr>
            <w:tcW w:w="15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7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6,587</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10,097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10,838</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Contract assets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14,684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12,139</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Inventory, net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13,465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11,777</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current</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6,836</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7,076</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51,764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48,417</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2,306</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2,392</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32,711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31,392</w:t>
            </w:r>
          </w:p>
        </w:tc>
      </w:tr>
      <w:tr>
        <w:trPr>
          <w:trHeight w:val="229"/>
        </w:trPr>
        <w:tc>
          <w:tcPr>
            <w:tcW w:w="62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(16,825)</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(15,644)</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Fixed assets, net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15,886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15,748</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1,846</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53,759</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53,699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34,159</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35,399</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5,102</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4,576</w:t>
            </w:r>
          </w:p>
        </w:tc>
      </w:tr>
      <w:tr>
        <w:trPr>
          <w:trHeight w:val="232"/>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164,822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161,869</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borrowings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11,834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2,673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15,971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14,917</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liabilities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18,436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17,183</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3,113</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52,247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46,761</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38,823</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42,355</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1,592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2,230</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2,385</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7,071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7,511</w:t>
            </w:r>
          </w:p>
        </w:tc>
      </w:tr>
      <w:tr>
        <w:trPr>
          <w:trHeight w:val="223"/>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101,963</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100,424</w:t>
            </w:r>
          </w:p>
        </w:tc>
      </w:tr>
      <w:tr>
        <w:trPr>
          <w:trHeight w:val="221"/>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37,276</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37,055</w:t>
            </w:r>
          </w:p>
        </w:tc>
      </w:tr>
      <w:tr>
        <w:trPr>
          <w:trHeight w:val="228"/>
        </w:trPr>
        <w:tc>
          <w:tcPr>
            <w:tcW w:w="6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Treasury stock</w:t>
            </w:r>
          </w:p>
        </w:tc>
        <w:tc>
          <w:tcPr>
            <w:tcW w:w="17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(27,141)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(26,977)</w:t>
            </w:r>
          </w:p>
        </w:tc>
      </w:tr>
      <w:tr>
        <w:trPr>
          <w:trHeight w:val="231"/>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52,948</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52,154</w:t>
            </w:r>
          </w:p>
        </w:tc>
      </w:tr>
      <w:tr>
        <w:trPr>
          <w:trHeight w:val="228"/>
        </w:trPr>
        <w:tc>
          <w:tcPr>
            <w:tcW w:w="6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Unearned ESOP shares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9"/>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(1,969)</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61,114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59,798</w:t>
            </w: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1,712</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w:t>
            </w:r>
          </w:p>
        </w:tc>
      </w:tr>
      <w:tr>
        <w:trPr>
          <w:trHeight w:val="223"/>
        </w:trPr>
        <w:tc>
          <w:tcPr>
            <w:tcW w:w="6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Total equity</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62,826</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61,410</w:t>
            </w:r>
          </w:p>
        </w:tc>
      </w:tr>
      <w:tr>
        <w:trPr>
          <w:trHeight w:val="232"/>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equity</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164,822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161,869</w:t>
            </w: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3,453</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flows provided by operating activities: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3,225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 compensation cost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periodic pension and other postretirement income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(992)</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Gain on sale of business, net of transaction costs (Note 2)</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Change in:</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936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Contract assets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(2,453)</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Inventory</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(1,705)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(242)</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2,327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1,196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59</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5,598</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1,283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in other intangible assets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Receipts (payments) from settlements of derivative contracts, net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(2,061)</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2,974</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(1,700)</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commercial paper, net (Note 9)</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other short-term borrowings, net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(2,415)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(394)</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(271)</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(4,749)</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6,626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6,291</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6,731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5,497</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Less: Restricted cash, included in Other assets, current and Other assets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49</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32"/>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6,682</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00" w:type="dxa"/>
            <w:vAlign w:val="bottom"/>
          </w:tcPr>
          <w:p>
            <w:pPr>
              <w:spacing w:after="0"/>
              <w:rPr>
                <w:sz w:val="16"/>
                <w:szCs w:val="16"/>
                <w:color w:val="auto"/>
              </w:rPr>
            </w:pPr>
          </w:p>
        </w:tc>
        <w:tc>
          <w:tcPr>
            <w:tcW w:w="256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60,650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74,056</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61,410</w:t>
            </w:r>
          </w:p>
        </w:tc>
        <w:tc>
          <w:tcPr>
            <w:tcW w:w="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74,178</w:t>
            </w: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37,302</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37,055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37,939</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37,276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38,388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37,276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38,388</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(27,080)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(26,977)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(15,530)</w:t>
            </w: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matching contributions under defined contribution plans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w:t>
            </w:r>
          </w:p>
        </w:tc>
        <w:tc>
          <w:tcPr>
            <w:tcW w:w="3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Common stock repurchased</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(2,640)</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(27,141)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(27,141)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(18,170)</w:t>
            </w: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51,488</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52,154</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52,269</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common shareholders</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1,472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3,292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52,948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51,513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52,948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51,513</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(2,718)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(2,419)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749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450</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(1,969)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(1,969)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1,665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63</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Redeemable noncontrolling interest net income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Disposition of noncontrolling interest, net</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contributions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1,712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1,712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0" w:type="dxa"/>
            <w:vAlign w:val="bottom"/>
          </w:tcPr>
          <w:p>
            <w:pPr>
              <w:spacing w:after="0"/>
              <w:rPr>
                <w:sz w:val="1"/>
                <w:szCs w:val="1"/>
                <w:color w:val="auto"/>
              </w:rPr>
            </w:pPr>
          </w:p>
        </w:tc>
      </w:tr>
      <w:tr>
        <w:trPr>
          <w:trHeight w:val="232"/>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at September 30</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62,826</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71,213</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62,826</w:t>
            </w:r>
          </w:p>
        </w:tc>
        <w:tc>
          <w:tcPr>
            <w:tcW w:w="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71,213</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under employee plans, net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1,282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5,660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0" w:type="dxa"/>
            <w:vAlign w:val="bottom"/>
          </w:tcPr>
          <w:p>
            <w:pPr>
              <w:spacing w:after="0"/>
              <w:rPr>
                <w:sz w:val="1"/>
                <w:szCs w:val="1"/>
                <w:color w:val="auto"/>
              </w:rPr>
            </w:pP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653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1,699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29,770</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per share of common stock</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1.850</w:t>
            </w:r>
          </w:p>
        </w:tc>
        <w:tc>
          <w:tcPr>
            <w:tcW w:w="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at September 30, 2024 and for the quarters and nine months ended September 30, 2024 and 2023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2023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reclassified certain immaterial prior period amounts within the Condensed Consolidated Statement of Cash Flows to conform to our current period presentation.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Aerospace (Collins) and Pratt &amp; Whitney use a quarter calendar end. Throughout this Form 10-Q, when we refer to the quarters and nine months ended September 30, 2024 and 2023 with respect to Raytheon, we are referring to their September 29, 2024 and October 1, 2023 fiscal quarter ends, respectively.</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The Company has resolved several outstanding legal matters, herein referred to as “Resolution of Certain Legal Matters.”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 deferred prosecution agreement (DPA) with the Department of Justice (DOJ) and the Company settled an administrative proceeding with the Securities and Exchange Commission (SEC)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In addition, the Company resolved certain voluntarily disclosed export controls violations primarily identified in connection with the integration of Rockwell Collins and, to a lesser extent, Raytheon Company, including certain violations that were resolved pursuant to a consent agreement with the Department of State (DOS) (Trade Compliance Matters). As a result, we recorded a combined pre-tax charge of $918 million during the second quarter of 2024, which included an accrual of $269 million related to the DOJ Investigation and Contract Pricing Disputes (in addition to amounts previously accrued), an accrual of $364 million related to Thales-Raytheon Systems and Related Matters (in addition to amounts previously accrued), and an accrual of $285 million related to Trade Compliance Matters. See “Note 16: Commitments and Contingencies” for additional information.</w:t>
      </w:r>
    </w:p>
    <w:p>
      <w:pPr>
        <w:spacing w:after="0" w:line="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In 2023, Pratt &amp; Whitney determined that a rare condition in powder metal used to manufacture certain engine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requires accelerated inspection of the PW1100G-JM (PW1100) Geared Turbofan (GTF) fleet, which powers the A320neo family of aircraft (A320neo) (herein referred to as the “Powder Metal Matter”). See “Note 16: Commitments and Contingencies” for additional information.</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Russia Sanctions. </w:t>
      </w:r>
      <w:r>
        <w:rPr>
          <w:rFonts w:ascii="Times New Roman" w:cs="Times New Roman" w:eastAsia="Times New Roman" w:hAnsi="Times New Roman"/>
          <w:sz w:val="18"/>
          <w:szCs w:val="18"/>
          <w:color w:val="auto"/>
        </w:rPr>
        <w:t>In response to Russia’s invasion of Ukraine, the U.S. government and the governments of various jurisdictions in which we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imposed broad economic sanctions and export controls targeting specific industries, entities, and individuals in Russia. As a result of the Canadian government’s imposition of sanctions in February 2024, including those imposed on U.S.- and German-based Russian-owned entities from which we source titanium for use in our Canadian operations, we recorded charges of $175 million in the first quarter of 2024 within our Collins segment. These charges are primarily related to the recognition of unfavorable purchase commitments and an impairment of contract fulfillment costs that are no longer recoverable as a result of initiating alternative titanium sources. We continue to monitor developments, including additional sanctions and other measures, that could adversely affect the Company and/or our supply chain, business partners, or customers.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and Dispositions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On March 29, 2024, we completed the sale of our Cybersecurity, Intelligence and Services (CIS) business within our Raytheon segment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of approximately $1.3 billion in cash, resulting in an aggregate pre-tax gain, net of transaction and other related costs, of $0.4 billion ($0.2 billion after tax), primarily recognized in Other income (expense), net within the Condensed Consolidated Statement of Operations.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2024, we entered into a definitive agreement to sell our Goodrich Hoist &amp; Winch business within our Collins segment for approximately $0.5 billion in cash. The closing of the transaction is subject to regulatory approvals and other customary closing conditions.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20, 2023, we entered into a definitive agreement to sell the actuation and flight control business within our Collins segment to Safran S.A. for gross proceeds of approximately $1.8 billion. On November 16, 2023, the Italian government notified RTX that it had denied Safran’s proposed acquisition of the portion of the Collins business conducted by Microtecnica S.r.l. On June 4, 2024, the Italian government issued a further decree indicating its approval of the proposed transaction in response to additional commitments Safran has agreed to make in respect of the proposed transaction. The closing of the transaction is subject to other regulatory approvals and other customary closing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nine months ended September 30, 2024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Balance as of December</w:t>
            </w:r>
          </w:p>
        </w:tc>
        <w:tc>
          <w:tcPr>
            <w:tcW w:w="300" w:type="dxa"/>
            <w:vAlign w:val="bottom"/>
          </w:tcPr>
          <w:p>
            <w:pPr>
              <w:spacing w:after="0"/>
              <w:rPr>
                <w:sz w:val="13"/>
                <w:szCs w:val="13"/>
                <w:color w:val="auto"/>
              </w:rPr>
            </w:pPr>
          </w:p>
        </w:tc>
        <w:tc>
          <w:tcPr>
            <w:tcW w:w="15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220" w:type="dxa"/>
            <w:vAlign w:val="bottom"/>
          </w:tcPr>
          <w:p>
            <w:pPr>
              <w:spacing w:after="0"/>
              <w:rPr>
                <w:sz w:val="13"/>
                <w:szCs w:val="13"/>
                <w:color w:val="auto"/>
              </w:rPr>
            </w:pPr>
          </w:p>
        </w:tc>
        <w:tc>
          <w:tcPr>
            <w:tcW w:w="17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3"/>
                <w:szCs w:val="13"/>
                <w:color w:val="auto"/>
              </w:rPr>
            </w:pPr>
          </w:p>
        </w:tc>
        <w:tc>
          <w:tcPr>
            <w:tcW w:w="15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Collins Aerospace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33,135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33,192</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1,563</w:t>
            </w:r>
          </w:p>
        </w:tc>
        <w:tc>
          <w:tcPr>
            <w:tcW w:w="30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18,984</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18,987</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53,682</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22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324</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53,742</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53,699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53,759</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reduction in Acquisitions and Divestitures includes the reclassification of goodwill to held for sale assets.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312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5,810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Exclusivity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3,665</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3,460</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1,219</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29,606</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29,605</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40,488</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40,094</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Trademarks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8,682</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8,663</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49,170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(15,011)</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48,757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quarters and nine months ended September 30, 2024 and 2023 was $560 million and $1,620 million and $545 million and $1,564 million, respectively. The following is the expected amortization of intangible assets for the remainder of 2024 through 2029: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2024</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23"/>
        </w:trPr>
        <w:tc>
          <w:tcPr>
            <w:tcW w:w="2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8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2,107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1,908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1,824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3"/>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and shares in millions, except per share amounts)</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shareowners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1,472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3,292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0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1,333.2</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1,331.4</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13.0</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10.4</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1,346.2</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1,341.8</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2.47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1.09</w:t>
            </w: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2.45</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There were no stock awards excluded from the computation for the quarter ended September 30, 2024, and the number of stock awards excluded from the nine months ended September 30, 2024 was 6.4 million. For the quarter and nine months ended September 30, 2023, the number of stock awards excluded from the computation was 20.5 million and 7.0 million, respectively. All outstanding stock awards are excluded in the computation of diluted EPS in the quarter ended September 30, 2023 because their effect was antidilutive due to the loss from continuing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Changes in Contract Estimates at Completion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(loss) attributable to common shareowners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earnings (loss) per share attributable to common shareowners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tax rate on our EAC adjustments.</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second quarter of 2024, Raytheon initiated the termination of a fixed price development contract with a foreign customer, herein referred to as “Raytheon Contract Termination.” As a result of this action, Raytheon recognized a $575 million charge related to the estimated impact of this termination. This charge included the write-off of remaining contract assets and our best estimate of the expected settlement in conjunction with this termination. Subsequent to September 30, 2024, the contract termination agreement was executed.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3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10,414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10,097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60" w:type="dxa"/>
            <w:vAlign w:val="bottom"/>
          </w:tcPr>
          <w:p>
            <w:pPr>
              <w:spacing w:after="0"/>
              <w:rPr>
                <w:sz w:val="16"/>
                <w:szCs w:val="16"/>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7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14,684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(18,436)</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assets increased $2.5 billion during the nine months ended September 30, 2024 primarily due to sales in excess of billings on certain contracts at Pratt &amp; Whitney and Raytheon. Contract liabilities increased $1.3 billion during the nine months ended September 30, 2024 primarily due to billings in excess of sales on certain contracts at Raytheon. We recognized revenue of $1.3 billion and $5.7 billion during the quarter and nine months ended September 30, 2024, respectively, related to contract liabilities outstanding as of January 1, 2024 and recognized revenue of $0.9 billion and $4.4 billion during the quarter and nine months ended September 30, 2023, respectively, related to contract liabilities outstanding as of January 1, 2023.</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we received a critical license required to restart work under certain contracts with a Middle East customer. In order to perform under these contracts, significant actions are required, including obtaining additional regulatory approvals, and therefore we have not recognized revenue on these contracts to date. As of September 30, 2024, our Contract liabilities include approximately $430 million of advance payments received in connection with these contracts, which may become refundable to the customer if the contracts are ultimately terminated.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net of an allowance for expected credit losses of $177 million and $197 million as of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Inventory,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60" w:type="dxa"/>
            <w:vAlign w:val="bottom"/>
          </w:tcPr>
          <w:p>
            <w:pPr>
              <w:spacing w:after="0"/>
              <w:rPr>
                <w:sz w:val="16"/>
                <w:szCs w:val="16"/>
                <w:color w:val="auto"/>
              </w:rPr>
            </w:pP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6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4,467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360" w:type="dxa"/>
            <w:vAlign w:val="bottom"/>
          </w:tcPr>
          <w:p>
            <w:pPr>
              <w:spacing w:after="0"/>
              <w:rPr>
                <w:sz w:val="19"/>
                <w:szCs w:val="19"/>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4,773</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29"/>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4,225</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13,465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Borrowings and Lines of Credit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a revolving credit agreement with various banks permitting aggregate borrowings of up to $5.0 billion, which expires in August 2028. As of September 30, 2024, there were no borrowings outstanding under this agreement.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September 30, 2024, our maximum commercial paper borrowing limit was $5.0 billion as the commercial paper is backed by our $5.0 billion revolving credit agreement. At September 30, 2024 and December 31, 2023, we had no commercial paper borrowings outstanding. During the nine months ended September 30, 2024, we had no new borrowings or repayments of commercial paper with maturities greater than 90 days. During the nine months ended September 30, 2023, we had no new borrowings and had $200 million in repayments of commercial paper with maturities greater than 90 days.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There were no issuances of long-term debt during the nine months ended September 30, 2024. We had the following issuances of long-term debt during the nine months ended September 30, 2023:</w:t>
      </w:r>
    </w:p>
    <w:tbl>
      <w:tblPr>
        <w:tblLayout w:type="fixed"/>
        <w:tblInd w:w="1140" w:type="dxa"/>
        <w:tblCellMar>
          <w:top w:w="0" w:type="dxa"/>
          <w:left w:w="0" w:type="dxa"/>
          <w:bottom w:w="0" w:type="dxa"/>
          <w:right w:w="0" w:type="dxa"/>
        </w:tblCellMar>
      </w:tblPr>
      <w:tr>
        <w:trPr>
          <w:trHeight w:val="147"/>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444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3320" w:type="dxa"/>
            <w:vAlign w:val="bottom"/>
          </w:tcPr>
          <w:p>
            <w:pPr>
              <w:jc w:val="center"/>
              <w:ind w:left="1288"/>
              <w:spacing w:after="0" w:line="147" w:lineRule="exact"/>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0"/>
        </w:trPr>
        <w:tc>
          <w:tcPr>
            <w:tcW w:w="2100" w:type="dxa"/>
            <w:vAlign w:val="bottom"/>
            <w:vMerge w:val="continue"/>
          </w:tcPr>
          <w:p>
            <w:pPr>
              <w:spacing w:after="0"/>
              <w:rPr>
                <w:sz w:val="16"/>
                <w:szCs w:val="16"/>
                <w:color w:val="auto"/>
              </w:rPr>
            </w:pPr>
          </w:p>
        </w:tc>
        <w:tc>
          <w:tcPr>
            <w:tcW w:w="4440" w:type="dxa"/>
            <w:vAlign w:val="bottom"/>
            <w:vMerge w:val="continue"/>
          </w:tcPr>
          <w:p>
            <w:pPr>
              <w:spacing w:after="0"/>
              <w:rPr>
                <w:sz w:val="16"/>
                <w:szCs w:val="16"/>
                <w:color w:val="auto"/>
              </w:rPr>
            </w:pPr>
          </w:p>
        </w:tc>
        <w:tc>
          <w:tcPr>
            <w:tcW w:w="332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27, 2023</w:t>
            </w:r>
          </w:p>
        </w:tc>
        <w:tc>
          <w:tcPr>
            <w:tcW w:w="48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5.000% notes due 2026</w:t>
            </w:r>
          </w:p>
        </w:tc>
        <w:tc>
          <w:tcPr>
            <w:tcW w:w="920" w:type="dxa"/>
            <w:vAlign w:val="bottom"/>
            <w:tcBorders>
              <w:top w:val="single" w:sz="8" w:color="auto"/>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5.150% notes due 2033</w:t>
            </w:r>
          </w:p>
        </w:tc>
        <w:tc>
          <w:tcPr>
            <w:tcW w:w="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6"/>
        </w:trPr>
        <w:tc>
          <w:tcPr>
            <w:tcW w:w="2240" w:type="dxa"/>
            <w:vAlign w:val="bottom"/>
            <w:tcBorders>
              <w:bottom w:val="single" w:sz="8" w:color="auto"/>
            </w:tcBorders>
            <w:shd w:val="clear" w:color="auto" w:fill="CCEEFF"/>
          </w:tcPr>
          <w:p>
            <w:pPr>
              <w:spacing w:after="0"/>
              <w:rPr>
                <w:sz w:val="20"/>
                <w:szCs w:val="20"/>
                <w:color w:val="auto"/>
              </w:rPr>
            </w:pPr>
          </w:p>
        </w:tc>
        <w:tc>
          <w:tcPr>
            <w:tcW w:w="4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5.375% notes due 2053</w:t>
            </w:r>
          </w:p>
        </w:tc>
        <w:tc>
          <w:tcPr>
            <w:tcW w:w="9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392"/>
        </w:trPr>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 made the following repayments of long-term debt during the nine months ended September 30, 2024 and 2023:</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24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486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920" w:type="dxa"/>
            <w:vAlign w:val="bottom"/>
          </w:tcPr>
          <w:p>
            <w:pPr>
              <w:spacing w:after="0"/>
              <w:rPr>
                <w:sz w:val="14"/>
                <w:szCs w:val="14"/>
                <w:color w:val="auto"/>
              </w:rPr>
            </w:pPr>
          </w:p>
        </w:tc>
        <w:tc>
          <w:tcPr>
            <w:tcW w:w="322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240" w:type="dxa"/>
            <w:vAlign w:val="bottom"/>
            <w:tcBorders>
              <w:bottom w:val="single" w:sz="8" w:color="auto"/>
            </w:tcBorders>
            <w:vMerge w:val="continue"/>
          </w:tcPr>
          <w:p>
            <w:pPr>
              <w:spacing w:after="0"/>
              <w:rPr>
                <w:sz w:val="16"/>
                <w:szCs w:val="16"/>
                <w:color w:val="auto"/>
              </w:rPr>
            </w:pPr>
          </w:p>
        </w:tc>
        <w:tc>
          <w:tcPr>
            <w:tcW w:w="48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17, 2024</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4, 2024</w:t>
            </w: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3.200% notes due 2024</w:t>
            </w:r>
          </w:p>
        </w:tc>
        <w:tc>
          <w:tcPr>
            <w:tcW w:w="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0" w:type="dxa"/>
            <w:vAlign w:val="bottom"/>
          </w:tcPr>
          <w:p>
            <w:pPr>
              <w:spacing w:after="0"/>
              <w:rPr>
                <w:sz w:val="1"/>
                <w:szCs w:val="1"/>
                <w:color w:val="auto"/>
              </w:rPr>
            </w:pPr>
          </w:p>
        </w:tc>
      </w:tr>
      <w:tr>
        <w:trPr>
          <w:trHeight w:val="23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16, 2023</w:t>
            </w:r>
          </w:p>
        </w:tc>
        <w:tc>
          <w:tcPr>
            <w:tcW w:w="4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3.650% notes due 2023</w:t>
            </w:r>
          </w:p>
        </w:tc>
        <w:tc>
          <w:tcPr>
            <w:tcW w:w="9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405"/>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3.200% notes due 2024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3.150% notes due 2024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1,250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1,500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5.000% notes due 2026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719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2026</w:t>
            </w: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1,250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1,100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1,300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382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1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185</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2029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414</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6.000% notes due 2031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2.375% notes due 2032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5.150% notes due 2033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6.100% notes due 2034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575</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553</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3.030% notes due 2052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5.375% notes due 2053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6.400% notes due 2054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1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42,002</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43,697</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market value adjustments, (discounts)/premiums, and debt issuance costs)</w:t>
            </w:r>
          </w:p>
        </w:tc>
        <w:tc>
          <w:tcPr>
            <w:tcW w:w="1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41,936</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43,638</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3,113</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30"/>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38,823</w:t>
            </w:r>
          </w:p>
        </w:tc>
        <w:tc>
          <w:tcPr>
            <w:tcW w:w="6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42,355</w:t>
            </w:r>
          </w:p>
        </w:tc>
      </w:tr>
    </w:tbl>
    <w:p>
      <w:pPr>
        <w:spacing w:after="0" w:line="16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of our long-term debt as of September 30, 2024 is approximately 12 years.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and postretirement benefit (PRB)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defined contribution plans.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plans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defined benefit plans</w:t>
            </w:r>
          </w:p>
        </w:tc>
        <w:tc>
          <w:tcPr>
            <w:tcW w:w="180" w:type="dxa"/>
            <w:vAlign w:val="bottom"/>
          </w:tcPr>
          <w:p>
            <w:pPr>
              <w:spacing w:after="0"/>
              <w:rPr>
                <w:sz w:val="19"/>
                <w:szCs w:val="19"/>
                <w:color w:val="auto"/>
              </w:rPr>
            </w:pPr>
          </w:p>
        </w:tc>
        <w:tc>
          <w:tcPr>
            <w:tcW w:w="1300" w:type="dxa"/>
            <w:vAlign w:val="bottom"/>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PRB plans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Defined contribution plans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308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1,042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40" w:hanging="332"/>
        <w:spacing w:after="0" w:line="271" w:lineRule="auto"/>
        <w:tabs>
          <w:tab w:leader="none" w:pos="3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domestic defined contribution plan uses an Employee Stock Ownership Plan (ESOP) for certain employer matching contributions, which historically held stock that was purchased using external borrowings. During the third quarter of 2024, the remaining unallocated common shares of the ESOP trust were depleted, and we began funding the ESOP on a non-leveraged basis utilizing treasury shares.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in the Condensed Consolidated Balance Sheet consist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0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assets (included in 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pension and PRB liabilities (included in Accrued employee compensation)</w:t>
            </w:r>
          </w:p>
        </w:tc>
        <w:tc>
          <w:tcPr>
            <w:tcW w:w="80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270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7"/>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8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2,230</w:t>
            </w: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41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amounts recognized in Future pension and postretirement benefit obligations consist of:</w:t>
            </w: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00" w:type="dxa"/>
            <w:vAlign w:val="bottom"/>
          </w:tcPr>
          <w:p>
            <w:pPr>
              <w:spacing w:after="0"/>
              <w:rPr>
                <w:sz w:val="24"/>
                <w:szCs w:val="24"/>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24"/>
                <w:szCs w:val="24"/>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pension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PRB liabilities</w:t>
            </w:r>
          </w:p>
        </w:tc>
        <w:tc>
          <w:tcPr>
            <w:tcW w:w="80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553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57"/>
        </w:trPr>
        <w:tc>
          <w:tcPr>
            <w:tcW w:w="7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pension and PRB related items</w:t>
            </w:r>
          </w:p>
        </w:tc>
        <w:tc>
          <w:tcPr>
            <w:tcW w:w="8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(income) expense for our defined pension and PRB plans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PRB</w:t>
            </w:r>
          </w:p>
        </w:tc>
        <w:tc>
          <w:tcPr>
            <w:tcW w:w="1020" w:type="dxa"/>
            <w:vAlign w:val="bottom"/>
          </w:tcPr>
          <w:p>
            <w:pPr>
              <w:spacing w:after="0"/>
              <w:rPr>
                <w:sz w:val="13"/>
                <w:szCs w:val="13"/>
                <w:color w:val="auto"/>
              </w:rPr>
            </w:pPr>
          </w:p>
        </w:tc>
      </w:tr>
      <w:tr>
        <w:trPr>
          <w:trHeight w:val="194"/>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80" w:type="dxa"/>
            <w:vAlign w:val="bottom"/>
          </w:tcPr>
          <w:p>
            <w:pPr>
              <w:spacing w:after="0"/>
              <w:rPr>
                <w:sz w:val="16"/>
                <w:szCs w:val="16"/>
                <w:color w:val="auto"/>
              </w:rPr>
            </w:pPr>
          </w:p>
        </w:tc>
        <w:tc>
          <w:tcPr>
            <w:tcW w:w="250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4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47</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597</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11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actuarial net (gain) loss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 loss</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(income) expense</w:t>
            </w:r>
          </w:p>
        </w:tc>
        <w:tc>
          <w:tcPr>
            <w:tcW w:w="4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85"/>
        </w:trPr>
        <w:tc>
          <w:tcPr>
            <w:tcW w:w="542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PRB</w:t>
            </w:r>
          </w:p>
        </w:tc>
        <w:tc>
          <w:tcPr>
            <w:tcW w:w="1020" w:type="dxa"/>
            <w:vAlign w:val="bottom"/>
          </w:tcPr>
          <w:p>
            <w:pPr>
              <w:spacing w:after="0"/>
              <w:rPr>
                <w:sz w:val="13"/>
                <w:szCs w:val="13"/>
                <w:color w:val="auto"/>
              </w:rPr>
            </w:pPr>
          </w:p>
        </w:tc>
      </w:tr>
      <w:tr>
        <w:trPr>
          <w:trHeight w:val="194"/>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256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141</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1,789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 actuarial net (gain) loss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 loss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(income) expense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spacing w:after="0"/>
              <w:rPr>
                <w:sz w:val="16"/>
                <w:szCs w:val="16"/>
                <w:color w:val="auto"/>
              </w:rPr>
            </w:pP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rates for the quarter and nine months ended September 30, 2024 were 19.5% and 17.5%, respectively, as compared to 29.4% and 9.2% for the quarter and nine months ended September 30, 2023,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the effective tax rate for the quarter ended September 30, 2024, as compared to the quarter ended September 30, 2023, is driven in part by the $2.9 billion Powder Metal Matter charge and the associated deferred tax benefit of $663 million recorded in the quarter ended September 30, 2023. Additionally, in the quarter ended September 30, 2024, the Company recorded a $138 million deferred tax benefit associated with legal entity reorganizations and a $56 million tax benefit in response to favorable U.S. Tax Court rulings issued to unrelated taxpayers, but with facts similar to ours. The nature of the tax item in the rulings is subject to a tax matters agreement entered into with Carrier and Otis in connection with the separation of those businesses in 2020, and therefore we recorded a pre-tax charge of $32 million for their respective indemnified amounts.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quarter ended September 30, 2024 also includes a $212 million tax charge related to U.S. federal income taxes now owed by the Company resulting from a favorable non-U.S. tax ruling Otis received in the quarter impacting pre-separation tax years. This tax ruling results in a reduction of U.S. foreign tax credits previously claimed by the Company in pre-separation tax years for which Otis must indemnify us. The Company recorded a pre-tax benefit of $212 million representing a portion of the indemnity owed by Otis pursuant to the tax matters agreement and will record the remaining amount owed upon receipt. Additionally, the Company is indemnified for associated interest of $31 million as of September 30,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items described above, the effective tax rate for the nine months ended September 30, 2024 also includes a $275 million tax benefit recognized in the first quarter of 2024 resulting from the conclusion of the examination phases of the U.S. federal income tax audits for RTX 2017 and 2018 tax years and Rockwell Collins 2016, 2017, and 2018 tax years, a $143 million tax cost associated with the sale of the CIS business, and the effective tax rate impact of the $918 million charge associated with the Resolution of Certain Legal Matters accrued during the second quarter of 2024 where no tax benefit has been recorded.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filed protests with respect to certain Internal Revenue Service (IRS) proposed adjustments for RTX (formerly United Technologies Corporation) tax years 2017 and 2018, pre-acquisition Rockwell Collins tax years 2016, 2017, and 2018, and pre-merger Raytheon Company tax years 2017, 2018, and 2019 as well as certain refund claims of Raytheon Company for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years 2014, 2015, and 2016 filed prior to the Raytheon merger. The Company will dispute these adjustments at the Appeals Division of the IRS. The timing of any resolution at the Appeals Division is uncertain. Separately, the Company expects the IRS’ examination of RTX’s tax year 2020 to commence in the fourth quarter of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over the next 12 months the amount of unrecognized tax benefits may change within a range of a net reduction of $100 million to a net increase of $75 million as a result of the revaluation of uncertain tax positions arising from developments in examinations, in appeals, or in the courts, or the closure of tax statutes.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Financial Instruments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 value of the aggregate notional principal of our outstanding foreign currency hedges was $17.0 billion and $15.8 billion at September 30, 2024 and December 31, 2023, respectively. At September 30, 2024, all derivative contracts accounted for as cash flow hedges will mature by May 2036.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00" w:type="dxa"/>
            <w:vAlign w:val="bottom"/>
          </w:tcPr>
          <w:p>
            <w:pPr>
              <w:spacing w:after="0"/>
              <w:rPr>
                <w:sz w:val="16"/>
                <w:szCs w:val="16"/>
                <w:color w:val="auto"/>
              </w:rPr>
            </w:pPr>
          </w:p>
        </w:tc>
        <w:tc>
          <w:tcPr>
            <w:tcW w:w="15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290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120</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6"/>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loss and on the Condensed Consolidated Statement of Operations in the quarters and nine months ended September 30, 2024 and 2023 are presented in “Note 17: Equity.” The amounts of gain or loss are attributable to foreign exchange contract activity and are primarily recorded as a component of Products sales when reclassified from Accumulated other comprehensive loss.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our €500 million principal value of euro-denominated long-term debt qualifies as a net investment hedge against our investments in European businesses, which is deemed to be effective.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is included within Other income (expense), net, on the Condensed Consolidated Statement of Operations and is not 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746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682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402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402</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129</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745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682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derivative assets and liabilities include foreign exchange contracts that are measured at fair value using internal models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observable market inputs such as forward rates, interest rates, our own credit risk, and our counterparties’ credit risks.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252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00" w:type="dxa"/>
            <w:vAlign w:val="bottom"/>
          </w:tcPr>
          <w:p>
            <w:pPr>
              <w:jc w:val="right"/>
              <w:ind w:right="321"/>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center"/>
              <w:ind w:right="23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21"/>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right"/>
              <w:ind w:right="43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41,846</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40,562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43,546</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not carried at fair value in our Condensed Consolidated Balance Sheet: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vMerge w:val="continue"/>
          </w:tcPr>
          <w:p>
            <w:pPr>
              <w:spacing w:after="0"/>
              <w:rPr>
                <w:sz w:val="15"/>
                <w:szCs w:val="15"/>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104</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104</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40,562</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37,274</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3,288</w:t>
            </w:r>
          </w:p>
        </w:tc>
        <w:tc>
          <w:tcPr>
            <w:tcW w:w="0" w:type="dxa"/>
            <w:vAlign w:val="bottom"/>
          </w:tcPr>
          <w:p>
            <w:pPr>
              <w:spacing w:after="0"/>
              <w:rPr>
                <w:sz w:val="1"/>
                <w:szCs w:val="1"/>
                <w:color w:val="auto"/>
              </w:rPr>
            </w:pPr>
          </w:p>
        </w:tc>
      </w:tr>
      <w:tr>
        <w:trPr>
          <w:trHeight w:val="395"/>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41,598</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37,559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Short-term borrowings approximates the carrying value due to their short-term nature and is classified as level 3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Variable Interest Entities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IAE and IAE LLC, after considering its sub-collaborator share, is 57% and 51%, respectively. The carrying amounts and classification of assets and liabilities for variable interest entities in our Condensed Consolidated Balance Sheet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00" w:type="dxa"/>
            <w:vAlign w:val="bottom"/>
          </w:tcPr>
          <w:p>
            <w:pPr>
              <w:spacing w:after="0"/>
              <w:rPr>
                <w:sz w:val="16"/>
                <w:szCs w:val="16"/>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7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10,575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1,066</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4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11,641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13,179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143</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13,322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Guarantees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These instruments expire on various dates through 2029. Additional guarantees of project performance for which there is no stated value also remain outstanding. A portion of our third party guarantees are subject to indemnification for our benefit for any liabilities that could arise. As of September 30, 2024 and December 31, 2023, the following financial guarantees were outstanding: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4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4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5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103</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were $133 million and $135 million at September 30, 2024 and December 31, 2023,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were $99 million and $97 million at September 30, 2024 and December 31, 2023, respectively. These primarily relate to environmental liabilities, which are included in our total environmental liabilities as further discussed in “Note 16: Commitments and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and product performance guarantees for the nine months ended September 30, 2024 and 2023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195</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1,042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and service guarantees incurred in connection with long term production contracts and certain aftermarket arrangements are generally accounted for within the contract estimates at completion.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both September 30, 2024 and December 31, 2023, we had $0.8 billion reserved for environmental remediation.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commitments and other contractual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$14.1 billion and $14.6 billion as of September 30, 2024 and December 31, 2023,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our customers. As a result, the fair value of these financing commitments is expected to equal the amounts funded.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are capitalized as collaboration intangible assets as payments are made.</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$3.1 billion as of September 30, 2024.</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Offset / Industrial Participation Obligations. </w:t>
      </w:r>
      <w:r>
        <w:rPr>
          <w:rFonts w:ascii="Times New Roman" w:cs="Times New Roman" w:eastAsia="Times New Roman" w:hAnsi="Times New Roman"/>
          <w:sz w:val="18"/>
          <w:szCs w:val="18"/>
          <w:color w:val="auto"/>
        </w:rPr>
        <w:t>We have entered into industrial cooperation agreements, sometimes in the form of either offset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ICIP agreements, as a condition to obtaining orders for our products and services from certain customers in foreign countries. At September 30, 2024, the aggregate amount of these agreements, both agreed to and anticipated to be agreed to, had an outstanding notional value of approximately $12.5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examinations, information gathering requests, inquiries, investigations, and threatened legal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consent agreements, guilty plea agreements, and/or imposition of an independent compliance monitor. U.S. government investigations often take years to complete. 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International Traffic in Arms Regulations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 Treatment of Carrier and Otis Dispositions. </w:t>
      </w:r>
      <w:r>
        <w:rPr>
          <w:rFonts w:ascii="Times New Roman" w:cs="Times New Roman" w:eastAsia="Times New Roman" w:hAnsi="Times New Roman"/>
          <w:sz w:val="18"/>
          <w:szCs w:val="18"/>
          <w:color w:val="auto"/>
        </w:rPr>
        <w:t>Management has determined that the distributions of Carrier and Otis on April 3, 2020,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In 2023, Pratt &amp; Whitney determined that a rare condition in powder metal used to manufacture certain engine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requires accelerated inspection of the PW1100 GTF fleet, which powers the A320neo. This determination was made pursuant to Pratt &amp; Whitney’s safety management system.</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currently resulting in, and are expected to continue to result in, significant incremental shop visits through the end of 2026. As a result, Pratt &amp; Whitney expects aircraft on ground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levels for the PW1100 powered A320neo fleet to remain elevated through 2026.</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charge recorded in the third quarter of 2023 resulted in a net increase in Other accrued liabilities of $2.8 billion, which principally related to our 51% share of an accrual for expected customer compensation. At September 30, 2024 and December 31, 2023, we had Other accrued liabilities of $2.2 billion and $2.8 billion, respectively, primarily related to expected compensation to customers. The decrease in the accrual during the nine months ended September 30, 2024 was due to customer compensation.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The Company and its subsidiaries are subject to various contract pricing disputes, government investigations, and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jurisdictions, updates to certain of which are set forth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 &amp; Whitney to recover alleged overpayments of approximately $1.7 billion plus interest ($1.2 billion at September 30, 2024).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 On September 30, 2024, a DCMA DACO issued a second claim against Pratt &amp; Whitney that similarly alleges that Pratt &amp; Whitney was noncompliant with CAS due to its method of allocating independent research and development costs to government contracts from April 1,</w:t>
      </w:r>
    </w:p>
    <w:p>
      <w:pPr>
        <w:spacing w:after="0" w:line="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2019 to December 31, 2023. The second claim demands payment of $1.1 billion plus interest ($276 million at September 30, 2024). Pratt &amp; Whitney believes the second claim is without merit and will file an appeal to the ASBCA.</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alleged overpayments of approximately $177 million plus interest ($176 million at September 30, 2024).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($148 million at September 30, 2024). Pratt &amp; Whitney appealed this second claim to the ASBCA in January 2019. In December 2023, a DCMA DACO issued a third claim against Pratt</w:t>
      </w:r>
    </w:p>
    <w:p>
      <w:pPr>
        <w:spacing w:after="0" w:line="12" w:lineRule="exact"/>
        <w:rPr>
          <w:sz w:val="20"/>
          <w:szCs w:val="20"/>
          <w:color w:val="auto"/>
        </w:rPr>
      </w:pPr>
    </w:p>
    <w:p>
      <w:pPr>
        <w:jc w:val="both"/>
        <w:ind w:firstLine="8"/>
        <w:spacing w:after="0" w:line="255" w:lineRule="auto"/>
        <w:tabs>
          <w:tab w:leader="none" w:pos="2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($73 million at September 30,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2024).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and Related Matters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in 2019, Raytheon Company received a subpoena from the SEC seeking information in connection with an investigation into whether there were improper payments made by Raytheon Company, our joint venture known as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investigation. Following the government’s and the Company’s own internal investigations, the Company engaged in resolution discussions with the DOJ and the SEC, and during the quarter ended June 30, 2024, the Company reached agreements in principle with the DOJ and the SEC as to the principal elements of such resolutions, as previously disclosed on July 25, 2024. On October 15, 2024, Raytheon Company entered into a deferred prosecution agreement (DPA) (DPA-1) with the DOJ and on October 16, 2024, the Company settled an administrative proceeding with the SEC to resolve these matters. Pursuant to DPA-1, the DOJ will defer, for a period of three years, criminal prosecution of Raytheon Company related to Raytheon Company’s conspiracy to violate the anti-bribery provisions of the FCPA and conspiracy to violate the AECA by failing to make related disclosures of certain payments that qualified as fees, commissions and/or political contributions under Part 130 of the ITAR. If Raytheon Company and the Company fully comply with all of their respective obligations under DPA-1 during its three-year term, the DOJ will move for dismissal with prejudice of the deferred charges against Raytheon Company. DPA-1 provides for a criminal monetary penalty and forfeiture of $282 million. In addition, the SEC’s administrative order issued in connection with the administrative proceeding settlement alleged that Raytheon Company violated the anti-bribery, books and records, and internal controls provisions of the FCPA. The order provides for a $102 million payment to the SEC that includes disgorgement, prejudgment interest on disgorgement, and a civil penalty. Under DPA-1, the SEC’s administrative order, and DPA-2 discussed in “DOJ Investigation and Contract Pricing Disputes” below, Raytheon Company and the Company are required to retain an independent compliance monitor(s) satisfactory to the DOJ and the SEC and are required to undertake certain cooperation and disclosure obligations for a three-year term. The compliance monitor(s) will oversee Raytheon Company’s and the Company’s compliance with their respective obligations under DPA-1, the SEC’s administrative order, and DPA-2 discussed in “DOJ Investigation and Contract Pricing Disputes” below. The Company has accrued $384 million in the aggregate for DPA-1 and the SEC’s administrative order as of September 30, 2024, which will be paid during the fourth quarter of 2024. The Company does not believe that these matters will have a material adverse effect on our results of operations, financial condition, or liquidity.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Investigation and Contract Pricing Disputes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 since 2009. The investigation involved multi-year contracts subject to governmental regulation, including defective pricing claims for certain Raytheon Company contracts entered into between 2011 and 2013. As part of the same investigation, on March 24, 2021, the Company received a second criminal subpoena from the DOJ seeking documents relating to a certain contract entered into in 2017 by Raytheon Company. As previously disclosed on July 25, 2024, following the government’s and the Company’s own internal investigations, the Company engaged in resolution discussions with the DOJ, and during the quarter ended June 30, 2024, the Company reached an agreement in principle with the DOJ as to the principal elements of such resolution. In addition, the Company cooperated with the DOJ with respect to a related civil defective pricing investigation under the False Claims Act (FCA). On October 16, 2024, Raytheon Company entered into a DPA (DPA-2) and an FCA settlement agreement (FCA Settlement Agreement) with the DOJ to resolve these matters. Pursuant to DPA-2, the DOJ will defer, for a period of three years, criminal prosecution of Raytheon Company related to two counts of major fraud against the United States by Raytheon Company involving two legacy contracts. If Raytheon Company and the Company fully comply with all of their respective obligations in DPA-2 during its three-year term, the DOJ will move for dismissal with prejudice of the deferred charges against Raytheon Company. DPA-2 provides for a criminal penalty in the amount of $147 million, plus restitution, and the FCA Settlement Agreement provides for an FCA settlement payment in the amount of $428 million plus interest ($4 million at September 30, 2024), which includes restitution that will satisfy the criminal restitution obligation when paid. Under DPA-2 as well as DPA-1 and the SEC administrative order discussed in “Thales-Raytheon Systems and Related Matters” above, Raytheon Company and the Company are required to retain an independent compliance monitor(s) satisfactory to the DOJ and the SEC and are required to undertake certain cooperation and disclosure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obligations for a three-year term. The compliance monitor(s) will oversee Raytheon Company’s and the Company’s compliance with their respective obligations under DPA-2 as well as DPA-1 and the SEC administrative order discussed in “Thales-Raytheon Systems and Related Matters” above. The Company has accrued $579 million in the aggregate for DPA-2 and the FCA Settlement Agreement as of September 30, 2024, which will be paid during the fourth quarter of 2024. The Company does not believe that these matters, will have a material adverse effect on our results of operations, financial condition, or liquidity.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Compliance Matters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identify, investigate, remediate, and voluntarily disclose violations or potential violations of the ITAR and EAR to the relevant regulators. In May 2024, the U.S. Department of State’s (DOS)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On August 29, 2024, the Company entered into a Consent Agreement (CA) with the DOS to resolve these matters. The CA settles certain AECA and ITAR compliance matters with the DTCC and the Directorate of Defense Trade Controls. The CA has a three-year term and provides for: (i) a civil penalty of $200 million, $100 million of which is suspended on the condition that such amount is applied to DTCC-approved remedial compliance measures; (ii) the appointment of an external Special Compliance Officer to oversee compliance with the CA, the AECA, and the ITAR; (iii) an external audit of the Company’s AECA and ITAR compliance program; and (iv) implementation of additional remedial compliance measures related to AECA and ITAR compliance. The $100 million portion of the settlement that is not subject to suspension, which was accrued by the Company in the second quarter ended June 30, 2024, will be paid in installments, with $34 million paid in September 2024, $33 million paid by August 29, 2025, and $33 million paid by August 29, 2026. As previously disclosed, the Company has determined that there is a probable risk of liability for potential penalties related to other export compliance matters which have been voluntarily disclosed to the cognizant regulators, but which are not subject to the CA. We have accrued $251 million in the aggregate as of September 30, 2024 for these matters and the matters being resolved pursuant to the CA. We are currently unable to estimate the timing or outcome of the other voluntarily disclosed export compliance matters that are not subject to the CA. However, the Company does not believe these matters will have a material adverse effect on our results of operations, financial condition, or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UTC Equity Conversion Litigation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on December 6, 2022, a shareholder derivative lawsuit was filed in the Delaware Court of Chancery against the Company and certain current and former members of its Board of Directors, alleging that defendants breached their fiduciary duties in May 2020 by amending the method by which United Technologies Corporation (UTC) equity awards were converted to certain Company equity awards following the separation of UTC into three independent, publicly traded companies. On July 23, 2024, in response to a motion to dismiss filed by the Company, the Court dismissed the shareholder derivative lawsuit in its entirety with prejudice. On August 22, 2024, Plaintiff filed an appeal to the Delaware Supreme Court. We continue to believe that the lawsuit lacks merit. We also continue to believe that this matter will not have a material adverse effect on our results of operations, financial condition, or liquidity.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Civil Litigation Related to Employee Hiring Practices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Pratt &amp; Whitney is one of multiple defendants in a putative class action lawsuit pending in the United States District Court for the District of Connecticut alleging that Pratt &amp; Whitney and the other defendants agreed to restrict the hiring and recruiting of certain engineers and skilled laborers in a manner that violated federal antitrust laws. Plaintiffs seek to represent different purported classes of engineers and skilled laborers employed by Pratt &amp; Whitney and other supplier-defendants since 2011, and are seeking to recover treble damages in an undetermined amount, plus attorneys’ fees and costs of suit. On August 30, 2024, Pratt &amp; Whitney filed a notice with the court that the parties have reached agreement in principle to settle Plaintiffs’ claims on a class-wide basis for an immaterial amount.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a shareholder derivative lawsuit was filed in the Delaware Court of Chancery against the Company and certain current and former officers and directors of the Company alleging that defendants breached their fiduciary duties by failing to implement and enforce a reasonable oversight mechanism for compliance with antitrust laws. Based on the information available to date, we do not believe that this this matter will have a material adverse effect on our results of operations, financial condition, or liquidity.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Powder Metal Disclosure Litigation and SEC Investigation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omitting material facts relating to Pratt &amp; Whitney’s GTF engine fleet, including the impact of the powder metal issue on the fleet, in various regulatory filings. The lawsuits were consolidated and remain pending. Second, multiple shareholder derivative lawsuits were filed against current and former officers and directors of the Company, all of which have now been consolidated into a single action which is pending in the United States District Court for the District of Delaware. The operative complaint in the consolidated action alleges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2023, January 30, 2024, and May 21, 2024, the Company received subpoenas from the SEC seeking engineering, operational, organizational, accounting, and financial documents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Company is cooperating with the SEC and is responding to the subpoenas. At this time, we are unable to predict the timing or outcome of this SEC investigation.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 appropriate, we have recorded loss contingency accruals for the above-referenced matters. Unless noted above, loss contingency accruals are immaterial individually or in the aggregate.</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15: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Equity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Common Stock - Share Repurchases. </w:t>
      </w:r>
      <w:r>
        <w:rPr>
          <w:rFonts w:ascii="Times New Roman" w:cs="Times New Roman" w:eastAsia="Times New Roman" w:hAnsi="Times New Roman"/>
          <w:sz w:val="18"/>
          <w:szCs w:val="18"/>
          <w:color w:val="auto"/>
        </w:rPr>
        <w:t>On October 24, 2023, we entered into accelerated share repurchase (ASR) agreements with certain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counterparties to repurchase shares of our common stock for an aggregate purchase price of $10 billion. The ASR agreements provided for the repurchase of our common stock based on the average of the daily volume-weighted average prices of our common stock during the term of such ASR agreement, less a discount and subject to adjustments pursuant to the terms and conditions of the ASR agreement. Pursuant to the ASR agreements, we made aggregate payments of $10 billion on October 26, 2023, and received initial deliveries of approximately 108.4 million shares of our common stock at a price of $78.38 per share, which, on that date, represented approximately 85% of the shares expected to be repurchased. The aggregate purchase price was recorded as a reduction to Shareowners’ equity, consisting of an $8.5 billion increase in Treasury stock and a $1.5 billion decrease in Common stock.</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associated with the remaining portion of the aggregate purchase price have been settled over two tranches. In July 2024, the first tranche was settled upon final delivery to us of approximately 0.4 million shares of common stock. In September 2024, with respect to the second tranche, we owed approximately 2.2 million shares of common stock that we elected to cash settle for $261 million. The cash payment required as a result of the second tranche settlement was due to the significant increase in the price of our common stock during the ASR term. The final average price under the ASR was $94.28 per share.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A summary of the changes in each component of Accumulated other comprehensive loss, net of tax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quarters and nine months ended September 30, 2024 and 2023 is provided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13"/>
                <w:szCs w:val="13"/>
                <w:color w:val="auto"/>
              </w:rPr>
            </w:pPr>
          </w:p>
        </w:tc>
        <w:tc>
          <w:tcPr>
            <w:tcW w:w="14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749</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560</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0" w:type="dxa"/>
            <w:vAlign w:val="bottom"/>
          </w:tcPr>
          <w:p>
            <w:pPr>
              <w:spacing w:after="0"/>
              <w:rPr>
                <w:sz w:val="1"/>
                <w:szCs w:val="1"/>
                <w:color w:val="auto"/>
              </w:rPr>
            </w:pPr>
          </w:p>
        </w:tc>
      </w:tr>
      <w:tr>
        <w:trPr>
          <w:trHeight w:val="364"/>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24"/>
                <w:szCs w:val="24"/>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24"/>
                <w:szCs w:val="24"/>
                <w:color w:val="auto"/>
              </w:rPr>
            </w:pPr>
          </w:p>
        </w:tc>
        <w:tc>
          <w:tcPr>
            <w:tcW w:w="14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Our segments are generally based on the management structure of the businesses and the grouping of similar operating companies, where each management organization has general operating autonomy over diversified products and services.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pension and PRB liabilities through the pricing of our products and services to the U.S. government. Collins and Pratt &amp; Whitney generally record pension and PRB expense on a FAS basis.</w:t>
      </w:r>
    </w:p>
    <w:p>
      <w:pPr>
        <w:spacing w:after="0" w:line="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r>
        <w:rPr>
          <w:rFonts w:ascii="Times New Roman" w:cs="Times New Roman" w:eastAsia="Times New Roman" w:hAnsi="Times New Roman"/>
          <w:sz w:val="18"/>
          <w:szCs w:val="18"/>
          <w:b w:val="1"/>
          <w:bCs w:val="1"/>
          <w:color w:val="auto"/>
        </w:rPr>
        <w:t>.</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and operating profit (loss) by segment include inter-segment sales which are generally recorded at cost-plus a specified fee or at a negotiated fixed price. These pricing arrangements may result in margins different than what the purchasing segment realizes on the ultimate third-party sale. Results for the quarters ended September 30, 2024 and 2023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Operating Profit (Loss)</w:t>
            </w:r>
          </w:p>
        </w:tc>
        <w:tc>
          <w:tcPr>
            <w:tcW w:w="2720" w:type="dxa"/>
            <w:vAlign w:val="bottom"/>
            <w:gridSpan w:val="2"/>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Operating Profit (Loss) Margins</w:t>
            </w:r>
          </w:p>
        </w:tc>
        <w:tc>
          <w:tcPr>
            <w:tcW w:w="0" w:type="dxa"/>
            <w:vAlign w:val="bottom"/>
          </w:tcPr>
          <w:p>
            <w:pPr>
              <w:spacing w:after="0"/>
              <w:rPr>
                <w:sz w:val="1"/>
                <w:szCs w:val="1"/>
                <w:color w:val="auto"/>
              </w:rPr>
            </w:pPr>
          </w:p>
        </w:tc>
      </w:tr>
      <w:tr>
        <w:trPr>
          <w:trHeight w:val="2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7,075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6,629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1,062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903</w:t>
            </w:r>
          </w:p>
        </w:tc>
        <w:tc>
          <w:tcPr>
            <w:tcW w:w="15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15.0 %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7,239</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926</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557</w:t>
            </w:r>
          </w:p>
        </w:tc>
        <w:tc>
          <w:tcPr>
            <w:tcW w:w="3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(2,482)</w:t>
            </w:r>
          </w:p>
        </w:tc>
        <w:tc>
          <w:tcPr>
            <w:tcW w:w="156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7.7 %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6,386</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6,472</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647</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560</w:t>
            </w:r>
          </w:p>
        </w:tc>
        <w:tc>
          <w:tcPr>
            <w:tcW w:w="15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10.1 %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20,700</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14,027</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2,266</w:t>
            </w:r>
          </w:p>
        </w:tc>
        <w:tc>
          <w:tcPr>
            <w:tcW w:w="3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(1,019)</w:t>
            </w:r>
          </w:p>
        </w:tc>
        <w:tc>
          <w:tcPr>
            <w:tcW w:w="156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10.9 %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(69)</w:t>
            </w:r>
          </w:p>
        </w:tc>
        <w:tc>
          <w:tcPr>
            <w:tcW w:w="1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272</w:t>
            </w:r>
          </w:p>
        </w:tc>
        <w:tc>
          <w:tcPr>
            <w:tcW w:w="1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(517)</w:t>
            </w: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20,089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13,464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(1,396)</w:t>
            </w:r>
          </w:p>
        </w:tc>
        <w:tc>
          <w:tcPr>
            <w:tcW w:w="15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10.1 %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includes the impacts of the Powder Metal Matter.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nine months ended September 30, 2024 and 2023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3"/>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Operating Profit (Loss)</w:t>
            </w:r>
          </w:p>
        </w:tc>
        <w:tc>
          <w:tcPr>
            <w:tcW w:w="2720" w:type="dxa"/>
            <w:vAlign w:val="bottom"/>
            <w:gridSpan w:val="2"/>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Operating Profit (Loss) Margins</w:t>
            </w:r>
          </w:p>
        </w:tc>
        <w:tc>
          <w:tcPr>
            <w:tcW w:w="0" w:type="dxa"/>
            <w:vAlign w:val="bottom"/>
          </w:tcPr>
          <w:p>
            <w:pPr>
              <w:spacing w:after="0"/>
              <w:rPr>
                <w:sz w:val="1"/>
                <w:szCs w:val="1"/>
                <w:color w:val="auto"/>
              </w:rPr>
            </w:pPr>
          </w:p>
        </w:tc>
      </w:tr>
      <w:tr>
        <w:trPr>
          <w:trHeight w:val="23"/>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20,747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19,133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3,029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2,699</w:t>
            </w:r>
          </w:p>
        </w:tc>
        <w:tc>
          <w:tcPr>
            <w:tcW w:w="15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14.6 %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20,497</w:t>
            </w:r>
          </w:p>
        </w:tc>
        <w:tc>
          <w:tcPr>
            <w:tcW w:w="3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11,857</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1,511</w:t>
            </w:r>
          </w:p>
        </w:tc>
        <w:tc>
          <w:tcPr>
            <w:tcW w:w="32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(1,837)</w:t>
            </w:r>
          </w:p>
        </w:tc>
        <w:tc>
          <w:tcPr>
            <w:tcW w:w="156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7.4 %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19,556</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19,464</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1,770</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1,775</w:t>
            </w:r>
          </w:p>
        </w:tc>
        <w:tc>
          <w:tcPr>
            <w:tcW w:w="156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9.1 %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3"/>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60,800</w:t>
            </w:r>
          </w:p>
        </w:tc>
        <w:tc>
          <w:tcPr>
            <w:tcW w:w="3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50,454</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6,310</w:t>
            </w:r>
          </w:p>
        </w:tc>
        <w:tc>
          <w:tcPr>
            <w:tcW w:w="32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2,637</w:t>
            </w:r>
          </w:p>
        </w:tc>
        <w:tc>
          <w:tcPr>
            <w:tcW w:w="156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10.4 %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(34)</w:t>
            </w:r>
          </w:p>
        </w:tc>
        <w:tc>
          <w:tcPr>
            <w:tcW w:w="1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w w:val="98"/>
              </w:rPr>
              <w:t xml:space="preserve">Corporate expenses and other unallocated items </w:t>
            </w:r>
            <w:r>
              <w:rPr>
                <w:rFonts w:ascii="Times New Roman" w:cs="Times New Roman" w:eastAsia="Times New Roman" w:hAnsi="Times New Roman"/>
                <w:sz w:val="23"/>
                <w:szCs w:val="23"/>
                <w:color w:val="auto"/>
                <w:w w:val="98"/>
                <w:vertAlign w:val="superscript"/>
              </w:rPr>
              <w:t>(4)</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32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(165)</w:t>
            </w: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636</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845</w:t>
            </w:r>
          </w:p>
        </w:tc>
        <w:tc>
          <w:tcPr>
            <w:tcW w:w="1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(1,499)</w:t>
            </w: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59,115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48,993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4,427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1,784</w:t>
            </w:r>
          </w:p>
        </w:tc>
        <w:tc>
          <w:tcPr>
            <w:tcW w:w="156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7.5 %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includes the impacts of the Powder Metal Matter.</w:t>
      </w:r>
    </w:p>
    <w:p>
      <w:pPr>
        <w:spacing w:after="0" w:line="11"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4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and Margins include a $0.6 billion charge in the second quarter of 2024 related to the anticipated Raytheon Contract Termination and a $0.4 billion gain, net of transaction and other related costs, in the first quarter of 2024 related to the sale of our CIS business. See “Note 5: Changes in Contract Estimates at Completion” and “Note 2: Acquisitions and Dispositions,” respectively, for additional information.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Resolution of Certain Legal Matters. See “Note 1: Basis of Presentation” for additional information.</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based on customer location for the quarters ended September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11,155</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1,449</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regions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Powder Metal Matter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622</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20,089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nine months ended September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32,930</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4,871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4,612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2,296</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3,977</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6,573</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regions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1,789</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Powder Metal Matter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19,038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19,448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48,993</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1,709</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(1,818)</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20,747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59,115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48,993</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quarters ended September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5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78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2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9"/>
              <w:spacing w:after="0" w:line="189" w:lineRule="exact"/>
              <w:rPr>
                <w:sz w:val="20"/>
                <w:szCs w:val="20"/>
                <w:color w:val="auto"/>
              </w:rPr>
            </w:pPr>
            <w:r>
              <w:rPr>
                <w:rFonts w:ascii="Times New Roman" w:cs="Times New Roman" w:eastAsia="Times New Roman" w:hAnsi="Times New Roman"/>
                <w:sz w:val="13"/>
                <w:szCs w:val="13"/>
                <w:b w:val="1"/>
                <w:bCs w:val="1"/>
                <w:color w:val="auto"/>
                <w:w w:val="99"/>
              </w:rPr>
              <w:t xml:space="preserve">Whitney </w:t>
            </w:r>
            <w:r>
              <w:rPr>
                <w:rFonts w:ascii="Times New Roman" w:cs="Times New Roman" w:eastAsia="Times New Roman" w:hAnsi="Times New Roman"/>
                <w:sz w:val="17"/>
                <w:szCs w:val="17"/>
                <w:b w:val="1"/>
                <w:bCs w:val="1"/>
                <w:color w:val="auto"/>
                <w:w w:val="99"/>
                <w:vertAlign w:val="superscript"/>
              </w:rPr>
              <w:t>(2)</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Sales to the U.S. government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7,678</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 sales through the U.S.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 direct commercial sales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 aerospace and other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4,292</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5,015</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9,373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622</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2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20,089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foreign military sales through the U.S. government.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reduction in sales from the Powder Metal Matter.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customer for the nine months ended September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60" w:type="dxa"/>
            <w:vAlign w:val="bottom"/>
          </w:tcPr>
          <w:p>
            <w:pPr>
              <w:jc w:val="right"/>
              <w:ind w:right="16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tcPr>
          <w:p>
            <w:pPr>
              <w:jc w:val="right"/>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76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20" w:type="dxa"/>
            <w:vAlign w:val="bottom"/>
          </w:tcPr>
          <w:p>
            <w:pPr>
              <w:spacing w:after="0"/>
              <w:rPr>
                <w:sz w:val="11"/>
                <w:szCs w:val="11"/>
                <w:color w:val="auto"/>
              </w:rPr>
            </w:pPr>
          </w:p>
        </w:tc>
        <w:tc>
          <w:tcPr>
            <w:tcW w:w="76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line="189" w:lineRule="exact"/>
              <w:rPr>
                <w:sz w:val="20"/>
                <w:szCs w:val="20"/>
                <w:color w:val="auto"/>
              </w:rPr>
            </w:pPr>
            <w:r>
              <w:rPr>
                <w:rFonts w:ascii="Times New Roman" w:cs="Times New Roman" w:eastAsia="Times New Roman" w:hAnsi="Times New Roman"/>
                <w:sz w:val="13"/>
                <w:szCs w:val="13"/>
                <w:b w:val="1"/>
                <w:bCs w:val="1"/>
                <w:color w:val="auto"/>
                <w:w w:val="96"/>
              </w:rPr>
              <w:t xml:space="preserve">Whitney </w:t>
            </w:r>
            <w:r>
              <w:rPr>
                <w:rFonts w:ascii="Times New Roman" w:cs="Times New Roman" w:eastAsia="Times New Roman" w:hAnsi="Times New Roman"/>
                <w:sz w:val="17"/>
                <w:szCs w:val="17"/>
                <w:b w:val="1"/>
                <w:bCs w:val="1"/>
                <w:color w:val="auto"/>
                <w:w w:val="96"/>
                <w:vertAlign w:val="superscript"/>
              </w:rPr>
              <w:t>(2)</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00"/>
              <w:spacing w:after="0" w:line="210" w:lineRule="exact"/>
              <w:rPr>
                <w:sz w:val="20"/>
                <w:szCs w:val="20"/>
                <w:color w:val="auto"/>
              </w:rPr>
            </w:pPr>
            <w:r>
              <w:rPr>
                <w:rFonts w:ascii="Times New Roman" w:cs="Times New Roman" w:eastAsia="Times New Roman" w:hAnsi="Times New Roman"/>
                <w:sz w:val="16"/>
                <w:szCs w:val="16"/>
                <w:color w:val="auto"/>
              </w:rPr>
              <w:t xml:space="preserve">Sales to the U.S. government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23,193</w:t>
            </w:r>
          </w:p>
        </w:tc>
        <w:tc>
          <w:tcPr>
            <w:tcW w:w="0" w:type="dxa"/>
            <w:vAlign w:val="bottom"/>
          </w:tcPr>
          <w:p>
            <w:pPr>
              <w:spacing w:after="0"/>
              <w:rPr>
                <w:sz w:val="1"/>
                <w:szCs w:val="1"/>
                <w:color w:val="auto"/>
              </w:rPr>
            </w:pPr>
          </w:p>
        </w:tc>
      </w:tr>
      <w:tr>
        <w:trPr>
          <w:trHeight w:val="162"/>
        </w:trPr>
        <w:tc>
          <w:tcPr>
            <w:tcW w:w="30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Foreign military sales through the U.S.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government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Foreign government direct commercial</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0" w:type="dxa"/>
            <w:vAlign w:val="bottom"/>
          </w:tcPr>
          <w:p>
            <w:pPr>
              <w:spacing w:after="0"/>
              <w:rPr>
                <w:sz w:val="1"/>
                <w:szCs w:val="1"/>
                <w:color w:val="auto"/>
              </w:rPr>
            </w:pPr>
          </w:p>
        </w:tc>
      </w:tr>
      <w:tr>
        <w:trPr>
          <w:trHeight w:val="162"/>
        </w:trPr>
        <w:tc>
          <w:tcPr>
            <w:tcW w:w="30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aerospace and 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commercial sales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12,894</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14,189</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11,993</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6,577</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18,867</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19,038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19,448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48,993</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(1,818)</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59,115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foreign military sales through the U.S. government.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reduction in sales from the Powder Metal Matter.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September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20" w:type="dxa"/>
            <w:vAlign w:val="bottom"/>
          </w:tcPr>
          <w:p>
            <w:pPr>
              <w:spacing w:after="0"/>
              <w:rPr>
                <w:sz w:val="11"/>
                <w:szCs w:val="11"/>
                <w:color w:val="auto"/>
              </w:rPr>
            </w:pPr>
          </w:p>
        </w:tc>
        <w:tc>
          <w:tcPr>
            <w:tcW w:w="800" w:type="dxa"/>
            <w:vAlign w:val="bottom"/>
          </w:tcPr>
          <w:p>
            <w:pPr>
              <w:jc w:val="right"/>
              <w:ind w:right="16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2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line="189" w:lineRule="exact"/>
              <w:rPr>
                <w:sz w:val="20"/>
                <w:szCs w:val="20"/>
                <w:color w:val="auto"/>
              </w:rPr>
            </w:pPr>
            <w:r>
              <w:rPr>
                <w:rFonts w:ascii="Times New Roman" w:cs="Times New Roman" w:eastAsia="Times New Roman" w:hAnsi="Times New Roman"/>
                <w:sz w:val="13"/>
                <w:szCs w:val="13"/>
                <w:b w:val="1"/>
                <w:bCs w:val="1"/>
                <w:color w:val="auto"/>
                <w:w w:val="99"/>
              </w:rPr>
              <w:t xml:space="preserve">Whitney </w:t>
            </w:r>
            <w:r>
              <w:rPr>
                <w:rFonts w:ascii="Times New Roman" w:cs="Times New Roman" w:eastAsia="Times New Roman" w:hAnsi="Times New Roman"/>
                <w:sz w:val="17"/>
                <w:szCs w:val="17"/>
                <w:b w:val="1"/>
                <w:bCs w:val="1"/>
                <w:color w:val="auto"/>
                <w:w w:val="99"/>
                <w:vertAlign w:val="superscript"/>
              </w:rPr>
              <w:t>(1)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8,615</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1,429</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3,120</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823</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5,381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622</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20,089</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the reduction in sales from the Powder Metal Matter.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nine months ended September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20" w:type="dxa"/>
            <w:vAlign w:val="bottom"/>
          </w:tcPr>
          <w:p>
            <w:pPr>
              <w:spacing w:after="0"/>
              <w:rPr>
                <w:sz w:val="11"/>
                <w:szCs w:val="11"/>
                <w:color w:val="auto"/>
              </w:rPr>
            </w:pPr>
          </w:p>
        </w:tc>
        <w:tc>
          <w:tcPr>
            <w:tcW w:w="620" w:type="dxa"/>
            <w:vAlign w:val="bottom"/>
          </w:tcPr>
          <w:p>
            <w:pPr>
              <w:jc w:val="right"/>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76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line="189" w:lineRule="exact"/>
              <w:rPr>
                <w:sz w:val="20"/>
                <w:szCs w:val="20"/>
                <w:color w:val="auto"/>
              </w:rPr>
            </w:pPr>
            <w:r>
              <w:rPr>
                <w:rFonts w:ascii="Times New Roman" w:cs="Times New Roman" w:eastAsia="Times New Roman" w:hAnsi="Times New Roman"/>
                <w:sz w:val="13"/>
                <w:szCs w:val="13"/>
                <w:b w:val="1"/>
                <w:bCs w:val="1"/>
                <w:color w:val="auto"/>
                <w:w w:val="96"/>
              </w:rPr>
              <w:t xml:space="preserve">Whitney </w:t>
            </w:r>
            <w:r>
              <w:rPr>
                <w:rFonts w:ascii="Times New Roman" w:cs="Times New Roman" w:eastAsia="Times New Roman" w:hAnsi="Times New Roman"/>
                <w:sz w:val="17"/>
                <w:szCs w:val="17"/>
                <w:b w:val="1"/>
                <w:bCs w:val="1"/>
                <w:color w:val="auto"/>
                <w:w w:val="96"/>
                <w:vertAlign w:val="superscript"/>
              </w:rPr>
              <w:t>(1)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43,573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34,813</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4,154</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8,571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3,869</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14,180</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48,993</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1,709</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(1,818)</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20,747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59,115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48,993</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the reduction in sales from the Powder Metal Matter.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quarters ended September 30, 2024 and 2023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r>
      <w:tr>
        <w:trPr>
          <w:trHeight w:val="21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2,938</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3,445</w:t>
            </w: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w:t>
            </w:r>
          </w:p>
        </w:tc>
      </w:tr>
      <w:tr>
        <w:trPr>
          <w:trHeight w:val="213"/>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9"/>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6,386</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6,472</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nine months ended September 30, 2024 and 2023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9,639</w:t>
            </w:r>
          </w:p>
        </w:tc>
      </w:tr>
      <w:tr>
        <w:trPr>
          <w:trHeight w:val="21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9,428</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9,731</w:t>
            </w: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19,370</w:t>
            </w:r>
          </w:p>
        </w:tc>
      </w:tr>
      <w:tr>
        <w:trPr>
          <w:trHeight w:val="213"/>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19"/>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19,556</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19,464</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Remaining Performance Obligations (RPO)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RPO represents the aggregate amount of total contract transaction price that is unsatisfied or partially unsatisfied. Total RPO was $221 billion as of September 30, 2024. Of the total RPO as of September 30, 2024, we expect approximately 25% will be recognized as revenue over the next 12 months. Approximately 45% of our RPO relates to long-term commercial aerospace maintenance contracts at Pratt &amp; Whitney, which are generally expected to be realized over a span of up to 20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Accounting Pronouncements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SEC issued the final rule under SEC Release Nos. 33-11275 and 34-99678, The Enhancement and Standardization of Climate-Related Disclosures for Investors, requiring public companies to provide certain climate-related information in their registration statements and annual reports. The final rules will require information about a company’s climate-related risks that have materially impacted or are reasonably likely to have a material impact on its business strategy, results of operations, or financial condition, and the actual and potential material impacts of any identified climate-related risks on the company’s strategy, business model, and outlook, as well as relating to assessment, management, oversight, and mitigation of such material risks, material climate-related targets and goals, and material greenhouse gas emissions. Additionally, certain disclosures related to severe weather events and other natural conditions will be required in the audited financial statements. The first phase of the final rule is effective for fiscal years beginning in 2025. Disclosure for prior periods is only required if it was previously disclosed in an SEC filing. On April 4, 2024, the SEC voluntarily stayed implementation of the final rule to facilitate the orderly judicial resolution of pending legal challenges to the rule. We are currently evaluating the impact on our disclosures of adopting this new pronouncement.</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to enhance income tax reporting disclosures and require disclosure of specific categories in the tabular rate reconciliation. The new standard is effective for fiscal years beginning after December 15, 2024, on a prospective basis. Early adoption and retrospective application are permitted. We are currently evaluating the impact on our disclosures of adopting this new pronouncement.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the segment reporting disclosures and requires disclosure of segment expenses that are regularly provided to the chief operating decision maker (CODM) and included within each reported measure of segment profit or loss, amounts and description of its composition for other segment items, and interim disclosure of a reportable segment’s profit or loss and assets. Additionally, the amendments require the disclosure of the title and position of the CODM and an explanation of how the CODM uses the reported measure(s) of segment profit or loss in assessing performance and deciding how to allocate resources. The new standard is effective for annual reporting periods beginning after December 15, 2023, and interim periods within fiscal years beginning after December 15, 2024, on a retrospective basis. Early adoption is permitted. We are currently evaluating the impact on our disclosures of adopting this new pronouncement.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September 30, 2024 are not expected to have a material impact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RTX for the quarters and nine months ended September 30, 2024 and 2023, PricewaterhouseCoopers LLP (PwC) reported that it has applied limited procedures in accordance with professional standards for a review of such information. However, its report dated October 22, 2024,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RTX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RTX Corporation and its subsidiaries (the “Company”) as of September 30, 2024, and the related condensed consolidated statements of operations, of comprehensive income (loss), and of changes in equity for the three-month and nine-month periods ended September 30, 2024 and 2023, and the condensed consolidated statement of cash flows for the nine-month periods ended September 30, 2024 and 2023,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2023, and the related consolidated statements of operations, of comprehensive income, of changes in equity, and of cash flows for the year then ended (not presented herein), and in our report dated February 5, 2024, we expressed an unqualified opinion on those consolidated financial statements. In our opinion, the information set forth in the accompanying condensed consolidated balance sheet as of December 31, 2023, is fairly stated, in all material respects, in relation to the consolidated balance sheet from which it has been derived.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22,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Aerospace (Collins) and Pratt &amp; Whitney use a quarter calendar end. Throughout this Form 10-Q, when we refer to the quarters and nine months ended September 30, 2024 and 2023 with respect to Raytheon, we are referring to their September 29, 2024 and October 1, 2023 fiscal quarter ends,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2024 is discussed below. For additional discussion, refer to the “Business Overview” section in Management’s Discussion and Analysis of Financial Condition and Results of Operations (MD&amp;A) in our 2023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Collins and Pratt &amp; Whitney serve both commercial and government aerospace customers. Revenue passenger miles (RPMs), available seat miles, and the general economic health of airline carriers and airframers are key barometers for our commercial aerospace operations. In particular, the ongoing work stoppages at a major airframer customer, may adversely impact our business.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defense operations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 Refer to “U.S. Government’s Continuing Resolution” below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and supply, labor availability and costs, inflation, interest rates, geopolitical conflicts and strained intercountry relations, U.S. and non-U.S. tax law changes, foreign currency exchange rates, energy costs and supply, levels of air travel, the financial condition of commercial airlines, and the impact from natural disasters and weather conditions create uncertainties that could impact our businesses.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The Company has resolved several outstanding legal matters, herein referred to as “Resolution of Certain Legal Matters.”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 deferred prosecution agreement (DPA) with the Department of Justice (DOJ) and the Company settled an administrative proceeding with the Securities and Exchange Commission (SEC) to resolve the previously disclosed criminal and civil government investigations into payments made by Raytheon Company and its joint venture, Thales-Raytheon Systems (TRS), in connection with certain Middle East contracts since 2012 (Thales-Raytheon Systems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Matters). The Company also entered into a DPA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In addition, the Company resolved certain voluntarily disclosed export controls violations primarily identified in connection with the integration of Rockwell Collins and, to a lesser extent, Raytheon Company, including certain violations that were resolved pursuant to a consent agreement with the Department of State (DOS) (Trade Compliance Matters). As a result, we recorded a combined pre-tax charge of $918 million during the second quarter of 2024, which included an accrual of $269 million related to the DOJ Investigation and Contract Pricing Disputes (in addition to amounts previously accrued), an accrual of $364 million related to Thales-Raytheon Systems and Related Matters (in addition to amounts previously accrued), and an accrual of $285 million related to Trade Compliance Matters. See “Note 16: Commitments and Contingencies” within Item 1 of this Form 10-Q for additional information.</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As described further in “Note 16: Commitments and Contingencies,” within Item 1 of this Form 10-Q,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Pratt &amp; Whitney determined that a rare condition in powder metal used to manufacture certain engine parts requires accelerated inspection of the PW1100G-JM (PW1100) Geared Turbofan (GTF) fleet, which powers the A320neo family of aircraft (A320neo) (herein referred to as the “Powder Metal Matter”).</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Global Supply Chain. </w:t>
      </w:r>
      <w:r>
        <w:rPr>
          <w:rFonts w:ascii="Times New Roman" w:cs="Times New Roman" w:eastAsia="Times New Roman" w:hAnsi="Times New Roman"/>
          <w:sz w:val="18"/>
          <w:szCs w:val="18"/>
          <w:color w:val="auto"/>
        </w:rPr>
        <w:t>We are dependent on a global supply chain and in recent years have experienced supply chain disruptions that resulted in delays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costs which adversely affected our performance. These disruptions impacted our ability to procure raw materials, microelectronics, and certain commodities on a timely basis and/or at expected prices, and have been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continue to contribute to these issues. Furthermore, our suppliers and subcontractors have been impacted by these same issues. As a result of the Canadian government’s imposition of sanctions in February 2024, including those imposed on U.S.- and German-based Russian-owned entities from which we source titanium for use in our Canadian operations, we recorded charges of $175 million in the first quarter of 2024 within our Collins segment. These charges are primarily related to the recognition of unfavorable purchase commitments and an impairment of contract fulfillment costs that are no longer recoverable as a result of initiating alternative titanium sources. We have implemented actions and programs to mitigate some of the impacts but anticipate supply chain disruptions to continue.</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High inflation levels have increased material and component prices, labor rates, and supplier costs and have negatively impacted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operating profit and margin, including the impact on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of our suppliers to perform. Moreover, volatility in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 technology programs, and we apply our Customer Oriented Results Excellence (CORE) operating platform to the execution of these initiatives. However, the impact of these pressures and corresponding initiatives is uncertain and subject to a range of factors and future developments.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 Government’s Continuing Resolution. </w:t>
      </w:r>
      <w:r>
        <w:rPr>
          <w:rFonts w:ascii="Times New Roman" w:cs="Times New Roman" w:eastAsia="Times New Roman" w:hAnsi="Times New Roman"/>
          <w:sz w:val="18"/>
          <w:szCs w:val="18"/>
          <w:color w:val="auto"/>
        </w:rPr>
        <w:t>On September 26, 2024, President Biden signed a continuing resolution that funds federal agencies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 2024. A continuing resolution authorizes federal agencies to operate generally at the same funding levels from the prior year, but typically does not authorize new spending initiatives during this period. If Congress is unable to enact formal fiscal year 2025 appropriation bills by December 20, 2024, it may pass another continuing resolution. However, if Congress fails to pass the formal appropriations bills or a continuing resolution, then the U.S. government would shut down during which federal agencies would cease all non-essential functions.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 U.S. government shutdown, our business, program performance and results of operations could be impacted by the resulting disruptions to federal government offices, workers, and operations, including risks relating to the funding of certain programs, stop work orders, as well as delays in contract awards, new program starts, payments for work performed, and other actions. We also may experience similar impacts in the event of an extended period of continuing resolutions. Generally, the significance of these impacts will primarily be based on the length of the continuing resolution or shutdown. Furthermore, under the Fiscal Responsibility Act of 2023, which imposes limits on discretionary spending for defense and non-defense programs in exchange for the lifting of the debt ceiling in June 2023, if Congress fails to enact appropriation bills by April 30,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then the budget caps will be reduced and corresponding automatic reductions to agency budget accounts will be enforced through sequestration.</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Geopolitical Matters. </w:t>
      </w:r>
      <w:r>
        <w:rPr>
          <w:rFonts w:ascii="Times New Roman" w:cs="Times New Roman" w:eastAsia="Times New Roman" w:hAnsi="Times New Roman"/>
          <w:sz w:val="18"/>
          <w:szCs w:val="18"/>
          <w:color w:val="auto"/>
        </w:rPr>
        <w:t>In response to Russia’s invasion of Ukraine, the U.S. government and the governments of various jurisdictions in which we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including as discussed above in Global Supply Chain; however, based 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2023, China announced sanctions against Raytheon Missiles &amp; Defense (RMD) (a former RTX Corporation (RTX) business segment which became part of Raytheon during the third quarter of 2023), and previously announced it may take measures against RTX, in connection with certain foreign military sales to Taiwan. The Chinese sanctions against RMD included a fine equal to twice the value of the arms that RMD sold to Taiwan since September 2020. In addition, in September 2022, China indicated that it decided to sanction our Chairman and former Chief Executive Officer, Gregory Hayes, in connection with another foreign military sale to Taiwan involving RTX products and services. In January 2024, China announced sanctions against Data Link Solutions LLC, a Collins joint venture and, most recently, in May 2024, China announced sanctions against Raytheon Missile Systems and the Javelin Joint Venture between Raytheon and Lockheed Martin.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direct commercial sales contracts for products and services to certain foreign customers, for which U.S. government review and approval has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 In particular, during the third quarter of 2024, we received a critical license required to restart work under certain contracts with a Middle East customer. In order to perform under these contracts, significant actions are required, including obtaining additional regulatory approvals, and therefore we have not recognized revenue on these contracts to date. Should the remaining uncertainties be resolved, we do not expect these contracts to have a significant impact on our future financial results. As of September 30, 2024, our Contract liabilities include approximately $430 million of advance payments received in connection with these contracts, which may become refundable to the customer if the contracts are ultimately terminated.</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closely monitor potential impacts from the war in Gaza and the recent escalation of conflict in the region on RTX’s business, customers, suppliers, employees, and operations in Israel, the Middle East, and elsewhere. To date, the impacts to RTX have been minimal, though a number of countries have imposed restrictions on exports to or imports from Israel. RTX’s commercial manufacturing facilities in Israel remain open and operational and have continued exporting products and importing critical items and raw materials. RTX’s defense programs’ ability to receive components from Israel has not been impacted in any material respect, though we could experience future delivery delays of certain products because of the current situation. Given the volatile nature of the situation, the potential impacts to RTX are subject to change.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 our 2023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2023 Annual Report on Form 10-K, which describe the significant accounting estimates and policies used in preparation of the Consolidated Financial Statements. Actual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results in these areas could differ from management’s estimates. There have been no significant changes in our critical accounting estimates during the nine months ended September 30,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have implemented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pacing w:after="0" w:line="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20,089</w:t>
            </w:r>
          </w:p>
        </w:tc>
        <w:tc>
          <w:tcPr>
            <w:tcW w:w="11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59,115</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net sales for the quarter and nine months ended September 30, 2024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spacing w:after="0"/>
              <w:rPr>
                <w:sz w:val="13"/>
                <w:szCs w:val="13"/>
                <w:color w:val="auto"/>
              </w:rPr>
            </w:pPr>
          </w:p>
        </w:tc>
        <w:tc>
          <w:tcPr>
            <w:tcW w:w="15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4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1,555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8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5,500</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6,625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10,122</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$1.6 billion organically in the quarter ended September 30, 2024 compared to the quarter ended September 30, 2023 primarily due to higher organic net sales of $0.9 billion at Pratt &amp; Whitney, $0.4 billion at Collins, and $0.3 billion at Raytheon.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sales increased $5.5 billion in the quarter ended September 30, 2024 compared to the quarter ended September 30, 2023 primarily driven by the absence of the net sales charge of $5.4 billion associated with the Powder Metal Matter recorded in the third quarter of 2023.</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$5.6 billion organically in the nine months ended September 30, 2024 compared to the nine months ended September 30, 2023 primarily due to higher organic net sales of $3.2 billion at Pratt &amp; Whitney, $1.6 billion at Collins, and $1.0 billion at Raytheon.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sales increased $5.4 billion in the nine months ended September 30, 2024 compared to the nine months ended September 30, 2023 primarily driven by the absence of the net sales charge of $5.4 billion associated with the Powder Metal Matter recorded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decreases in net sales due to Acquisitions and divestitures, net of $0.4 billion and $0.9 billion for the quarter and nine months ended September 30, 2024 compared to the quarter and nine months ended September 30, 2023, respectively, were primarily driven by the sale of our Cybersecurity, Intelligence and Services (CIS) business within our Raytheon segment completed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“Segment Review” below for further information by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14,708</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73.2 %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5,381</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26.8 %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20,089</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Segment Financial Data” within Item 1 of this Form 10-Q for the composition of external net sales by products and services by segment.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sales increased $6.1 billion in the quarter ended September 30, 2024 compared to the quarter ended September 30, 2023 primarily due to the absence of the net sales charge of $5.3 billion associated with the Powder Metal Matter recorded in the third quarter of 2023, and increases in external products sales of $0.3 billion at Pratt &amp; Whitney, $0.3 billion at Collins, and $0.2 billion at Raytheon.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services sales increased $0.5 billion in the quarter ended September 30, 2024 compared to the quarter ended September 30, 2023 primarily due to increases in external services sales of $0.6 billion at Pratt &amp; Whitney and $0.1 billion at Collins, and the absence of net sales charge of $0.1 billion associated with the Powder Metal Matter recorded in the third quarter of 2023, partially offset by a decrease in external services sales of $0.3 billion at Raytheon, primarily driven by the sale of our CIS business completed in the first quarter of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43,573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73.7 %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15,542</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26.3 %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59,115</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products sales increased $8.8 billion in the nine months ended September 30, 2024 compared to the nine months ended September 30, 2023 primarily driven by the absence of the net sales charge of $5.3 billion associated with the Powder Metal Matter and increases in external products sales of $1.9 billion at Pratt &amp; Whitney, $1.1 billion at Collins, and $0.5 billion at Raytheon.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services sales increased $1.4 billion in the nine months ended September 30, 2024 compared to the nine months ended September 30, 2023 primarily due to increases in external services sales of $1.4 billion at Pratt &amp; Whitney and $0.3 billion at Collins, and the absence of the net sales charge of $0.1 billion associated with the Powder Metal Matter recorded in the third quarter of 2023, partially offset by a decrease in external services sales of $0.4 billion at Raytheon, primarily driven by the sale of our CIS business completed in the first quarter of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7,996</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39.8 %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1,502</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7.5 %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1,218</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aerospace and other commercial sales </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9,373</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46.7 %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20,089</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13,464</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foreign military sales through the U.S. government.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includes the reduction in sales from the Powder Metal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4100" w:type="dxa"/>
            <w:vAlign w:val="bottom"/>
            <w:gridSpan w:val="6"/>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24,175</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40.9 %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4,020</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6.8 %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3,597</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aerospace and other commercial sales </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27,323</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18,867</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46.2 %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59,115</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48,993</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foreign military sales through the U.S. government.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includes the reduction in sales from the Powder Metal Matter.</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40" w:type="dxa"/>
            <w:vAlign w:val="bottom"/>
          </w:tcPr>
          <w:p>
            <w:pPr>
              <w:spacing w:after="0"/>
              <w:rPr>
                <w:sz w:val="16"/>
                <w:szCs w:val="16"/>
                <w:color w:val="auto"/>
              </w:rPr>
            </w:pPr>
          </w:p>
        </w:tc>
        <w:tc>
          <w:tcPr>
            <w:tcW w:w="31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16,055</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12,750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47,940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40,913</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79.9 %</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cost of sales for the quarter and nine months ended September 30, 2024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760" w:type="dxa"/>
            <w:vAlign w:val="bottom"/>
          </w:tcPr>
          <w:p>
            <w:pPr>
              <w:spacing w:after="0"/>
              <w:rPr>
                <w:sz w:val="13"/>
                <w:szCs w:val="13"/>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1,164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4,505</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76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2,513</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7,027</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$1.2 billion for the quarter ended September 30, 2024 compared to the quarter ended September 30, 2023, was primarily driven by the organic net sales increases at Pratt &amp; Whitney, Collins, and Raytheon noted above.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 of sales increased $2.5 billion in the quarter ended September 30, 2024 compared to the quarter ended September 30, 2023, primarily driven by the absence of the Powder Metal Matter charge recorded in the third quarter of 2023, which resulted in a $2.5 billion net reduction in cost of sales primarily reflecting our partners’ 49% share of the impact.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$4.5 billion for the nine months ended September 30, 2024 compared to the nine months ended September 30, 2023, was primarily driven by the organic net sales increases at Pratt &amp; Whitney, Collins, and Raytheon noted above.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cost of sales increased $3.2 billion in the nine months ended September 30, 2024 compared to the nine months ended September 30, 2023 primarily driven by the absence of the Powder Metal Matter charge recorded in the third quarter of 2023, which resulted in a $2.5 billion net reduction in cost of sales primarily reflecting our partners’ 49% share of the impact, a $0.5 billion charge related to the anticipated Raytheon Contract Termination in the second quarter of 2024, and $0.2 billion of charges recorded in the first quarter of 2024 at Collins related to the recognition of unfavorable purchase commitments and an impairment of contract fulfillment costs that are no longer recoverable as a result of initiating alternative titanium sources. The above items were partially offset by the absence of $0.1 billion of charges at Pratt &amp; Whitney related to a customer insolvency recorded in the second quarter of 2023.</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decreases in total cost of sales due to Acquisitions and divestitures, net of $0.4 billion and $0.8 billion for the quarter and nine months ended September 30, 2024 compared to the quarter and nine months ended September 30, 2023, respectively, were primarily driven by the sale of our CIS business within our Raytheon segment completed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actions relate to ongoing cost reduction efforts including workforce reductions and the consolidation of facilities.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12,336</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61.4 %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3,719</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18.5 %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16,055</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79.9 %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products cost of sales increased $3.0 billion in the quarter ended September 30, 2024 compared to the quarter ended September 30, 2023, primarily driven by the absence of the Powder Metal Matter charge recorded in the third quarter of 2023, which resulted in a $2.5 billion net reduction in cost of sales primarily reflecting our partners’ 49% share of the impact and increases in external products cost of sales at Pratt &amp; Whitney, Collins, and Raytheon, each driven by the products sales changes noted above.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$0.3 billion in the quarter ended September 30, 2024 compared to the quarter ended September 30, 2023, primarily due to increases in external services cost of sales at Pratt &amp; Whitney and Collins, partially offset by a decrease in external services cost of sales at Raytheon, each driven by the services sales changes noted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37,177</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31,078</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62.9 %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10,763</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18.2 %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47,940</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40,913</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81.1 %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products cost of sales increased $6.1 billion in the nine months ended September 30, 2024 compared to the nine months ended September 30, 2023, primarily driven by the absence of the Powder Metal Matter charge recorded in the third quarter of 2023, which resulted in a $2.5 billion net reduction in cost of sales primarily reflecting our partners’ 49% share of the impact. In addition, net product cost of sales includes increases in external products cost of sales at Pratt &amp; Whitney, Collins, and Raytheon all driven by the products sales changes noted above, a $0.5 billion charge related to the anticipated Raytheon Contract Termination in the second quarter of 2024, and charges of $0.2 billion at Collins as a result of initiating alternative titanium sources recorded in the first quarter of 2024.</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$0.9 billion in the nine months ended September 30, 2024 compared to the nine months ended September 30, 2023, primarily due to increases in external services cost of sales at Pratt &amp; Whitney and Collins, partially offset by a decrease in external services cost of sales at Raytheon, all driven by the services sales changes noted above.</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9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751</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2,126</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3.6 %</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1,205</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3,627</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3,417</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Cost of sales in our Condensed Consolidated Statement of Operations.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Company-funded research and development expenses in the quarter ended September 30, 2024 were relatively consistent with the quarter ended September 30, 2023.</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customer-funded research and development expenses of $0.1 billion for the quarter ended September 30, 2024 compared to the quarter ended September 30, 2023 was primarily driven by increased spending at Pratt &amp; Whitney on military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and higher expenses on defense and commercial programs at Collins, partially offset by lower expenses on development programs at Raytheon.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company-funded research and development expenses of $0.1 billion for the nine months ended September 30, 2024 compared to the nine months ended September 30, 2023 was primarily driven by increased spending on commercial program development at Pratt &amp; Whitney and Collins, partially offset by lower expenses on development programs at Raytheon.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customer-funded research and development expenses of $0.2 billion for the nine months ended September 30, 2024 compared to the nine months ended September 30, 2023 was primarily driven by higher expenses on commercial and defense programs at Collins and increased spending at Pratt &amp; Whitney on military programs, partially offset by lower expenses on various development programs at Raytheon.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Pr>
          <w:p>
            <w:pPr>
              <w:spacing w:after="0"/>
              <w:rPr>
                <w:sz w:val="16"/>
                <w:szCs w:val="16"/>
                <w:color w:val="auto"/>
              </w:rPr>
            </w:pPr>
          </w:p>
        </w:tc>
        <w:tc>
          <w:tcPr>
            <w:tcW w:w="310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1,389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4,232</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7"/>
              </w:rPr>
              <w:t>10.4 %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 the quarter ended September 30, 2024 were relatively consistent with the quarter ended September 30,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$0.1 billion in the nine months ended September 30, 2024 compared to the nine months ended September 30, 2023, primarily driven by the absence of a $0.1 billion charge at Pratt &amp; Whitney related to a customer insolvency recorded in the second quarter of 2023.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in an effort to keep our cost structure competitive. Therefore, the amounts reflected above include the beneficial impact of previous restructuring actions on Selling, general, and administrative expenses.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94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tcBorders>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3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equity earnings in unconsolidated entities, royalty income, foreign exchange gains and losses, and other ongoing and non-recurring items.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income (expense), net of $0.1 billion for the quarter ended September 30, 2024 compared to the quarter ended September 30, 2023 was primarily due to a $0.2 billion benefit from a tax related indemnity receivable recorded in the third quarter of 2024, partially offset by a net unfavorable year-over-year impact of foreign exchange gains and losses. Refer to “Note 11: Income Taxes” within Item 1 of this Form 10-Q for additional information on the indemnity receivable and the offsetting impacts to Income tax expense.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Other income (expense), net of $0.5 billion for the nine months ended September 30, 2024 compared to the nine months ended September 30, 2023 was primarily due to a $0.9 billion charge during the second quarter of 2024 related to the Resolution of Certain Legal Matters, the absence of a gain on the sale of land during the first quarter of 2023, and the reversal of certain tax related indemnity receivables associated with the conclusion of the examination phase of certain tax audits in the first quarter of 2024. The above items were partially offset by a $0.4 billion gain on the sale of Raytheon’s CIS business, net of transaction costs, in the first quarter of 2024 and a $0.2 billion benefit from a tax related indemnity receivable recorded in the third quarter of 2024. Refer to “Note 11: Income Taxes” within Item 1 of this Form 10-Q for additional information on the indemnity receivable and the offsetting impacts to Income tax expense.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 (Loss)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Pr>
          <w:p>
            <w:pPr>
              <w:spacing w:after="0"/>
              <w:rPr>
                <w:sz w:val="16"/>
                <w:szCs w:val="16"/>
                <w:color w:val="auto"/>
              </w:rPr>
            </w:pPr>
          </w:p>
        </w:tc>
        <w:tc>
          <w:tcPr>
            <w:tcW w:w="310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2,028</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4,427</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(loss) margin</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Operating profit (loss) of $3.4 billion for the quarter ended September 30, 2024 compared to the quarter ended September 30, 2023 was primarily driven by the absence of the $2.9 billion of charges associated with the Powder Metal Matter recorded in the third quarter of 2023, the increased operating performance of our segments of approximately $0.4 billion, and a $0.2 billion benefit related to an indemnity receivable recorded in the third quarter of 2024. Refer to “Note 11: Income Taxes” within Item 1 of this Form 10-Q for additional information on the indemnity receivable and the offsetting impacts to Income tax expense.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Operating profit (loss) of $2.6 billion for the nine months ended September 30, 2024 compared to the nine months ended September 30, 2023 was primarily driven by the absence of the $2.9 billion of charges associated with the Powder Metal Matter in the third quarter of 2023. In addition, the increase in Operating profit was driven by the increased operating performance of our segments of approximately $1.0 billion, a $0.4 billion gain on sale of the CIS business recorded in the first quarter of 2024, net of transaction and other related costs, and a $0.2 billion benefit from a tax related indemnity receivable recorded in the third quarter of 2024. The above items were partially offset by a $0.9 billion charge in the second quarter of 2024 related to the Resolution of Certain Legal Matters, a $0.6 billion charge in the second quarter of 2024 related to the anticipated Raytheon Contract Termination, and the change in our FAS/CAS operating adjustment which is described below in “Segment Review.” Refer to “Note 11: Income Taxes” within Item 1 of this Form 10-Q for additional information on the indemnity receivable and the offsetting impacts to Income tax expense.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8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1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110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Non-service pension income of $0.1 billion and $0.2 billion for the quarter and nine months ended September 30, 2024 compared to the quarter and nine months ended September 30, 2023, respectively, were primarily driven by the decrease in the recognized actuarial net (gain) loss as a result of the merger of the remaining Raytheon Company qualified pension plans into the RTX Consolidated Pension Plan at December 31, 2023.</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90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548</w:t>
            </w:r>
          </w:p>
        </w:tc>
        <w:tc>
          <w:tcPr>
            <w:tcW w:w="11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1,456</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w:t>
            </w:r>
          </w:p>
        </w:tc>
        <w:tc>
          <w:tcPr>
            <w:tcW w:w="116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(75)</w:t>
            </w:r>
          </w:p>
        </w:tc>
        <w:tc>
          <w:tcPr>
            <w:tcW w:w="11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expense (income)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496</w:t>
            </w:r>
          </w:p>
        </w:tc>
        <w:tc>
          <w:tcPr>
            <w:tcW w:w="11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1,376</w:t>
            </w:r>
          </w:p>
        </w:tc>
        <w:tc>
          <w:tcPr>
            <w:tcW w:w="11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1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1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1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20" w:hanging="332"/>
        <w:spacing w:after="0" w:line="302" w:lineRule="auto"/>
        <w:tabs>
          <w:tab w:leader="none" w:pos="34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the gains or losses on assets associated with certain of our nonqualified deferred compensation and employee benefit plans, the gains or losses on liabilities associated with certain of our nonqualified deferred compensation plans, and non-operating dividend income.</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increased $0.1 billion in the quarter ended September 30, 2024 compared to the quarter ended September 30, 2023 primarily due to an increase in Interest expense as a result of long-term debt issuances in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increased $0.4 billion in the nine months ended September 30, 2024 compared to the nine months ended September 30, 2023 primarily due to an increase in Interest expense as a result of long-term debt issuances in 2023, partially offset by the reversal of interest accruals as a result of the conclusion of the examination phases of the RTX and Rockwell Collins tax audits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8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2"/>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200" w:type="dxa"/>
            <w:vAlign w:val="bottom"/>
            <w:tcBorders>
              <w:bottom w:val="single" w:sz="8" w:color="auto"/>
            </w:tcBorders>
            <w:gridSpan w:val="2"/>
            <w:shd w:val="clear" w:color="auto" w:fill="CCEEFF"/>
          </w:tcPr>
          <w:p>
            <w:pPr>
              <w:jc w:val="right"/>
              <w:ind w:right="3288"/>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0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rPr>
              <w:t>19.5 %</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17.5 %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the effective tax rate for the quarter ended September 30, 2024, as compared to the quarter ended September 30, 2023, is driven in part by the $2.9 billion Powder Metal Matter charge and the associated deferred tax benefit of $663 million recorded in the quarter ended September 30, 2023. Additionally, in the quarter ended September 30, 2024, the Company recorded a $138 million deferred tax benefit associated with legal entity reorganizations and a $56 million tax benefit in response to favorable U.S. Tax Court rulings issued to unrelated taxpayers, but with facts similar to ours. The nature of the tax item in the rulings is subject to a tax matters agreement entered into with Carrier and Otis in connection with the separation of those businesses in 2020, and therefore we recorded a pre-tax charge of $32 million for their respective indemnified amounts.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quarter ended September 30, 2024 also includes a $212 million tax charge related to U.S. federal income taxes now owed by the Company resulting from a favorable non-U.S. tax ruling Otis received in the quarter impacting pre-separation tax years. This tax ruling results in a reduction of U.S. foreign tax credits previously claimed by the Company in pre-separation tax years for which Otis must indemnify us. The Company currently expects to receive approximately $300 million from Otis in connection with the reduction to the foreign tax credits claimed and resulting indemnification obligation. The Company recorded a pre-tax benefit of $212 million representing a portion of the indemnity owed by Otis pursuant to the tax matters agreement and will record the remaining amount owed upon receipt. Additionally, the Company is indemnified for associated interest of $31 million as of September 30, 2024.</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items described above, the effective tax rate for the nine months ended September 30, 2024 also includes a $275 million tax benefit recognized in the first quarter of 2024 resulting from the conclusion of the examination phases of the U.S. federal income tax audits for RTX 2017 and 2018 tax years and Rockwell Collins 2016, 2017, and 2018 tax years, a $143 million tax cost associated with the sale of the CIS business, and the effective tax rate impact of the $918 million charge associated with the Resolution of Certain Legal Matters accrued during the second quarter of 2024 where no tax benefit has been recorded.</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(Loss) Attributable to Common Shareowners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shareowners</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11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3,292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1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2.45</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September 30, 2024 includes the following:</w:t>
      </w:r>
    </w:p>
    <w:p>
      <w:pPr>
        <w:spacing w:after="0" w:line="27" w:lineRule="exact"/>
        <w:rPr>
          <w:sz w:val="20"/>
          <w:szCs w:val="20"/>
          <w:color w:val="auto"/>
        </w:rPr>
      </w:pP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$0.4 billion, net of tax, which had an unfavorable impact on diluted earnings (loss) per share (EPS) of $0.31.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common shareowners for the quarter ended September 30, 2023 includes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associated with the Powder Metal Matter of $2.2 billion, net of tax and partner share, which had an unfavorable impact on diluted EPS of $1.53; and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$0.4 billion, net of tax, which had an unfavorable impact on diluted EPS of $0.28.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nine months ended September 30, 2024 includes the following:</w:t>
      </w:r>
    </w:p>
    <w:p>
      <w:pPr>
        <w:spacing w:after="0" w:line="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$1.2 billion, net of tax, which had an unfavorable impact on diluted EPS of $0.89;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related to the Resolution of Certain Legal Matters of $0.9 billion, which had an unfavorable impact on diluted EPS of $0.68;</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$0.4 billion, net of tax, related to the anticipated Raytheon Contract Termination, which had an unfavorable impact on diluted EPS of $0.33;</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recognized as a result of the conclusion of the examination phases of the RTX and Rockwell Collins tax audits of $0.3 billion, net of tax, which had a favorable impact on diluted EPS of $0.21;</w:t>
      </w: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sale of the CIS business, net of transaction and other related costs, of $0.2 billion, net of tax, which had a favorable impact on diluted EPS of $0.18; and</w:t>
      </w: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initiating alternative titanium sources at our Collins segment of $0.2 billion, which had an unfavorable impact on diluted EPS of $0.13.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nine months ended September 30, 2023 includes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associated with the Powder Metal Matter of $2.2 billion, net of tax and partner share, which had an unfavorable impact on diluted EPS of $1.52;</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$1.2 billion, net of tax, which had an unfavorable impact on diluted EPS of $0.80;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on our contract assets and customer financing assets related to a customer insolvency of $0.1 billion, net of tax and noncontrolling interest, which had an unfavorable impact on diluted EPS of $0.08.</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results exclude certain acquisition accounting adjustments, the FAS/CAS operating adjustment, and certain corporate expenses, as further discussed below.</w:t>
      </w:r>
    </w:p>
    <w:p>
      <w:pPr>
        <w:spacing w:after="0" w:line="7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Given the nature of our business, we believe that total net sales and operating profit (loss) (and the related operating profit (loss) margin percentage), which we disclose and discuss at the segment level, are most relevant to an understanding of management’s view of our segment performance, as described below.</w:t>
      </w:r>
    </w:p>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 organic change in Net sales and Operating profit (loss)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7,075</w:t>
            </w:r>
          </w:p>
        </w:tc>
        <w:tc>
          <w:tcPr>
            <w:tcW w:w="10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20,747</w:t>
            </w:r>
          </w:p>
        </w:tc>
        <w:tc>
          <w:tcPr>
            <w:tcW w:w="11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19,133</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(2)</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7,239</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20,497</w:t>
            </w:r>
          </w:p>
        </w:tc>
        <w:tc>
          <w:tcPr>
            <w:tcW w:w="1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11,857</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6,386</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19,556</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19,464</w:t>
            </w:r>
          </w:p>
        </w:tc>
        <w:tc>
          <w:tcPr>
            <w:tcW w:w="0" w:type="dxa"/>
            <w:vAlign w:val="bottom"/>
          </w:tcPr>
          <w:p>
            <w:pPr>
              <w:spacing w:after="0"/>
              <w:rPr>
                <w:sz w:val="1"/>
                <w:szCs w:val="1"/>
                <w:color w:val="auto"/>
              </w:rPr>
            </w:pPr>
          </w:p>
        </w:tc>
      </w:tr>
      <w:tr>
        <w:trPr>
          <w:trHeight w:val="223"/>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20,700</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60,800</w:t>
            </w:r>
          </w:p>
        </w:tc>
        <w:tc>
          <w:tcPr>
            <w:tcW w:w="1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50,454</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20,089</w:t>
            </w:r>
          </w:p>
        </w:tc>
        <w:tc>
          <w:tcPr>
            <w:tcW w:w="10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59,115</w:t>
            </w:r>
          </w:p>
        </w:tc>
        <w:tc>
          <w:tcPr>
            <w:tcW w:w="11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48,993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includes the impacts of the Powder Metal Matter.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Profit (Loss). </w:t>
      </w:r>
      <w:r>
        <w:rPr>
          <w:rFonts w:ascii="Times New Roman" w:cs="Times New Roman" w:eastAsia="Times New Roman" w:hAnsi="Times New Roman"/>
          <w:sz w:val="18"/>
          <w:szCs w:val="18"/>
          <w:color w:val="auto"/>
        </w:rPr>
        <w:t>Operating profit (loss) by segment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74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1,062</w:t>
            </w:r>
          </w:p>
        </w:tc>
        <w:tc>
          <w:tcPr>
            <w:tcW w:w="10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3,029</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557</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1,511</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(3)</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647</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1,770</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2,266</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6,310</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(4)</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636</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4,427</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includes the impacts of the Powder Metal Matter.</w:t>
      </w:r>
    </w:p>
    <w:p>
      <w:pPr>
        <w:spacing w:after="0" w:line="11"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3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$0.6 billion charge in the second quarter of 2024 related to the anticipated Raytheon Contract Termination and a $0.4 billion gain, net of transaction and other related costs, in the first quarter of 2024 related to the sale of our CIS business. See “Note 5: Changes in Contract Estimates at Completion” and “Note 2: Acquisitions and Dispositions” within Item 1 of this Form 10-Q, respectively, for additional information.</w:t>
      </w:r>
    </w:p>
    <w:p>
      <w:pPr>
        <w:spacing w:after="0" w:line="1" w:lineRule="exact"/>
        <w:rPr>
          <w:rFonts w:ascii="Times New Roman" w:cs="Times New Roman" w:eastAsia="Times New Roman" w:hAnsi="Times New Roman"/>
          <w:sz w:val="14"/>
          <w:szCs w:val="14"/>
          <w:color w:val="auto"/>
        </w:rPr>
      </w:pPr>
    </w:p>
    <w:p>
      <w:pPr>
        <w:ind w:left="340" w:hanging="332"/>
        <w:spacing w:after="0" w:line="263" w:lineRule="auto"/>
        <w:tabs>
          <w:tab w:leader="none" w:pos="37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Resolution of Certain Legal Matters. See “Note 1: Basis of Presentation” within Item 1 of this Form 10-Q for additional information.</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segment Operating profit (loss)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aggregate EAC adjustments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80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260</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803</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unfavorable</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(526)</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EAC adjustments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1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(279)</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net EAC adjustments of $0.2 billion in the quarter ended September 30, 2024 compared to the quarter ended September 30, 2023 was primarily due to the absence of a $0.1 billion unfavorable impact recorded at Pratt &amp; Whitney in the third quarter of 2023 as a result of increased cost to our aftermarket contracts resulting from the Powder Metal Matter.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net EAC adjustments of $0.1 billion in the nine months ended September 30, 2024 compared to the nine months ended September 30, 2023 was primarily due to favorable changes in net EAC adjustments at Pratt &amp; Whitney, as discussed above, and Raytheon, partially offset by unfavorable changes in net EAC adjustments at Collins.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second quarter of 2024, Raytheon initiated the termination of a fixed price development contract with a foreign customer. As a result of this action, Raytheon recognized a $0.6 billion charge related to the estimated impact of this termination. This charge includes the write-off of remaining contract assets and our best estimate of the expected settlement in conjunction with this termination.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EAC adjustments, when they occur, are discussed in each business segment’s discussion below.</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Backlog and Bookings. </w:t>
      </w:r>
      <w:r>
        <w:rPr>
          <w:rFonts w:ascii="Times New Roman" w:cs="Times New Roman" w:eastAsia="Times New Roman" w:hAnsi="Times New Roman"/>
          <w:sz w:val="18"/>
          <w:szCs w:val="18"/>
          <w:color w:val="auto"/>
        </w:rPr>
        <w:t>Total backlog was $221 billion and $196 billion as of September 30, 2024 and December 31, 2023, respectively. Total backlog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commercial backlog of $131 billion and $118 billion as of September 30, 2024 and December 31, 2023, respectively, and defense backlog of $90 billion and $78 billion as of September 30, 2024 and December 31, 2023, respectively. In the quarter ended March 31, 2024, Raytheon backlog was reduced by $1.1 billion as a result of the sale of the CIS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bookings are an important measure of future performance for our defense businesses. Our defense operations consist primarily of our Raytheon business and operations in the defense businesses within our Collins and Pratt &amp; Whitney segments. Defense bookings were approximately $25 billion and $12 billion for the quarters ended September 30, 2024 and 2023, respectively, and approximately $47 billion and $37 billion for the nine months ended September 30, 2024 and 2023, respectively.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vMerge w:val="continue"/>
          </w:tcPr>
          <w:p>
            <w:pPr>
              <w:spacing w:after="0"/>
              <w:rPr>
                <w:sz w:val="15"/>
                <w:szCs w:val="15"/>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6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7,075</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6,629</w:t>
            </w:r>
          </w:p>
        </w:tc>
        <w:tc>
          <w:tcPr>
            <w:tcW w:w="118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 xml:space="preserve">7 %  </w:t>
            </w: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20,747</w:t>
            </w:r>
          </w:p>
        </w:tc>
        <w:tc>
          <w:tcPr>
            <w:tcW w:w="5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19,133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1,062</w:t>
            </w:r>
          </w:p>
        </w:tc>
        <w:tc>
          <w:tcPr>
            <w:tcW w:w="280" w:type="dxa"/>
            <w:vAlign w:val="bottom"/>
          </w:tcPr>
          <w:p>
            <w:pPr>
              <w:spacing w:after="0"/>
              <w:rPr>
                <w:sz w:val="19"/>
                <w:szCs w:val="19"/>
                <w:color w:val="auto"/>
              </w:rPr>
            </w:pPr>
          </w:p>
        </w:tc>
        <w:tc>
          <w:tcPr>
            <w:tcW w:w="15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903</w:t>
            </w:r>
          </w:p>
        </w:tc>
        <w:tc>
          <w:tcPr>
            <w:tcW w:w="118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18 %</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3,029</w:t>
            </w:r>
          </w:p>
        </w:tc>
        <w:tc>
          <w:tcPr>
            <w:tcW w:w="520" w:type="dxa"/>
            <w:vAlign w:val="bottom"/>
          </w:tcPr>
          <w:p>
            <w:pPr>
              <w:spacing w:after="0"/>
              <w:rPr>
                <w:sz w:val="19"/>
                <w:szCs w:val="19"/>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2,699</w:t>
            </w: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15.0 %</w:t>
            </w: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13.6 %</w:t>
            </w: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14.6 %</w:t>
            </w:r>
          </w:p>
        </w:tc>
        <w:tc>
          <w:tcPr>
            <w:tcW w:w="5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14.1 %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tcPr>
          <w:p>
            <w:pPr>
              <w:spacing w:after="0"/>
              <w:rPr>
                <w:sz w:val="24"/>
                <w:szCs w:val="24"/>
                <w:color w:val="auto"/>
              </w:rPr>
            </w:pPr>
          </w:p>
        </w:tc>
        <w:tc>
          <w:tcPr>
            <w:tcW w:w="7220" w:type="dxa"/>
            <w:vAlign w:val="bottom"/>
            <w:gridSpan w:val="8"/>
          </w:tcPr>
          <w:p>
            <w:pPr>
              <w:jc w:val="right"/>
              <w:ind w:right="379"/>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2024 Compared with Quarter Ended September 30, 2023</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580" w:type="dxa"/>
            <w:vAlign w:val="bottom"/>
          </w:tcPr>
          <w:p>
            <w:pPr>
              <w:jc w:val="center"/>
              <w:ind w:right="37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180" w:type="dxa"/>
            <w:vAlign w:val="bottom"/>
          </w:tcPr>
          <w:p>
            <w:pPr>
              <w:jc w:val="right"/>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60" w:type="dxa"/>
            <w:vAlign w:val="bottom"/>
          </w:tcPr>
          <w:p>
            <w:pPr>
              <w:spacing w:after="0"/>
              <w:rPr>
                <w:sz w:val="11"/>
                <w:szCs w:val="11"/>
                <w:color w:val="auto"/>
              </w:rPr>
            </w:pPr>
          </w:p>
        </w:tc>
        <w:tc>
          <w:tcPr>
            <w:tcW w:w="5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1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446</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159</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$0.4 billion in the quarter ended September 30, 2024 compared to the quarter ended September 30, 2023 primarily relates to higher defense sales of $0.3 billion due to higher volume across multiple programs and higher commercial aerospace aftermarket sales of $0.2 billion principally driven by continued growth in commercial air traffic, which has resulted in an increase in flight hours and increased volume. This increase was partially offset by lower commercial aerospace OEM sales of $0.1 billion driven by lower volume on certain narrowbody aircraft.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net sales in the quarter ended September 30, 2024 compared to the quarter ended September 30, 2023 was primarily due to the absence of a $0.1 billion charge related to a litigation matter in the third quarter of 2023.</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quarter ended September 30, 2024 compared to the quarter ended September 30, 2023 was primarily due to higher defense operating profit of $0.1 billion, principally driven by the higher sales volume discussed above. Commercial aerospace operating profit in the quarter ended September 30, 2024 compared to the quarter ended September 30, 2023 was relatively flat as higher commercial aftermarket volume was offset by the lower commercial OEM volume discussed above and unfavorable OEM mix. The organic operating profit increase was also partially offset by higher research and development costs.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Other operating profit in the quarter ended September 30, 2024 compared to the quarter ended September 30, 2023 was primarily due to the absence of a charge related to the litigation matter discussed above.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with Nine Months Ended September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560" w:type="dxa"/>
            <w:vAlign w:val="bottom"/>
          </w:tcPr>
          <w:p>
            <w:pPr>
              <w:jc w:val="center"/>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net sales increase of $1.6 billion in the nine months ended September 30, 2024 compared to the nine months ended September 30, 2023 primarily relates to higher commercial aerospace aftermarket sales of $0.8 billion, higher defense sales of $0.5 billion, and higher commercial aerospace OEM sales of $0.2 billion. The increase in commercial aerospace sales was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principally driven by continued growth in commercial air traffic, which has resulted in an increase in flight hours and increased volume. The defense sales increase was primarily due to higher volume across multiple programs.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net sales in the nine months ended September 30, 2024 compared to the nine months ended September 30, 2023 was primarily due to the absence of a $0.1 billion charge related to a litigation matter in the third quarter of 2023.</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$0.5 billion in the nine months ended September 30, 2024 compared to the nine months ended September 30, 2023 was primarily due to higher commercial aerospace operating profit of $0.4 billion, principally driven by the higher aftermarket and OEM sales volume discussed above, partially offset by unfavorable OEM mix. Defense operating profit increased $0.1 billion in the nine months ended September 30, 2024 compared to the nine months ended September 30, 2023 due to the higher volume discussed above, partially offset by higher space program costs. The above increases were partially offset by $0.1 billion of higher research and development costs.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operating profit of $0.2 billion in the nine months ended September 30, 2024 compared to the nine months ended September 30, 2023 was primarily driven by $0.2 billion of charges in the first quarter of 2024, primarily related to the recognition of unfavorable purchase commitments and an impairment of contract fulfillment costs that are no longer recoverable as a result of initiating alternative titanium sources, partially offset by the absence of a charge related to the litigation matter discussed above. See “Note 1: Basis of Presentation” within Item 1 of this Form 10-Q for additional information on Russia sanctions.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quarter ended September 30, 2024, Collins booked $470 million for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Aviation Administration air traffic control automation system sustainment. In addition to these bookings, in the nine months ended September 30, 2024, Collins booked $1.9 billion to support the U.S. Air Force’s next-generation Survivable Airborne Operations Center and $254 million for F-35 landing gear Lots 18 and 19.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5"/>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7,239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926</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682 %  </w:t>
            </w: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20,497</w:t>
            </w: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11,857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557</w:t>
            </w:r>
          </w:p>
        </w:tc>
        <w:tc>
          <w:tcPr>
            <w:tcW w:w="300" w:type="dxa"/>
            <w:vAlign w:val="bottom"/>
          </w:tcPr>
          <w:p>
            <w:pPr>
              <w:spacing w:after="0"/>
              <w:rPr>
                <w:sz w:val="19"/>
                <w:szCs w:val="19"/>
                <w:color w:val="auto"/>
              </w:rPr>
            </w:pPr>
          </w:p>
        </w:tc>
        <w:tc>
          <w:tcPr>
            <w:tcW w:w="122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(2,482)</w:t>
            </w: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NM</w:t>
            </w: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1,511</w:t>
            </w:r>
          </w:p>
        </w:tc>
        <w:tc>
          <w:tcPr>
            <w:tcW w:w="420" w:type="dxa"/>
            <w:vAlign w:val="bottom"/>
          </w:tcPr>
          <w:p>
            <w:pPr>
              <w:spacing w:after="0"/>
              <w:rPr>
                <w:sz w:val="19"/>
                <w:szCs w:val="19"/>
                <w:color w:val="auto"/>
              </w:rPr>
            </w:pP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(1,837)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 margins</w:t>
            </w:r>
          </w:p>
        </w:tc>
        <w:tc>
          <w:tcPr>
            <w:tcW w:w="13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7.7 %</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right="58"/>
              <w:spacing w:after="0"/>
              <w:rPr>
                <w:sz w:val="20"/>
                <w:szCs w:val="20"/>
                <w:color w:val="auto"/>
              </w:rPr>
            </w:pPr>
            <w:r>
              <w:rPr>
                <w:rFonts w:ascii="Times New Roman" w:cs="Times New Roman" w:eastAsia="Times New Roman" w:hAnsi="Times New Roman"/>
                <w:sz w:val="18"/>
                <w:szCs w:val="18"/>
                <w:color w:val="auto"/>
              </w:rPr>
              <w:t>(268.0)%</w:t>
            </w:r>
          </w:p>
        </w:tc>
        <w:tc>
          <w:tcPr>
            <w:tcW w:w="8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6900" w:type="dxa"/>
            <w:vAlign w:val="bottom"/>
            <w:gridSpan w:val="11"/>
          </w:tcPr>
          <w:p>
            <w:pPr>
              <w:jc w:val="right"/>
              <w:ind w:right="279"/>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2024 Compared with Quarter Ended September 30, 2023</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1"/>
                <w:szCs w:val="11"/>
                <w:color w:val="auto"/>
              </w:rPr>
            </w:pPr>
          </w:p>
        </w:tc>
        <w:tc>
          <w:tcPr>
            <w:tcW w:w="122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320" w:type="dxa"/>
            <w:vAlign w:val="bottom"/>
            <w:gridSpan w:val="3"/>
          </w:tcPr>
          <w:p>
            <w:pPr>
              <w:jc w:val="center"/>
              <w:ind w:left="339"/>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8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3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32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0" w:type="dxa"/>
            <w:vAlign w:val="bottom"/>
          </w:tcPr>
          <w:p>
            <w:pPr>
              <w:spacing w:after="0"/>
              <w:rPr>
                <w:sz w:val="1"/>
                <w:szCs w:val="1"/>
                <w:color w:val="auto"/>
              </w:rPr>
            </w:pPr>
          </w:p>
        </w:tc>
      </w:tr>
      <w:tr>
        <w:trPr>
          <w:trHeight w:val="23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$0.9 billion in the quarter ended September 30, 2024, compared to the quarter ended September 30, 2023, reflects higher commercial aftermarket sales of $0.4 billion, primarily driven by higher volume. The increase also includes higher commercial OEM sales of $0.1 billion, primarily driven by favorable mix within large commercial engines. Military sales were up $0.4 billion primarily driven by higher sustainment volume across multiple platforms and higher F135 development volume.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net sales increase of $5.4 billion in the quarter ended September 30, 2024, compared to the quarter ended September 30, 2023 reflects the absence of a charge recognized in the third quarter of 2023 related to the Powder Metal Matter.</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operating profit increase of $0.2 billion in the quarter ended September 30, 2024, compared to the quarter ended September 30, 2023 reflects higher commercial aerospace aftermarket operating profit of $0.1 billion, driven by the commercial aftermarket sales volume discussed above, while the favorable OEM mix and benefit of lower volume was offset by higher production costs. The increase in military operating profit was $0.1 billion, driven by the sales volume discussed above.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operating profit increase of $2.9 billion in the quarter ended September 30, 2024, compared to the quarter ended September 30, 2023, reflects the absence of a charge recognized in the third quarter of 2023 related to the Powder Metal Matter.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with Nine Months Ended September 30,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1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260" w:type="dxa"/>
            <w:vAlign w:val="bottom"/>
          </w:tcPr>
          <w:p>
            <w:pPr>
              <w:jc w:val="center"/>
              <w:ind w:right="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300" w:type="dxa"/>
            <w:vAlign w:val="bottom"/>
          </w:tcPr>
          <w:p>
            <w:pPr>
              <w:spacing w:after="0"/>
              <w:rPr>
                <w:sz w:val="11"/>
                <w:szCs w:val="11"/>
                <w:color w:val="auto"/>
              </w:rPr>
            </w:pPr>
          </w:p>
        </w:tc>
        <w:tc>
          <w:tcPr>
            <w:tcW w:w="124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420" w:type="dxa"/>
            <w:vAlign w:val="bottom"/>
          </w:tcPr>
          <w:p>
            <w:pPr>
              <w:spacing w:after="0"/>
              <w:rPr>
                <w:sz w:val="11"/>
                <w:szCs w:val="11"/>
                <w:color w:val="auto"/>
              </w:rPr>
            </w:pP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3,231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5,409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3,070</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net sales increase of $3.2 billion in the nine months ended September 30, 2024, compared to the nine months ended September 30, 2023 reflects higher commercial OEM sales of $1.2 billion primarily driven by favorable mix on higher volume and higher commercial aftermarket sales of $1.0 billion primarily driven by higher volume. Military sales increased $1.0 billion, primarily due to higher sustainment volume across multiple platforms.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net sales increase of $5.4 billion in the nine months ended September 30, 2024, compared to the nine months ended September 30, 2023 primarily relates to the absence of a charge recognized in the third quarter of 2023 related to the Powder Metal Matter.</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organic operating profit increase of $0.3 billion in the nine months ended September 30, 2024, compared to the nine months ended September 30, 2023 reflects higher commercial aerospace operating profit of $0.2 billion as the benefit from favorable large commercial OEM mix and higher commercial aftermarket volume was partially offset by the unfavorable impact from higher large commercial OEM volume, higher production costs, as well as, the absence of two favorable contract matters totaling approximately $0.1 billion during the nine months ended September 30, 2023. Additionally, the increase in military operating profit of $0.2 billion, driven by the higher sales volume discussed above, as well as favorable mix, was partially offset by higher production costs. The increases described above were also partially offset by higher research and development and selling, general and administrative expenses of $0.1 billion.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operating profit of $3.1 billion in the nine months ended September 30, 2024, compared to in the nine months ended September 30, 2023, primarily relates to the absence of a $2.9 billion charge recognized in the third quarter of 2023 related to the Powder Metal Matter and the absence of a $0.2 billion charge related to a customer insolvency during the second quarter of 2023.</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quarter ended September 30, 2024, Pratt &amp; Whitney booked $2.3 billion for F117,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billion for F135 Engine Core Upgrade development and $455 million for F135 sustainment. In addition to these bookings, in the nine months ended September 30, 2024, Pratt &amp; Whitney booked $381 million for F135 sustainment and $302 million for F135 production.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6,386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6,472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19,556</w:t>
            </w:r>
          </w:p>
        </w:tc>
        <w:tc>
          <w:tcPr>
            <w:tcW w:w="4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19,464</w:t>
            </w:r>
          </w:p>
        </w:tc>
        <w:tc>
          <w:tcPr>
            <w:tcW w:w="1160" w:type="dxa"/>
            <w:vAlign w:val="bottom"/>
            <w:gridSpan w:val="2"/>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647</w:t>
            </w:r>
          </w:p>
        </w:tc>
        <w:tc>
          <w:tcPr>
            <w:tcW w:w="260" w:type="dxa"/>
            <w:vAlign w:val="bottom"/>
          </w:tcPr>
          <w:p>
            <w:pPr>
              <w:spacing w:after="0"/>
              <w:rPr>
                <w:sz w:val="19"/>
                <w:szCs w:val="19"/>
                <w:color w:val="auto"/>
              </w:rPr>
            </w:pPr>
          </w:p>
        </w:tc>
        <w:tc>
          <w:tcPr>
            <w:tcW w:w="128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560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1,770</w:t>
            </w:r>
          </w:p>
        </w:tc>
        <w:tc>
          <w:tcPr>
            <w:tcW w:w="46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1,775</w:t>
            </w:r>
          </w:p>
        </w:tc>
        <w:tc>
          <w:tcPr>
            <w:tcW w:w="1160" w:type="dxa"/>
            <w:vAlign w:val="bottom"/>
            <w:gridSpan w:val="2"/>
          </w:tcPr>
          <w:p>
            <w:pPr>
              <w:jc w:val="center"/>
              <w:ind w:left="655"/>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margins</w:t>
            </w: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8.7 %</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9.1 %</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9.1 %</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Defense Bookings</w:t>
            </w:r>
          </w:p>
        </w:tc>
        <w:tc>
          <w:tcPr>
            <w:tcW w:w="1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16,551</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7,442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29,701</w:t>
            </w:r>
          </w:p>
        </w:tc>
        <w:tc>
          <w:tcPr>
            <w:tcW w:w="4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22,750</w:t>
            </w:r>
          </w:p>
        </w:tc>
        <w:tc>
          <w:tcPr>
            <w:tcW w:w="114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160" w:type="dxa"/>
            <w:vAlign w:val="bottom"/>
            <w:gridSpan w:val="11"/>
          </w:tcPr>
          <w:p>
            <w:pPr>
              <w:jc w:val="right"/>
              <w:ind w:right="316"/>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2024 Compared with Quarter Ended September 30, 2023</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1"/>
                <w:szCs w:val="11"/>
                <w:color w:val="auto"/>
              </w:rPr>
            </w:pPr>
          </w:p>
        </w:tc>
        <w:tc>
          <w:tcPr>
            <w:tcW w:w="128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9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6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9"/>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net sales increase of $0.3 billion in the quarter ended September 30, 2024 compared to the quarter ended September 30, 2023 was primarily due to higher net sales of $0.4 billion from land and air defense systems programs driven by higher net sales on certain international Patriot programs, certain international National Advanced Surface-to-air Missile System (NASAMS) programs, and Counter-Unmanned Aircraft Systems (C-UAS) programs. Also contributing to the increases were higher net sales of $0.1 billion from advanced technology programs primarily driven by higher volume on classified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programs and on an advanced development program. These increases were partially offset by lower net sales of $0.2 billion from air and space defense systems programs primarily due to the completion of certain programs.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quarter ended September 30, 2024 compared to the quarter ended September 30, 2023 was driven by a favorable change in mix and other performance of approximately $40 million primarily due to increased production on international Patriot programs, an improvement in net EAC adjustments of approximately $30 million, and higher volume of approximately $30 million primarily driven by the net sales increases noted above. The change in net EAC adjustments was spread across numerous programs and included an unfavorable EAC adjustment of $53 million in the third quarter of 2024 related to cost increases on a classified program.</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in the quarter ended September 30, 2024 compared to the quarter ended September 30, 2023 primarily relates to the sale of the CIS business completed in the first quarter of 2024.</w:t>
      </w:r>
    </w:p>
    <w:p>
      <w:pPr>
        <w:spacing w:after="0" w:line="5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with Nine Months Ended September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ind w:right="26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660" w:type="dxa"/>
            <w:vAlign w:val="bottom"/>
          </w:tcPr>
          <w:p>
            <w:pPr>
              <w:jc w:val="center"/>
              <w:ind w:right="55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net sales increase of $1.0 billion in the nine months ended September 30, 2024 compared to the nine months ended September 30, 2023 was primarily driven by higher net sales of $1.0 billion from land and air defense systems programs driven by higher net sales on certain international Patriot programs, C-UAS programs, certain international NASAMS programs, and the Stinger program. Also contributing to the increases were higher net sales of $0.4 billion from advanced technology programs primarily driven by higher volume on classified programs and on an advanced development program. These increases were partially offset by lower net sales of $0.4 billion from air and space defense systems programs primarily due to the completion of certain programs, and the timing of a prior year program award.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$0.2 billion in the nine months ended September 30, 2024 compared to the nine months ended September 30, 2023 was due to an improvement in net EAC adjustments of approximately $110 million and higher volume of approximately $100 million primarily driven by the net sales increases noted above. The change in net EAC adjustments was spread across numerous programs and benefited from the absence of a $51 million unfavorable adjustment in the nine months ended September 30, 2023 related to significant contract options exercised, which was offset by a $53 million unfavorable EAC adjustment in the third quarter of 2024 related to cost increases on a classified program.</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in the nine months ended September 30, 2024 compared to the nine months ended September 30, 2023 primarily relates to the sale of the CIS business completed in the first quarter of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net sales and operating profit decreases of $0.1 billion and $0.2 billion, respectively in the nine months ended September 30, 2024 compared to the nine months ended September 30, 2023 were primarily due to an impact to net sales and operating profit of $0.1 billion and $0.6 billion, respectively, related to the anticipated Raytheon Contract Termination initiated in the second quarter of 2024, with the operating profit decrease partially offset by a $0.4 billion gain on the sale of the CIS business, net of transaction and other related costs, in the first quarter of 2024.</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Defense Backlog and Bookings </w:t>
      </w:r>
      <w:r>
        <w:rPr>
          <w:rFonts w:ascii="Times New Roman" w:cs="Times New Roman" w:eastAsia="Times New Roman" w:hAnsi="Times New Roman"/>
          <w:sz w:val="18"/>
          <w:szCs w:val="18"/>
          <w:color w:val="auto"/>
        </w:rPr>
        <w:t>– Backlog was $60 billion as of September 30, 2024 and $52 billion as of December 31, 2023. Included in the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was a $1.1 billion reduction related to the sale of the CIS business discussed above. In addition to a number of smaller bookings, in the quarter ended September 30, 2024, Raytheon booked $1.9 billion for low-rate initial production (LRIP) of Lower Tier Air and Missile Defense System (LTAMDS) for the U.S. Army and Poland, $1.3 billion to provide Standard Missile III (SM-3) to the U.S. Navy and international customers, $1.2 billion to provide Patriot Air Defense systems to Germany, $1.2 billion to provide advanced medium-range air-to-air missile (AMRAAM) to the U.S. Air Force and international customers, $737 million to provide AIM-9X Sidewinder short-range air-to-air missiles for the U.S. Navy, U.S. Air Force, and international customers, $599 million to provide Guidance Enhanced Missiles (GEM-T) for NATO Support and Procurement Agency (NSPA), $538 million to provide Javelin for the U.S. Army and international customers, $530 million to provide Patriot launchers for Poland, $526 million to provide Evolved SeaSparrow Missile (ESSM) for the U.S. Navy and international consortium partners, $479 million to provide GEM-T for an international customer, $473 million for Irst Capable Raptor Unrivaled Supremacy (ICARUS) production for the U. S. Air Force, $453 million to provide GEM-T for an international customer, $272 million for Standard Missile II (SM-2) provisioned items and ordered spares for the U.S. Navy,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$1.2 billion on a number of classified contracts. In addition to these bookings, in the nine months ended September 30, 2024, Raytheon booked $1.2 billion to provide Patriot Air Defense systems to Germany, $818 million to provide GEM-T for NSPA, $639 million to produce AN/SPY-6(V) radars for the U.S. Navy, $623 million to provide GEM-T for an international customer, $393 million to design and build the Landsat Next Instrument Suite (LandIS) for NASA, $282 million to provide NASAMS for Ukraine, $251 million to provide GEM-T for an international customer and $2.6 billion on a number of classified contracts.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Eliminations and other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operations.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expenses and other unallocated items consists of costs not considered part of management’s evaluation of reportable segment operating performance, including certain unallowable costs and reserves.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640" w:type="dxa"/>
            <w:vAlign w:val="bottom"/>
            <w:gridSpan w:val="3"/>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(611)</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(14)</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100</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net sales of $48 million in the quarter ended September 30, 2024 compared to the quarter ended September 30, 2023, was primarily due to an increase in intersegment eliminations, principally driven by Collins.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eliminations and other operating profit of $55 million in the quarter ended September 30, 2024 compared to the quarter ended September 30, 2023 was primarily due to the absence of the impact of an Internal Revenue Service (IRS) notice issued in September 2023 related to the research and experimental expenditures capitalization.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$0.2 billion in the quarter ended September 30, 2024 compared to the quarter ended September 30, 2023, was primarily due to a $0.2 billion benefit from a tax related indemnity receivable recorded in the third quarter of 2024. Refer to “Note 11: Income Taxes” within Item 1 of this Form 10-Q for additional information on the indemnity receivable and the offsetting impacts to Income tax expense.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2680" w:type="dxa"/>
            <w:vAlign w:val="bottom"/>
            <w:gridSpan w:val="3"/>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700" w:type="dxa"/>
            <w:vAlign w:val="bottom"/>
            <w:tcBorders>
              <w:top w:val="single" w:sz="8" w:color="auto"/>
              <w:bottom w:val="single" w:sz="8" w:color="auto"/>
            </w:tcBorders>
            <w:gridSpan w:val="3"/>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(1,685)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(55)</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(926)</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net sales of $0.2 billion in the nine months ended September 30, 2024 compared to the nine months ended September 30, 2023, was primarily due to an increase in intersegment eliminations, principally driven by Collins.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Eliminations and other operating profit in the nine months ended September 30, 2024 was relatively consistent with the nine months ended September 30,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$0.8 billion in the nine months ended September 30, 2024 compared to the nine months ended September 30, 2023, was primarily due to a $0.9 billion charge related to the Resolution of Certain Legal Matters recorded in the second quarter of 2024, partially offset by a $0.2 billion benefit from a tax related indemnity receivable recorded in the third quarter of 2024,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FAS requirements of U.S. GAAP and our pension and PRB expense under U.S. government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FAS/CAS operating adjustment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4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(34)</w:t>
            </w:r>
          </w:p>
        </w:tc>
        <w:tc>
          <w:tcPr>
            <w:tcW w:w="11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b w:val="1"/>
                <w:bCs w:val="1"/>
                <w:color w:val="auto"/>
                <w:w w:val="97"/>
              </w:rPr>
              <w:t>(103)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97"/>
              </w:rPr>
              <w:t>(110)</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1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244</w:t>
            </w: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8"/>
                <w:szCs w:val="18"/>
                <w:b w:val="1"/>
                <w:bCs w:val="1"/>
                <w:color w:val="auto"/>
                <w:w w:val="96"/>
              </w:rPr>
              <w:t>739</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35"/>
              <w:spacing w:after="0"/>
              <w:rPr>
                <w:sz w:val="20"/>
                <w:szCs w:val="20"/>
                <w:color w:val="auto"/>
              </w:rPr>
            </w:pPr>
            <w:r>
              <w:rPr>
                <w:rFonts w:ascii="Times New Roman" w:cs="Times New Roman" w:eastAsia="Times New Roman" w:hAnsi="Times New Roman"/>
                <w:sz w:val="18"/>
                <w:szCs w:val="18"/>
                <w:color w:val="auto"/>
                <w:w w:val="96"/>
              </w:rPr>
              <w:t>955</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210</w:t>
            </w:r>
          </w:p>
        </w:tc>
        <w:tc>
          <w:tcPr>
            <w:tcW w:w="11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center"/>
              <w:ind w:left="737"/>
              <w:spacing w:after="0"/>
              <w:rPr>
                <w:sz w:val="20"/>
                <w:szCs w:val="20"/>
                <w:color w:val="auto"/>
              </w:rPr>
            </w:pPr>
            <w:r>
              <w:rPr>
                <w:rFonts w:ascii="Times New Roman" w:cs="Times New Roman" w:eastAsia="Times New Roman" w:hAnsi="Times New Roman"/>
                <w:sz w:val="18"/>
                <w:szCs w:val="18"/>
                <w:b w:val="1"/>
                <w:bCs w:val="1"/>
                <w:color w:val="auto"/>
                <w:w w:val="96"/>
              </w:rPr>
              <w:t>636</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96"/>
              </w:rPr>
              <w:t>845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FAS/CAS operating adjustment of $0.1 billion and $0.2 billion in the quarter and nine months ended September 30, 2024 compared to the quarter and nine months ended September 30, 2023, respectively, were driven by a decrease in CAS expense, primarily due to the recognition of historical CAS gain/loss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 adjustment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customer contractual obligations related to acquired loss-making and</w:t>
            </w: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60</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contracts</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Acquisition accounting adjustments for the quarter and nine months ended September 30, 2024 were relatively consistent with the quarter and nine months ended September 30, 2023,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80" w:type="dxa"/>
            <w:vAlign w:val="bottom"/>
          </w:tcPr>
          <w:p>
            <w:pPr>
              <w:spacing w:after="0"/>
              <w:rPr>
                <w:sz w:val="16"/>
                <w:szCs w:val="16"/>
                <w:color w:val="auto"/>
              </w:rPr>
            </w:pPr>
          </w:p>
        </w:tc>
        <w:tc>
          <w:tcPr>
            <w:tcW w:w="16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5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6,682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6,587</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42,156</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43,827</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62,826</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61,410</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104,982</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105,237</w:t>
            </w:r>
          </w:p>
        </w:tc>
      </w:tr>
      <w:tr>
        <w:trPr>
          <w:trHeight w:val="237"/>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commercial paper markets, adequacy of available bank lines of credit, redemptions of debt, and the ability to attract long-term capital at satisfactory terms.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we had cash and cash equivalents of $6.7 billion, of which approximately 30% 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access global debt markets and the related cost of these borrowings depends on the strength of our credit rating and market conditions. Our S&amp;P Global credit rating remains at BBB+/negative, and our Moody’s Investors Service outlook is Baa1/negative. Though the Company expects to continue having adequate access to funds, declines in our credit ratings or Company outlook could result in higher borrowing costs.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a revolving credit agreement with various banks permitting aggregate borrowings of up to $5.0 billion, which expires in August 2028. As of September 30, 2024, there were no borrowings outstanding under this agreement.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September 30, 2024, our maximum commercial paper borrowing limit was $5.0 billion as the commercial paper is backed by our $5.0 billion revolving credit agreement. At September 30, 2024, we had no commercial paper borrowings outstanding.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repayments of long-term debt during the nine months ended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56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420" w:type="dxa"/>
            <w:vAlign w:val="bottom"/>
          </w:tcPr>
          <w:p>
            <w:pPr>
              <w:spacing w:after="0"/>
              <w:rPr>
                <w:sz w:val="13"/>
                <w:szCs w:val="13"/>
                <w:color w:val="auto"/>
              </w:rPr>
            </w:pPr>
          </w:p>
        </w:tc>
        <w:tc>
          <w:tcPr>
            <w:tcW w:w="22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vMerge w:val="continue"/>
          </w:tcPr>
          <w:p>
            <w:pPr>
              <w:spacing w:after="0"/>
              <w:rPr>
                <w:sz w:val="16"/>
                <w:szCs w:val="16"/>
                <w:color w:val="auto"/>
              </w:rPr>
            </w:pPr>
          </w:p>
        </w:tc>
        <w:tc>
          <w:tcPr>
            <w:tcW w:w="55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17, 2024</w:t>
            </w:r>
          </w:p>
        </w:tc>
        <w:tc>
          <w:tcPr>
            <w:tcW w:w="5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4, 2024</w:t>
            </w:r>
          </w:p>
        </w:tc>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6"/>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55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3.200% notes due 2024</w:t>
            </w: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existing universal shelf registration statement, which we filed with the SEC on September 22, 2022, for an indeterminate amount of debt and equity securities for future issuance, subject to our internal limitations on the amount of debt to be issued under this shelf registration statement.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voluntary supply chain finance (SCF) programs with global financial institutions which enables our suppliers, at their sole discretion, to sell their receivables from the Company to the financial institutions at a rate that leverages our credit rating, which might be beneficial to them. Our suppliers’ participation in the SCF programs does not impact or change our terms and conditions with those suppliers, and therefore, we have no economic interest in a supplier’s decision to participate in the programs. In addition, we do not pay for any of the costs of the programs incurred by those suppliers that choose to participate, and have no direct financial relationship with the financial institutions, as it relates to sales of receivables made by those suppliers. As such, the SCF programs do not impact our working capital, cash flows, or overall liquidity.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5,598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nine months ended September 30, 2024 included a $0.9 billion charge related to the Resolution of Certain Legal Matters and a $0.4 billion, net of tax, charge related to the anticipated Raytheon Contract Termination, both of which did not have a significant impact on cash flow in the period. These charges also had the effect of increasing Other accrued liabilities by $1.3 billion in the nine months ended September 30, 2024. Net income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included a $2.2 billion charge related to the Powder Metal Matter, net of tax, which had no effect on cash flow in that period. This charge also had the effect of increasing Other accrued liabilities by $2.8 billion in the nine months ended September 30, 2023. Excluding the impact of these charges, the $3.0 billion change in cash flows provided by operating activities in the nine months ended September 30, 2024, compared to the nine months ended September 30, 2023, was driven by a favorable impact from accounts receivable driven by increased sales volume and timing of collections, including the related impact of factoring as discussed below, a favorable change in accounts payable driven by timing of payments and an increase in material purchases, and lower tax payments year-over-year including a tax refund received in the second quarter of 2024. These favorable changes were partially offset by the net change in contract assets and contract liabilities due to the timing of collections, and a decrease in Other accrued liabilities due to utilization of the Powder Metal Matter accrual as a result of customer compensation.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third-parties to sell certain of its receivables, primarily related to customer facilitated programs. The activity in these agreements is generally dependent on underlying delivery volumes within our commercial OEM programs. During the nine months ended September 30, 2024, factoring activity resulted in an increase of approximately $0.9 billion in cash provided by operating activities, compared to an increase of approximately $0.4 billion in cash provided by operating activities during the nine months ended September 30, 2023. Factoring activity includes amounts factored on certain aerospace receivables at the customer’s request for which we may be compensated by the customer.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net tax payments of $0.6 billion and $1.3 billion in the nine months ended September 30, 2024 and 2023, respectively.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We currently estimate a full year 2024 cash impact related to the Powder Metal Matter of approximately $1.0 billion. Additionally, we currently estimate full year 2024 cash payments of approximately $1.0 billion related to the Resolution of Certain Legal Matters and approximately $0.5 billion for the Raytheon Contract Termination executed subsequent to September 30, 2024.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$1.3 billion change in cash flows used in investing activities in the nine months ended September 30, 2024, compared to the nine months ended September 30, 2023, was primarily related to the sale of our CIS business within our Raytheon segment for proceeds of approximately $1.3 billion in cash.</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we increased other intangible assets by $0.4 billion and $0.5 billion, respectively, primarily related to collaboration payment commitments made under our 2012 agreement to acquire Rolls-Royce’s collaboration interests in International Aero Engines AG (IAE) and exclusivity payments made on contractual commitments included within intangible assets.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(4,749)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commercial paper and other short-term and long-term debt, payment of dividends, and stock repurchases.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$2.8 billion change in cash flows used in financing activities in the nine months ended September 30, 2024, compared to the nine months ended September 30, 2023, was primarily driven by prior year long-term debt issuances of $3.0 billion, an increase in long-term debt repayments of $1.5 billion, and lower issuances of commercial paper, net, of $0.5 billion, partially offset by lower year-over-year share repurchases of $2.2 billion. Refer to “Note 9: Borrowings and Lines of Credit” within Item 1 of this Form 10-Q for additional information on debt issuances and repayments and commercial paper.</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2024, management had remaining authority to repurchase approximately $0.7 billion of our common stock under the October 21, 2023 share repurchase program. Under the 2023 program, shares may be purchased on the open market,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privately negotiated transactions, under accelerated share repurchase programs, and under plans complying with Rules 10b5-1 and 10b-18 under the Securities Exchange Act of 1934, as amended. We may also reacquire shares outside of the program in connection with the surrender of shares to cover taxes on vesting of restricted stock and as required under our employee savings plan. Our ability to repurchase shares is subject to applicable law.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repurchases, which include shares reacquired outside of our share repurchase program,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6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29"/>
        </w:trPr>
        <w:tc>
          <w:tcPr>
            <w:tcW w:w="62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Shares of common stock repurchased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136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2,587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w:t>
            </w:r>
          </w:p>
        </w:tc>
      </w:tr>
      <w:tr>
        <w:trPr>
          <w:trHeight w:val="230"/>
        </w:trPr>
        <w:tc>
          <w:tcPr>
            <w:tcW w:w="6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ASR Tranche 1 settlement - shares received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38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ASR Tranche 2 settlement - financing cash paid </w:t>
            </w:r>
            <w:r>
              <w:rPr>
                <w:rFonts w:ascii="Times New Roman" w:cs="Times New Roman" w:eastAsia="Times New Roman" w:hAnsi="Times New Roman"/>
                <w:sz w:val="23"/>
                <w:szCs w:val="23"/>
                <w:color w:val="auto"/>
                <w:vertAlign w:val="superscript"/>
              </w:rPr>
              <w:t>(2) (3)</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258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repurchased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394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2,587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29,397</w:t>
            </w:r>
          </w:p>
        </w:tc>
      </w:tr>
    </w:tbl>
    <w:p>
      <w:pPr>
        <w:spacing w:after="0" w:line="12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share repurchases that were settled in cash during the period.</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settlement of the ASR first and second tranches in the third quarter of 2024. Refer to “Note 17: Equity” within Item 1 of this Form 10-Q for additional information.</w:t>
      </w:r>
    </w:p>
    <w:p>
      <w:pPr>
        <w:spacing w:after="0" w:line="27" w:lineRule="exact"/>
        <w:rPr>
          <w:rFonts w:ascii="Times New Roman" w:cs="Times New Roman" w:eastAsia="Times New Roman" w:hAnsi="Times New Roman"/>
          <w:sz w:val="14"/>
          <w:szCs w:val="14"/>
          <w:color w:val="auto"/>
        </w:rPr>
      </w:pPr>
    </w:p>
    <w:p>
      <w:pPr>
        <w:ind w:left="340" w:right="20" w:hanging="332"/>
        <w:spacing w:after="0" w:line="283" w:lineRule="auto"/>
        <w:tabs>
          <w:tab w:leader="none" w:pos="34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change in fair value of the stock price from trade date to settlement date of $3 million, which is classified as an operating cash flow in our Condensed Consolidated Statement of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authorized the following cash dividends: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of common stock</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1.850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dividends paid</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2,415</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9, 2024, the Board of Directors declared a dividend of $0.63 per share payable December 12, 2024 to shareowners of record at the close of business on November 15, 2024.</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nine months ended September 30, 2024. For discussion of our exposure to market risk, refer to Part II, Item 7A, “Quantitative and Qualitative Disclosures About Market Risk,” contained in our 2023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we carried out an evaluation under the supervision and with the participation of our management, including the Chief Executive Officer (CEO), the Executive Vice President and Chief Financial Officer (CFO), and the Corporate Vice President and Controller (Controller), of the effectiveness of the design and operation of our disclosure controls and procedures as of September 30, 2024.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September 30, 2024,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 w:lineRule="exact"/>
        <w:rPr>
          <w:sz w:val="20"/>
          <w:szCs w:val="20"/>
          <w:color w:val="auto"/>
        </w:rPr>
      </w:pPr>
    </w:p>
    <w:p>
      <w:pPr>
        <w:ind w:left="660" w:right="24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economic, capital market, and political conditions in the U.S. and globally, such as from the global sanctions and export controls with respect to Russia, and any changes therein, and including changes related to financial market conditions, banking industry disruptions, fluctuations in commodity prices or supply (including energy supply), inflation, interest rates and foreign currency exchange rates, disruptions in global supply chain and labor markets, and geopolitical risks, including in the Middle East and Ukraine;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U.S. government sales, including changes or shifts in defense spending due to budgetary constraints, spending cuts resulting from sequestration, a continuing resolution, a government shutdown, the debt ceiling or measures taken to avoid default, or otherwise, the effect of the outcome of the November 2024 elections, and uncertain funding of programs;</w:t>
      </w:r>
    </w:p>
    <w:p>
      <w:pPr>
        <w:spacing w:after="0" w:line="1" w:lineRule="exact"/>
        <w:rPr>
          <w:rFonts w:ascii="Times New Roman" w:cs="Times New Roman" w:eastAsia="Times New Roman" w:hAnsi="Times New Roman"/>
          <w:sz w:val="18"/>
          <w:szCs w:val="18"/>
          <w:color w:val="auto"/>
        </w:rPr>
      </w:pPr>
    </w:p>
    <w:p>
      <w:pPr>
        <w:ind w:left="660" w:right="140" w:hanging="328"/>
        <w:spacing w:after="0"/>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performance on our contracts and programs, including our ability to control costs, and our inability to pass some or all of our costs on fixed price contracts to the customer, and risks related to our dependence on U.S. government approvals for international contracts, and risks related to any termination of these contracts or programs, including the outcome of such terminations and related payments;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production, delivery, support and performance of RTX advanced technologies and new products and services and the realization of the anticipated benefits (including our expected returns under customer contracts), as well as the challenges of operating in RTX’s highly-competitive industries;</w:t>
      </w:r>
    </w:p>
    <w:p>
      <w:pPr>
        <w:spacing w:after="0" w:line="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RTX’s reliance on U.S. and non-U.S. suppliers and commodity markets, including the effect of sanctions, delays, and disruptions in the delivery of materials and services to RTX or its suppliers and price increases;</w:t>
      </w: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 international operations from, among other things, changes in trade policies and implementation of sanctions, foreign currency fluctuations, economic conditions, political factors, sales methods, and U.S. or local government regulations;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aerospace industry;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RTX to attract, train, and retain qualified personnel and maintain its culture and high ethical standards, and the ability of our personnel to continue to operate our facilities and businesses around the world;</w:t>
      </w: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 and risks related to completion of announced divestitures;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RTX and its businesses operate;</w:t>
      </w:r>
    </w:p>
    <w:p>
      <w:pPr>
        <w:ind w:left="660" w:right="440" w:hanging="328"/>
        <w:spacing w:after="0" w:line="23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threatened, and future legal proceedings, investigations, and other contingencies, including those related to U.S. government audits and disputes and the potential for suspension or debarment of U.S. government contracting or export privileges as a result thereof;</w:t>
      </w: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impact RTX’s ability to engage in desirable capital-raising or strategic transactions, including its credit rating, capital structure, levels of indebtedness, and related obligations, capital expenditures, and research and development spending, and capital deployment strategy including with respect to share repurchases, and the availability of credit, borrowing costs, credit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timing and scope of future repurchases by RTX of its common stock, or declarations of cash dividends, which may be discontinued, accelerated, suspended, or delayed at any time due to various factors, including market conditions and the level of other investing activities and uses of cash;</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realizing expected benefits from, incurring costs for, and successfully managing strategic initiatives such as cost reduction, restructuring, digital transformation, and other operational initiatives;</w:t>
      </w: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additional tax exposures due to new tax legislation or other developments in the U.S. and other countries in which RTX and its businesses operate;</w:t>
      </w: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addressing the Powder Metal Matter, including, without limitation, the number and expected timing of shop visits, inspection results and scope of work to be performed, turnaround time, availability of parts, available capacity at overhaul facilities, outcomes of negotiations with impacted customers, and risks related to other engine models that may be impacted by the Powder Metal Matter, and in each case the timing and costs relating thereto, as well as other issues that could impact RTX product performance, including quality, reliability, or durability;</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volumes of one or more of our significant customers as a result of business, labor, or other challenges, and the resulting effect on its or their demand for our products and services;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 RTX product safety failure or other failure affecting RTX’s or its customers’ or suppliers’ products or systems;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including cyber-attacks on RTX’s information technology infrastructure, products, suppliers, customers and partners, and cybersecurity-related regulations;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intellectual property and certain third-party intellectual property;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to RTX facilities and personnel, as well as other events outside of RTX’s control such as public health crises, damaging weather, or other acts of nature;</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estimates for our programs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pension and other postretirement plan estimates and assumptions and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changing or new climate-related regulations, customer and market demands, products and technologies;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separation transactions and other internal restructurings as tax-free to us (formerly known as United Technologies Corporation (UTC)) and former UTC shareowners, in each case, for U.S. federal income tax purposes.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“Note 16: Commitments and Contingencies” within Item 1 of this Form 10-Q and “Management’s Discussion and Analysis of Financial Condition and Results of Operations” under the headings “Business Overview,”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“Results of Operations,” “Liquidity and Financial Condition,” “Critical Accounting Estimates,” and “Government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 regulations, for proceedings under environmental laws to which a government authority is a party and we reasonably believe such proceedings will result in monetary sanctions, we have adopted a disclosure threshold of $1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Enforcement Proceeding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Colorado Department of Public Health and Environment (CDPHE) issued a Notice of Violation/Cease and Desist Order (NOV/CDO) to Raytheon Company on January 31, 2023, alleging violations of a water discharge permit at a former Raytheon Company facility in Boulder, Colorado. On March 27, 2024, the CDPHE informed Raytheon Company that it is seeking a penalty in the amount of approximately $1 million in connection with the alleged violations and is requiring us to undertake a compliance program. Raytheon Company is contesting the alleged violations and the penalty demand, and has the right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appeal the NOV/CDO and any associated penalty. We do not expect liability related to this matter to have a material adverse impact on our results of operations, financial condition, or liquidity.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Commitments and Contingencies” within Item 1 of this Form 10-Q for a discussion regarding additional material legal proceedings.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2023 Annual Report on Form 10-K.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Item 1A in our 2023 Annual Report on Form 10-K (2023 Form 10-K). There have been no material changes from the factors disclosed in our 2023 Form 10-K, although we may disclose changes to such factors or disclose additional factors from time to time in our future filings with the Securities and Exchange Commission (SEC).</w:t>
      </w:r>
    </w:p>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Exchange Act during the quarter ended September 30,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2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800" w:type="dxa"/>
            <w:vAlign w:val="bottom"/>
          </w:tcPr>
          <w:p>
            <w:pPr>
              <w:spacing w:after="0"/>
              <w:rPr>
                <w:sz w:val="12"/>
                <w:szCs w:val="12"/>
                <w:color w:val="auto"/>
              </w:rPr>
            </w:pPr>
          </w:p>
        </w:tc>
        <w:tc>
          <w:tcPr>
            <w:tcW w:w="2260" w:type="dxa"/>
            <w:vAlign w:val="bottom"/>
            <w:vMerge w:val="restart"/>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82"/>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60" w:type="dxa"/>
            <w:vAlign w:val="bottom"/>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7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320" w:type="dxa"/>
            <w:vAlign w:val="bottom"/>
          </w:tcPr>
          <w:p>
            <w:pPr>
              <w:spacing w:after="0"/>
              <w:rPr>
                <w:sz w:val="12"/>
                <w:szCs w:val="12"/>
                <w:color w:val="auto"/>
              </w:rPr>
            </w:pPr>
          </w:p>
        </w:tc>
        <w:tc>
          <w:tcPr>
            <w:tcW w:w="16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8"/>
        </w:trPr>
        <w:tc>
          <w:tcPr>
            <w:tcW w:w="280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(000’s)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July 1 - July 31 </w:t>
            </w:r>
            <w:r>
              <w:rPr>
                <w:rFonts w:ascii="Times New Roman" w:cs="Times New Roman" w:eastAsia="Times New Roman" w:hAnsi="Times New Roman"/>
                <w:sz w:val="23"/>
                <w:szCs w:val="23"/>
                <w:color w:val="auto"/>
                <w:vertAlign w:val="superscript"/>
              </w:rPr>
              <w:t>(1)</w:t>
            </w:r>
          </w:p>
        </w:tc>
        <w:tc>
          <w:tcPr>
            <w:tcW w:w="2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106.81</w:t>
            </w:r>
          </w:p>
        </w:tc>
        <w:tc>
          <w:tcPr>
            <w:tcW w:w="2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22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19"/>
                <w:szCs w:val="19"/>
                <w:color w:val="auto"/>
              </w:rPr>
            </w:pPr>
          </w:p>
        </w:tc>
        <w:tc>
          <w:tcPr>
            <w:tcW w:w="17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118.90</w:t>
            </w:r>
          </w:p>
        </w:tc>
        <w:tc>
          <w:tcPr>
            <w:tcW w:w="22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September 1 - September 30 </w:t>
            </w:r>
            <w:r>
              <w:rPr>
                <w:rFonts w:ascii="Times New Roman" w:cs="Times New Roman" w:eastAsia="Times New Roman" w:hAnsi="Times New Roman"/>
                <w:sz w:val="23"/>
                <w:szCs w:val="23"/>
                <w:color w:val="auto"/>
                <w:vertAlign w:val="superscript"/>
              </w:rPr>
              <w:t>(2)</w:t>
            </w:r>
          </w:p>
        </w:tc>
        <w:tc>
          <w:tcPr>
            <w:tcW w:w="2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112.63</w:t>
            </w:r>
          </w:p>
        </w:tc>
        <w:tc>
          <w:tcPr>
            <w:tcW w:w="2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line="261" w:lineRule="auto"/>
        <w:tabs>
          <w:tab w:leader="none" w:pos="34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Number of Shares Purchased and Total Number of Shares Purchased as Part of a Publicly Announced Program include approximately 0.4 million shares received from the settlement of the first tranche of the accelerated share repurchase (ASR) agreement.</w:t>
      </w: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Dollar Value of Shares that May Yet Be Purchased Under the Program includes the cash settlement from the second tranche of the ASR agreement.</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24, 2023, we entered into accelerated share repurchase (ASR) agreements with certain financial institution counterparties to repurchase shares of our common stock for an aggregate purchase price of $10 billion. The ASR agreements provided for the repurchase of our common stock based on the average of the daily volume-weighted average prices of our common stock during the term of such ASR agreement, less a discount and subject to adjustments pursuant to the terms and conditions of the ASR agreement. Pursuant to the ASR agreements, we made aggregate payments of $10 billion on October 26, 2023, and received initial deliveries of approximately 108.4 million shares of our common stock at a price of $78.38 per share, which, on that date, represented approximately 85% of the shares expected to be repurchased. The aggregate purchase price was recorded as a reduction to Shareowners’ equity, consisting of an $8.5 billion increase in Treasury stock and a $1.5 billion decrease in Common stock.</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associated with the remaining portion of the aggregate purchase price have been settled over two tranches. In July 2024, the first tranche was settled upon final delivery to us of approximately 0.4 million shares of common stock. In September 2024, with respect to the second tranche, we owed approximately 2.2 million shares of common stock that we elected to cash settle for $261 million. The cash payment required as a result of the second tranche settlement was due to the significant increase in the price of our common stock during the ASR term. The final average price under the ASR was $94.28 per share.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reacquire shares outside of the program in connection with the surrender of shares to cover taxes on vesting of restricted stock and as required under our employee savings plan. Our ability to repurchase shares is subject to applicable law. During the quarter ended September 30, 2024, we repurchased 262 thousand shares outside of the program related to our employee savings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 director or “officer” (as defined in Rule 16a-1(f)) of the Company adopted or terminated a “Rule 10b5-1 trading arrangement” or “non-Rule 10b5-1 trading arrangement,” as each term is defined in Item 408(a) of Regulation S-K.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Letter re: unaudited interim financial information.*</w:t>
            </w:r>
          </w:p>
        </w:tc>
        <w:tc>
          <w:tcPr>
            <w:tcW w:w="6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20" w:type="dxa"/>
            <w:vAlign w:val="bottom"/>
            <w:tcBorders>
              <w:bottom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RTX CORPORATION</w:t>
      </w: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70"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Dated:</w:t>
        <w:tab/>
        <w:t>October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279"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Times New Roman" w:cs="Times New Roman" w:eastAsia="Times New Roman" w:hAnsi="Times New Roman"/>
          <w:sz w:val="18"/>
          <w:szCs w:val="18"/>
          <w:color w:val="auto"/>
        </w:rPr>
        <w:t>Dated:</w:t>
        <w:tab/>
        <w:t>October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22,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52" w:lineRule="exact"/>
        <w:rPr>
          <w:sz w:val="20"/>
          <w:szCs w:val="20"/>
          <w:color w:val="auto"/>
        </w:rPr>
      </w:pPr>
    </w:p>
    <w:p>
      <w:pPr>
        <w:ind w:right="740"/>
        <w:spacing w:after="0" w:line="250" w:lineRule="auto"/>
        <w:rPr>
          <w:sz w:val="20"/>
          <w:szCs w:val="20"/>
          <w:color w:val="auto"/>
        </w:rPr>
      </w:pPr>
      <w:r>
        <w:rPr>
          <w:rFonts w:ascii="Times New Roman" w:cs="Times New Roman" w:eastAsia="Times New Roman" w:hAnsi="Times New Roman"/>
          <w:sz w:val="18"/>
          <w:szCs w:val="18"/>
          <w:color w:val="auto"/>
        </w:rPr>
        <w:t>We are aware that our report dated October 22, 2024 on our review of interim financial information of RTX Corporation, which appears in this Quarterly Report on Form 10-Q, is incorporated by reference in the Registration Statements on Form S-3 (No. 333-267564) and S-8 (Nos. 333-273420, 333-273414, 333-234085, 333-228649, 333-225839, 333-197704, 333-175781, 333-150643, 333-125293, 333-110020, and 333-100724) of RTX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Calio, certify that:</w:t>
      </w:r>
    </w:p>
    <w:p>
      <w:pPr>
        <w:spacing w:after="0" w:line="171"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22, 2024</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CALIO</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Calio</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22, 2024</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22, 2024</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RTX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2024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as amended, and information contained in the Form 10-Q fairly presents, in all material respects, the financial condition and results of operations of the Corporation as of and for the periods presented in the Form 10-Q.</w:t>
      </w:r>
    </w:p>
    <w:p>
      <w:pPr>
        <w:sectPr>
          <w:pgSz w:w="11900" w:h="16838" w:orient="portrait"/>
          <w:cols w:equalWidth="0" w:num="1">
            <w:col w:w="11240"/>
          </w:cols>
          <w:pgMar w:left="320" w:top="887" w:right="339" w:bottom="1440" w:gutter="0" w:footer="0" w:header="0"/>
        </w:sectPr>
      </w:pPr>
    </w:p>
    <w:p>
      <w:pPr>
        <w:spacing w:after="0" w:line="36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22,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22,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22, 2024</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T.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T. Calio</w:t>
      </w:r>
    </w:p>
    <w:p>
      <w:pPr>
        <w:spacing w:after="0" w:line="27"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G. Mitchill,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L. Johnson</w:t>
      </w:r>
    </w:p>
    <w:p>
      <w:pPr>
        <w:spacing w:after="0" w:line="27"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7"/>
          <w:szCs w:val="17"/>
          <w:color w:val="auto"/>
        </w:rPr>
        <w:t>Corporate Vice President and Controller</w:t>
      </w:r>
    </w:p>
    <w:sectPr>
      <w:pgSz w:w="11900" w:h="16838" w:orient="portrait"/>
      <w:cols w:equalWidth="0" w:num="2">
        <w:col w:w="4380" w:space="720"/>
        <w:col w:w="61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amp;"/>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2024-10-22T16:24:17Z</dcterms:created>
  <dcterms:modified xsi:type="dcterms:W3CDTF">2024-10-22T16:24:17Z</dcterms:modified>
</cp:coreProperties>
</file>