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6" w:lineRule="exact"/>
        <w:rPr>
          <w:sz w:val="24"/>
          <w:szCs w:val="24"/>
          <w:color w:val="auto"/>
        </w:rPr>
      </w:pPr>
    </w:p>
    <w:p>
      <w:pPr>
        <w:ind w:left="680" w:right="20" w:hanging="641"/>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27"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502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r>
      <w:tr>
        <w:trPr>
          <w:trHeight w:val="380"/>
        </w:trPr>
        <w:tc>
          <w:tcPr>
            <w:tcW w:w="6400" w:type="dxa"/>
            <w:vAlign w:val="bottom"/>
            <w:gridSpan w:val="6"/>
          </w:tcPr>
          <w:p>
            <w:pPr>
              <w:jc w:val="center"/>
              <w:ind w:left="2865"/>
              <w:spacing w:after="0"/>
              <w:rPr>
                <w:sz w:val="20"/>
                <w:szCs w:val="20"/>
                <w:color w:val="auto"/>
              </w:rPr>
            </w:pPr>
            <w:r>
              <w:rPr>
                <w:rFonts w:ascii="Times New Roman" w:cs="Times New Roman" w:eastAsia="Times New Roman" w:hAnsi="Times New Roman"/>
                <w:sz w:val="18"/>
                <w:szCs w:val="18"/>
                <w:b w:val="1"/>
                <w:bCs w:val="1"/>
                <w:color w:val="auto"/>
              </w:rPr>
              <w:t>Commission file number 001-00812</w:t>
            </w: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6400" w:type="dxa"/>
            <w:vAlign w:val="bottom"/>
            <w:gridSpan w:val="6"/>
          </w:tcPr>
          <w:p>
            <w:pPr>
              <w:jc w:val="center"/>
              <w:ind w:left="2825"/>
              <w:spacing w:after="0"/>
              <w:rPr>
                <w:sz w:val="20"/>
                <w:szCs w:val="20"/>
                <w:color w:val="auto"/>
              </w:rPr>
            </w:pPr>
            <w:r>
              <w:rPr>
                <w:rFonts w:ascii="Times New Roman" w:cs="Times New Roman" w:eastAsia="Times New Roman" w:hAnsi="Times New Roman"/>
                <w:sz w:val="18"/>
                <w:szCs w:val="18"/>
                <w:color w:val="auto"/>
                <w:w w:val="99"/>
              </w:rPr>
              <w:t>____________________________________</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645"/>
        </w:trPr>
        <w:tc>
          <w:tcPr>
            <w:tcW w:w="8720" w:type="dxa"/>
            <w:vAlign w:val="bottom"/>
            <w:gridSpan w:val="8"/>
          </w:tcPr>
          <w:p>
            <w:pPr>
              <w:jc w:val="center"/>
              <w:ind w:left="565"/>
              <w:spacing w:after="0"/>
              <w:rPr>
                <w:sz w:val="20"/>
                <w:szCs w:val="20"/>
                <w:color w:val="auto"/>
              </w:rPr>
            </w:pPr>
            <w:r>
              <w:rPr>
                <w:rFonts w:ascii="Times New Roman" w:cs="Times New Roman" w:eastAsia="Times New Roman" w:hAnsi="Times New Roman"/>
                <w:sz w:val="43"/>
                <w:szCs w:val="43"/>
                <w:b w:val="1"/>
                <w:bCs w:val="1"/>
                <w:color w:val="auto"/>
                <w:w w:val="99"/>
              </w:rPr>
              <w:t>RTX CORPORATION</w:t>
            </w:r>
          </w:p>
        </w:tc>
      </w:tr>
      <w:tr>
        <w:trPr>
          <w:trHeight w:val="237"/>
        </w:trPr>
        <w:tc>
          <w:tcPr>
            <w:tcW w:w="6400" w:type="dxa"/>
            <w:vAlign w:val="bottom"/>
            <w:gridSpan w:val="6"/>
          </w:tcPr>
          <w:p>
            <w:pPr>
              <w:jc w:val="center"/>
              <w:ind w:left="288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188"/>
        </w:trPr>
        <w:tc>
          <w:tcPr>
            <w:tcW w:w="5980" w:type="dxa"/>
            <w:vAlign w:val="bottom"/>
            <w:gridSpan w:val="5"/>
          </w:tcPr>
          <w:p>
            <w:pPr>
              <w:jc w:val="center"/>
              <w:ind w:left="3265"/>
              <w:spacing w:after="0"/>
              <w:rPr>
                <w:sz w:val="20"/>
                <w:szCs w:val="20"/>
                <w:color w:val="auto"/>
              </w:rPr>
            </w:pPr>
            <w:r>
              <w:rPr>
                <w:rFonts w:ascii="Times New Roman" w:cs="Times New Roman" w:eastAsia="Times New Roman" w:hAnsi="Times New Roman"/>
                <w:sz w:val="14"/>
                <w:szCs w:val="14"/>
                <w:color w:val="auto"/>
              </w:rPr>
              <w:t>____________________________________</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5"/>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90"/>
        </w:trPr>
        <w:tc>
          <w:tcPr>
            <w:tcW w:w="41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71"/>
        </w:trPr>
        <w:tc>
          <w:tcPr>
            <w:tcW w:w="41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1000 Wilson Boulevard,</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3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22209</w:t>
            </w:r>
          </w:p>
        </w:tc>
      </w:tr>
      <w:tr>
        <w:trPr>
          <w:trHeight w:val="190"/>
        </w:trPr>
        <w:tc>
          <w:tcPr>
            <w:tcW w:w="5440" w:type="dxa"/>
            <w:vAlign w:val="bottom"/>
            <w:gridSpan w:val="3"/>
          </w:tcPr>
          <w:p>
            <w:pPr>
              <w:ind w:left="30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522-3000</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0"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9"/>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660" w:type="dxa"/>
            <w:vAlign w:val="bottom"/>
          </w:tcPr>
          <w:p>
            <w:pPr>
              <w:spacing w:after="0"/>
              <w:rPr>
                <w:sz w:val="20"/>
                <w:szCs w:val="20"/>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42"/>
        </w:trPr>
        <w:tc>
          <w:tcPr>
            <w:tcW w:w="29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2.150% Notes due 2030</w:t>
            </w:r>
          </w:p>
        </w:tc>
        <w:tc>
          <w:tcPr>
            <w:tcW w:w="660" w:type="dxa"/>
            <w:vAlign w:val="bottom"/>
          </w:tcPr>
          <w:p>
            <w:pPr>
              <w:spacing w:after="0"/>
              <w:rPr>
                <w:sz w:val="21"/>
                <w:szCs w:val="21"/>
                <w:color w:val="auto"/>
              </w:rPr>
            </w:pPr>
          </w:p>
        </w:tc>
        <w:tc>
          <w:tcPr>
            <w:tcW w:w="25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RTX 30</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190"/>
        </w:trPr>
        <w:tc>
          <w:tcPr>
            <w:tcW w:w="480" w:type="dxa"/>
            <w:vAlign w:val="bottom"/>
          </w:tcPr>
          <w:p>
            <w:pPr>
              <w:spacing w:after="0"/>
              <w:rPr>
                <w:sz w:val="16"/>
                <w:szCs w:val="16"/>
                <w:color w:val="auto"/>
              </w:rPr>
            </w:pPr>
          </w:p>
        </w:tc>
        <w:tc>
          <w:tcPr>
            <w:tcW w:w="250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340" w:type="dxa"/>
            <w:vAlign w:val="bottom"/>
          </w:tcPr>
          <w:p>
            <w:pPr>
              <w:spacing w:after="0"/>
              <w:rPr>
                <w:sz w:val="16"/>
                <w:szCs w:val="16"/>
                <w:color w:val="auto"/>
              </w:rPr>
            </w:pPr>
          </w:p>
        </w:tc>
      </w:tr>
    </w:tbl>
    <w:p>
      <w:pPr>
        <w:spacing w:after="0" w:line="34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6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7" w:lineRule="exact"/>
        <w:rPr>
          <w:sz w:val="24"/>
          <w:szCs w:val="24"/>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 and “emerging growth company” in Rule 12b-2 of the Exchange Act.</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2025, there were 1,338,541,827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June 30, 2025</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9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7640" w:type="dxa"/>
            <w:vAlign w:val="bottom"/>
            <w:gridSpan w:val="12"/>
          </w:tcPr>
          <w:p>
            <w:pPr>
              <w:spacing w:after="0"/>
              <w:rPr>
                <w:sz w:val="19"/>
                <w:szCs w:val="19"/>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7580" w:type="dxa"/>
            <w:vAlign w:val="bottom"/>
            <w:gridSpan w:val="11"/>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 of Operations for the quarters and six months ended June 30, 2025 and 2024</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quarters and six months ended June 30, 2025 and 2024</w:t>
            </w:r>
          </w:p>
        </w:tc>
        <w:tc>
          <w:tcPr>
            <w:tcW w:w="126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 at June 30, 2025 and December 31, 2024</w:t>
            </w:r>
          </w:p>
        </w:tc>
        <w:tc>
          <w:tcPr>
            <w:tcW w:w="1260" w:type="dxa"/>
            <w:vAlign w:val="bottom"/>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six months ended June 30, 2025 and 2024</w:t>
            </w:r>
          </w:p>
        </w:tc>
        <w:tc>
          <w:tcPr>
            <w:tcW w:w="3060" w:type="dxa"/>
            <w:vAlign w:val="bottom"/>
            <w:gridSpan w:val="4"/>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 of Changes in Equity for the quarters and six months ended June 30, 2025 and 2024</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660" w:type="dxa"/>
            <w:vAlign w:val="bottom"/>
            <w:gridSpan w:val="2"/>
          </w:tcPr>
          <w:p>
            <w:pPr>
              <w:spacing w:after="0"/>
              <w:rPr>
                <w:sz w:val="22"/>
                <w:szCs w:val="22"/>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3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2"/>
          </w:tcPr>
          <w:p>
            <w:pPr>
              <w:spacing w:after="0"/>
              <w:rPr>
                <w:sz w:val="22"/>
                <w:szCs w:val="22"/>
                <w:color w:val="auto"/>
              </w:rPr>
            </w:pPr>
          </w:p>
        </w:tc>
        <w:tc>
          <w:tcPr>
            <w:tcW w:w="3480" w:type="dxa"/>
            <w:vAlign w:val="bottom"/>
            <w:gridSpan w:val="5"/>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8160" w:type="dxa"/>
            <w:vAlign w:val="bottom"/>
            <w:gridSpan w:val="14"/>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r>
      <w:tr>
        <w:trPr>
          <w:trHeight w:val="26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63"/>
        </w:trPr>
        <w:tc>
          <w:tcPr>
            <w:tcW w:w="1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40" w:type="dxa"/>
            <w:vAlign w:val="bottom"/>
            <w:tcBorders>
              <w:top w:val="single" w:sz="8" w:color="0000FF"/>
            </w:tcBorders>
            <w:gridSpan w:val="2"/>
          </w:tcPr>
          <w:p>
            <w:pPr>
              <w:spacing w:after="0"/>
              <w:rPr>
                <w:sz w:val="22"/>
                <w:szCs w:val="22"/>
                <w:color w:val="auto"/>
              </w:rPr>
            </w:pPr>
          </w:p>
        </w:tc>
        <w:tc>
          <w:tcPr>
            <w:tcW w:w="7960" w:type="dxa"/>
            <w:vAlign w:val="bottom"/>
            <w:gridSpan w:val="13"/>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900" w:type="dxa"/>
            <w:vAlign w:val="bottom"/>
            <w:gridSpan w:val="17"/>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5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22"/>
                <w:szCs w:val="22"/>
                <w:color w:val="auto"/>
              </w:rPr>
            </w:pPr>
          </w:p>
        </w:tc>
      </w:tr>
      <w:tr>
        <w:trPr>
          <w:trHeight w:val="263"/>
        </w:trPr>
        <w:tc>
          <w:tcPr>
            <w:tcW w:w="1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1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8640" w:type="dxa"/>
            <w:vAlign w:val="bottom"/>
            <w:gridSpan w:val="16"/>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22"/>
                <w:szCs w:val="22"/>
                <w:color w:val="auto"/>
              </w:rPr>
            </w:pPr>
          </w:p>
        </w:tc>
      </w:tr>
      <w:tr>
        <w:trPr>
          <w:trHeight w:val="20"/>
        </w:trPr>
        <w:tc>
          <w:tcPr>
            <w:tcW w:w="140" w:type="dxa"/>
            <w:vAlign w:val="bottom"/>
            <w:gridSpan w:val="2"/>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22"/>
                <w:szCs w:val="22"/>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 Corporation and its subsidiaries’ names, abbreviations thereof, logos, and products and services designators are all either the registered or unregistered trademarks or tradenames of RTX Corporation and its subsidiaries. Names, abbreviations of names, logos, and products and services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60" w:type="dxa"/>
            <w:vAlign w:val="bottom"/>
          </w:tcPr>
          <w:p>
            <w:pPr>
              <w:spacing w:after="0"/>
              <w:rPr>
                <w:sz w:val="16"/>
                <w:szCs w:val="16"/>
                <w:color w:val="auto"/>
              </w:rPr>
            </w:pPr>
          </w:p>
        </w:tc>
        <w:tc>
          <w:tcPr>
            <w:tcW w:w="194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Products sales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15,551</w:t>
            </w:r>
          </w:p>
        </w:tc>
        <w:tc>
          <w:tcPr>
            <w:tcW w:w="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14,562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30,142</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28,865</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Services sales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6,030</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11,745</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net sales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21,581</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41,887</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39,026</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sales - products</w:t>
            </w:r>
          </w:p>
        </w:tc>
        <w:tc>
          <w:tcPr>
            <w:tcW w:w="2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12,989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25,272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24,841</w:t>
            </w:r>
          </w:p>
        </w:tc>
        <w:tc>
          <w:tcPr>
            <w:tcW w:w="0" w:type="dxa"/>
            <w:vAlign w:val="bottom"/>
          </w:tcPr>
          <w:p>
            <w:pPr>
              <w:spacing w:after="0"/>
              <w:rPr>
                <w:sz w:val="1"/>
                <w:szCs w:val="1"/>
                <w:color w:val="auto"/>
              </w:rPr>
            </w:pPr>
          </w:p>
        </w:tc>
      </w:tr>
      <w:tr>
        <w:trPr>
          <w:trHeight w:val="231"/>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Cost of sales - services</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4,216</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8,123</w:t>
            </w: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w:t>
            </w: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697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1,334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1,573</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3,021</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19,475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37,750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36,103</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40</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44</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profit</w:t>
            </w:r>
          </w:p>
        </w:tc>
        <w:tc>
          <w:tcPr>
            <w:tcW w:w="220" w:type="dxa"/>
            <w:vAlign w:val="bottom"/>
          </w:tcPr>
          <w:p>
            <w:pPr>
              <w:spacing w:after="0"/>
              <w:rPr>
                <w:sz w:val="19"/>
                <w:szCs w:val="19"/>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2,146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4,181</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3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expense (income), net: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Non-service pension income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457</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900</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non-operating expense, net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106</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183</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2,040</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3,998</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0" w:type="dxa"/>
            <w:vAlign w:val="bottom"/>
          </w:tcPr>
          <w:p>
            <w:pPr>
              <w:spacing w:after="0"/>
              <w:rPr>
                <w:sz w:val="1"/>
                <w:szCs w:val="1"/>
                <w:color w:val="auto"/>
              </w:rPr>
            </w:pPr>
          </w:p>
        </w:tc>
      </w:tr>
      <w:tr>
        <w:trPr>
          <w:trHeight w:val="228"/>
        </w:trPr>
        <w:tc>
          <w:tcPr>
            <w:tcW w:w="6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648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1,725</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3,350</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0" w:type="dxa"/>
            <w:vAlign w:val="bottom"/>
          </w:tcPr>
          <w:p>
            <w:pPr>
              <w:spacing w:after="0"/>
              <w:rPr>
                <w:sz w:val="1"/>
                <w:szCs w:val="1"/>
                <w:color w:val="auto"/>
              </w:rPr>
            </w:pPr>
          </w:p>
        </w:tc>
      </w:tr>
      <w:tr>
        <w:trPr>
          <w:trHeight w:val="228"/>
        </w:trPr>
        <w:tc>
          <w:tcPr>
            <w:tcW w:w="6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Noncontrolling interest in subsidiaries’ earnings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158</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32"/>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shareowners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1,657</w:t>
            </w:r>
          </w:p>
        </w:tc>
        <w:tc>
          <w:tcPr>
            <w:tcW w:w="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3,192</w:t>
            </w:r>
          </w:p>
        </w:tc>
        <w:tc>
          <w:tcPr>
            <w:tcW w:w="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shareowners: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1.24</w:t>
            </w:r>
          </w:p>
        </w:tc>
        <w:tc>
          <w:tcPr>
            <w:tcW w:w="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2.38</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38"/>
        </w:trPr>
        <w:tc>
          <w:tcPr>
            <w:tcW w:w="6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1.22</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2.36</w:t>
            </w: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1,725</w:t>
            </w:r>
          </w:p>
        </w:tc>
        <w:tc>
          <w:tcPr>
            <w:tcW w:w="8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3,350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863</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1,362</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 plans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138</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6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820</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1,388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816</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1,364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2,541</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4,714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68</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158</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2,473</w:t>
            </w:r>
          </w:p>
        </w:tc>
        <w:tc>
          <w:tcPr>
            <w:tcW w:w="8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4,556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880" w:type="dxa"/>
            <w:vAlign w:val="bottom"/>
          </w:tcPr>
          <w:p>
            <w:pPr>
              <w:spacing w:after="0"/>
              <w:rPr>
                <w:sz w:val="16"/>
                <w:szCs w:val="16"/>
                <w:color w:val="auto"/>
              </w:rPr>
            </w:pPr>
          </w:p>
        </w:tc>
        <w:tc>
          <w:tcPr>
            <w:tcW w:w="14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12,385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10,976</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assets, net</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15,686</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14,570</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Inventory, net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14,012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12,768</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current</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7,792</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7,241</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assets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54,657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51,133</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2,104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33,947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32,783</w:t>
            </w:r>
          </w:p>
        </w:tc>
      </w:tr>
      <w:tr>
        <w:trPr>
          <w:trHeight w:val="229"/>
        </w:trPr>
        <w:tc>
          <w:tcPr>
            <w:tcW w:w="62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(17,742)</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(16,694)</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Fixed assets, net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16,205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1,869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53,327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32,748</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33,443</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6,229</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5,297</w:t>
            </w:r>
          </w:p>
        </w:tc>
      </w:tr>
      <w:tr>
        <w:trPr>
          <w:trHeight w:val="232"/>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18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167,139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162,861</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Redeemable Noncontrolling Interest, and Equity</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borrowings</w:t>
            </w:r>
          </w:p>
        </w:tc>
        <w:tc>
          <w:tcPr>
            <w:tcW w:w="18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1,635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13,433</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12,897</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employee compensation</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2,133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31"/>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15,861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14,831</w:t>
            </w:r>
          </w:p>
        </w:tc>
      </w:tr>
      <w:tr>
        <w:trPr>
          <w:trHeight w:val="228"/>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Contract liabilities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19,186</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18,616</w:t>
            </w:r>
          </w:p>
        </w:tc>
      </w:tr>
      <w:tr>
        <w:trPr>
          <w:trHeight w:val="230"/>
        </w:trPr>
        <w:tc>
          <w:tcPr>
            <w:tcW w:w="6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2,084</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w:t>
            </w:r>
          </w:p>
        </w:tc>
      </w:tr>
      <w:tr>
        <w:trPr>
          <w:trHeight w:val="223"/>
        </w:trPr>
        <w:tc>
          <w:tcPr>
            <w:tcW w:w="62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54,332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51,499</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38,259</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38,726</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880" w:type="dxa"/>
            <w:vAlign w:val="bottom"/>
          </w:tcPr>
          <w:p>
            <w:pPr>
              <w:spacing w:after="0"/>
              <w:rPr>
                <w:sz w:val="19"/>
                <w:szCs w:val="19"/>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1,617</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r>
      <w:tr>
        <w:trPr>
          <w:trHeight w:val="231"/>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2,038</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6,646</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6,942</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102,892</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100,903</w:t>
            </w:r>
          </w:p>
        </w:tc>
      </w:tr>
      <w:tr>
        <w:trPr>
          <w:trHeight w:val="221"/>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41</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Shareowners’ Equity:</w:t>
            </w:r>
          </w:p>
        </w:tc>
        <w:tc>
          <w:tcPr>
            <w:tcW w:w="1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3"/>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37,680</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37,434</w:t>
            </w:r>
          </w:p>
        </w:tc>
      </w:tr>
      <w:tr>
        <w:trPr>
          <w:trHeight w:val="228"/>
        </w:trPr>
        <w:tc>
          <w:tcPr>
            <w:tcW w:w="6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w:t>
            </w:r>
          </w:p>
        </w:tc>
        <w:tc>
          <w:tcPr>
            <w:tcW w:w="18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(26,995)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(27,112)</w:t>
            </w:r>
          </w:p>
        </w:tc>
      </w:tr>
      <w:tr>
        <w:trPr>
          <w:trHeight w:val="231"/>
        </w:trPr>
        <w:tc>
          <w:tcPr>
            <w:tcW w:w="6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18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54,104</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53,589</w:t>
            </w:r>
          </w:p>
        </w:tc>
      </w:tr>
      <w:tr>
        <w:trPr>
          <w:trHeight w:val="228"/>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(3,755)</w:t>
            </w:r>
          </w:p>
        </w:tc>
      </w:tr>
      <w:tr>
        <w:trPr>
          <w:trHeight w:val="225"/>
        </w:trPr>
        <w:tc>
          <w:tcPr>
            <w:tcW w:w="6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8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62,398</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60,156</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1,808</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w:t>
            </w:r>
          </w:p>
        </w:tc>
      </w:tr>
      <w:tr>
        <w:trPr>
          <w:trHeight w:val="223"/>
        </w:trPr>
        <w:tc>
          <w:tcPr>
            <w:tcW w:w="62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equity</w:t>
            </w:r>
          </w:p>
        </w:tc>
        <w:tc>
          <w:tcPr>
            <w:tcW w:w="18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64,206</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61,923</w:t>
            </w:r>
          </w:p>
        </w:tc>
      </w:tr>
      <w:tr>
        <w:trPr>
          <w:trHeight w:val="232"/>
        </w:trPr>
        <w:tc>
          <w:tcPr>
            <w:tcW w:w="6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Total liabilities, redeemable noncontrolling interest, and equity</w:t>
            </w:r>
          </w:p>
        </w:tc>
        <w:tc>
          <w:tcPr>
            <w:tcW w:w="18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167,139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162,861</w:t>
            </w: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3,350</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flows provided by 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2,128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Deferred income tax provision</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 compensation cost</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224</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periodic pension income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(636)</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307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Gain on sale of business, net of transaction costs (Note 2)</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26"/>
        </w:trPr>
        <w:tc>
          <w:tcPr>
            <w:tcW w:w="84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Change in: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(1,190)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(1,197)</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(141)</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w:t>
            </w:r>
          </w:p>
        </w:tc>
        <w:tc>
          <w:tcPr>
            <w:tcW w:w="0" w:type="dxa"/>
            <w:vAlign w:val="bottom"/>
          </w:tcPr>
          <w:p>
            <w:pPr>
              <w:spacing w:after="0"/>
              <w:rPr>
                <w:sz w:val="1"/>
                <w:szCs w:val="1"/>
                <w:color w:val="auto"/>
              </w:rPr>
            </w:pPr>
          </w:p>
        </w:tc>
      </w:tr>
      <w:tr>
        <w:trPr>
          <w:trHeight w:val="228"/>
        </w:trPr>
        <w:tc>
          <w:tcPr>
            <w:tcW w:w="84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Contract liabilities</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343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operating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(309)</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Net cash flows provided by operating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1,763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3,075</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(1,043)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Dispositions of businesses, net of cash transferred</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in other intangible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(226)</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Receipts (payments) from settlements of derivative contracts,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145</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(1,187)</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(789)</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commercial paper, net (Note 9)</w:t>
            </w:r>
          </w:p>
        </w:tc>
        <w:tc>
          <w:tcPr>
            <w:tcW w:w="32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1,432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other short-term borrowings, net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8"/>
        </w:trPr>
        <w:tc>
          <w:tcPr>
            <w:tcW w:w="8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(1,750)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0" w:type="dxa"/>
            <w:vAlign w:val="bottom"/>
          </w:tcPr>
          <w:p>
            <w:pPr>
              <w:spacing w:after="0"/>
              <w:rPr>
                <w:sz w:val="1"/>
                <w:szCs w:val="1"/>
                <w:color w:val="auto"/>
              </w:rPr>
            </w:pPr>
          </w:p>
        </w:tc>
      </w:tr>
      <w:tr>
        <w:trPr>
          <w:trHeight w:val="231"/>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flows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(1,409)</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(3,591)</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5,606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6,626</w:t>
            </w:r>
          </w:p>
        </w:tc>
        <w:tc>
          <w:tcPr>
            <w:tcW w:w="0" w:type="dxa"/>
            <w:vAlign w:val="bottom"/>
          </w:tcPr>
          <w:p>
            <w:pPr>
              <w:spacing w:after="0"/>
              <w:rPr>
                <w:sz w:val="1"/>
                <w:szCs w:val="1"/>
                <w:color w:val="auto"/>
              </w:rPr>
            </w:pP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4,827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6,058</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Less: Restricted cash, included in Other assets, current and Other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32"/>
        </w:trPr>
        <w:tc>
          <w:tcPr>
            <w:tcW w:w="8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4,782</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40" w:type="dxa"/>
            <w:vAlign w:val="bottom"/>
          </w:tcPr>
          <w:p>
            <w:pPr>
              <w:spacing w:after="0"/>
              <w:rPr>
                <w:sz w:val="16"/>
                <w:szCs w:val="16"/>
                <w:color w:val="auto"/>
              </w:rPr>
            </w:pPr>
          </w:p>
        </w:tc>
        <w:tc>
          <w:tcPr>
            <w:tcW w:w="222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 shares in thousands)</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beginning balance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63,307</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62,100</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61,923</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61,410</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37,515</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37,434</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37,055</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plans activity</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99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140</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37,680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37,302</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37,680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37,302</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(27,069)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(27,112)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(26,977)</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74</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167</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Common stock repurchased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(26,995)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(27,080)</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(26,995)</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(27,080)</w:t>
            </w:r>
          </w:p>
        </w:tc>
        <w:tc>
          <w:tcPr>
            <w:tcW w:w="0" w:type="dxa"/>
            <w:vAlign w:val="bottom"/>
          </w:tcPr>
          <w:p>
            <w:pPr>
              <w:spacing w:after="0"/>
              <w:rPr>
                <w:sz w:val="1"/>
                <w:szCs w:val="1"/>
                <w:color w:val="auto"/>
              </w:rPr>
            </w:pPr>
          </w:p>
        </w:tc>
      </w:tr>
      <w:tr>
        <w:trPr>
          <w:trHeight w:val="223"/>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54,277</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53,052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53,589</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52,154</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attributable to common shareholders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1,657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3,192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on common stock</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(1,740)</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(2,543)</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on ESOP common stock</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54,104</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51,488</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54,104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51,488</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Unearned ESOP Shares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401(k) matching contributions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 Other Comprehensive Loss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(3,207)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(3,755)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816</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1,364</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Noncontrolling Interest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Beginning balance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1,791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1,767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68</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158</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8"/>
        </w:trPr>
        <w:tc>
          <w:tcPr>
            <w:tcW w:w="6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Less: Redeemable noncontrolling interest net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1,808</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1,808</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0" w:type="dxa"/>
            <w:vAlign w:val="bottom"/>
          </w:tcPr>
          <w:p>
            <w:pPr>
              <w:spacing w:after="0"/>
              <w:rPr>
                <w:sz w:val="1"/>
                <w:szCs w:val="1"/>
                <w:color w:val="auto"/>
              </w:rPr>
            </w:pPr>
          </w:p>
        </w:tc>
      </w:tr>
      <w:tr>
        <w:trPr>
          <w:trHeight w:val="232"/>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at June 30</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64,206</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60,650</w:t>
            </w:r>
          </w:p>
        </w:tc>
        <w:tc>
          <w:tcPr>
            <w:tcW w:w="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64,206</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60,650</w:t>
            </w:r>
          </w:p>
        </w:tc>
        <w:tc>
          <w:tcPr>
            <w:tcW w:w="0" w:type="dxa"/>
            <w:vAlign w:val="bottom"/>
          </w:tcPr>
          <w:p>
            <w:pPr>
              <w:spacing w:after="0"/>
              <w:rPr>
                <w:sz w:val="1"/>
                <w:szCs w:val="1"/>
                <w:color w:val="auto"/>
              </w:rPr>
            </w:pPr>
          </w:p>
        </w:tc>
      </w:tr>
      <w:tr>
        <w:trPr>
          <w:trHeight w:val="22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share information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under employee plans,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1,535</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4,438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w:t>
            </w:r>
          </w:p>
        </w:tc>
        <w:tc>
          <w:tcPr>
            <w:tcW w:w="0" w:type="dxa"/>
            <w:vAlign w:val="bottom"/>
          </w:tcPr>
          <w:p>
            <w:pPr>
              <w:spacing w:after="0"/>
              <w:rPr>
                <w:sz w:val="1"/>
                <w:szCs w:val="1"/>
                <w:color w:val="auto"/>
              </w:rPr>
            </w:pPr>
          </w:p>
        </w:tc>
      </w:tr>
      <w:tr>
        <w:trPr>
          <w:trHeight w:val="228"/>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396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0" w:type="dxa"/>
            <w:vAlign w:val="bottom"/>
          </w:tcPr>
          <w:p>
            <w:pPr>
              <w:spacing w:after="0"/>
              <w:rPr>
                <w:sz w:val="1"/>
                <w:szCs w:val="1"/>
                <w:color w:val="auto"/>
              </w:rPr>
            </w:pPr>
          </w:p>
        </w:tc>
      </w:tr>
      <w:tr>
        <w:trPr>
          <w:trHeight w:val="23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shares reissued related to 401(k) matching contributions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1,053</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2,376</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Dividends declared per share of common stock</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1.360</w:t>
            </w: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1.990</w:t>
            </w: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at June 30, 2025 and for the quarters and six months ended June 30, 2025 and 2024 are unaudited, and in the opinion of management include adjustments of a normal recurring nature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2024 Annual Report on Form 10-K.</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 References to “Raytheon Company” mean Raytheon Company, which became a wholly owned subsidiary of RTX on April 3, 2020 during an all-stock merger transaction between United Technologies Corporation and Raytheon Company (the surviving company of which is RTX Corporation).</w:t>
      </w:r>
    </w:p>
    <w:p>
      <w:pPr>
        <w:spacing w:after="0" w:line="68" w:lineRule="exact"/>
        <w:rPr>
          <w:sz w:val="20"/>
          <w:szCs w:val="20"/>
          <w:color w:val="auto"/>
        </w:rPr>
      </w:pPr>
    </w:p>
    <w:p>
      <w:pPr>
        <w:ind w:right="2140"/>
        <w:spacing w:after="0" w:line="266" w:lineRule="auto"/>
        <w:rPr>
          <w:sz w:val="20"/>
          <w:szCs w:val="20"/>
          <w:color w:val="auto"/>
        </w:rPr>
      </w:pPr>
      <w:r>
        <w:rPr>
          <w:rFonts w:ascii="Times New Roman" w:cs="Times New Roman" w:eastAsia="Times New Roman" w:hAnsi="Times New Roman"/>
          <w:sz w:val="18"/>
          <w:szCs w:val="18"/>
          <w:color w:val="auto"/>
        </w:rPr>
        <w:t>We reclassified certain immaterial prior period amounts within our Condensed Consolidated Statement of Cash Flows and Condensed Consolidated Statement of Changes in Equity related to our share-based 401(k) matching contributions to conform to our current period presentation.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calendar quarter end. Throughout this Form 10-Q, when we refer to the quarters and six months ended June 30, 2025 and 2024 with respect to Raytheon, we are referring to their June 29, 2025 and June 30, 2024 fiscal quarter ends, respectively.</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As previously disclosed, in 2024 the Company resolved several outstanding legal matters, herein referred to as “Resolution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Matters.” See “Note 16: Commitments and Contingencies”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 and Dispositions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Dispositions. </w:t>
      </w:r>
      <w:r>
        <w:rPr>
          <w:rFonts w:ascii="Times New Roman" w:cs="Times New Roman" w:eastAsia="Times New Roman" w:hAnsi="Times New Roman"/>
          <w:sz w:val="18"/>
          <w:szCs w:val="18"/>
          <w:color w:val="auto"/>
        </w:rPr>
        <w:t>On June 30, 2025, we entered into a definitive agreement to sell the Simmonds Precision Products business within our Collins segment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$0.8 billion in cash. The closing of this transaction is subject to required regulatory approvals and other customary closing conditions.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we completed the sale of our Cybersecurity, Intelligence and Services (CIS) business within our Raytheon segment for proceeds of approximately $1.3 billion in cash, resulting in an aggregate pre-tax gain, net of transaction and other related costs, of $0.4 billion ($0.2 billion after tax), primarily recognized in Other income (expense), net within the Condensed Consolidated Statement of Operations.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20, 2023, we entered into a definitive agreement to sell the actuation and flight control business within our Collins segment to Safran S.A. for gross proceeds of approximately $1.8 billion. During the fourth quarter of 2024, as a result of progress towards regulatory approvals, held for sale criteria was met. At June 30, 2025, assets of approximately $1.6 billion and liabilities of approximately $0.6 billion are held for sale. Held for sale assets primarily include $0.7 billion of goodwill and intangible assets presented in Other assets and $0.3 billion of inventory presented in Other assets, current, within the Condensed Consolidated Balance Sheet. Held for sale liabilities primarily include $0.4 billion of contract liabilities and other accrued liabilities presented in Other accrued liabilities within the Condensed Consolidated Balance Sheet. We completed the sale of this business for gross proceeds of $1.8 billion on July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six months ended June 30, 2025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300" w:type="dxa"/>
            <w:vAlign w:val="bottom"/>
          </w:tcPr>
          <w:p>
            <w:pPr>
              <w:spacing w:after="0"/>
              <w:rPr>
                <w:sz w:val="13"/>
                <w:szCs w:val="13"/>
                <w:color w:val="auto"/>
              </w:rPr>
            </w:pPr>
          </w:p>
        </w:tc>
        <w:tc>
          <w:tcPr>
            <w:tcW w:w="15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220" w:type="dxa"/>
            <w:vAlign w:val="bottom"/>
          </w:tcPr>
          <w:p>
            <w:pPr>
              <w:spacing w:after="0"/>
              <w:rPr>
                <w:sz w:val="13"/>
                <w:szCs w:val="13"/>
                <w:color w:val="auto"/>
              </w:rPr>
            </w:pP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3"/>
                <w:szCs w:val="13"/>
                <w:color w:val="auto"/>
              </w:rPr>
            </w:pPr>
          </w:p>
        </w:tc>
        <w:tc>
          <w:tcPr>
            <w:tcW w:w="15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Balance as of June 30,</w:t>
            </w:r>
          </w:p>
        </w:tc>
        <w:tc>
          <w:tcPr>
            <w:tcW w:w="0" w:type="dxa"/>
            <w:vAlign w:val="bottom"/>
          </w:tcPr>
          <w:p>
            <w:pPr>
              <w:spacing w:after="0"/>
              <w:rPr>
                <w:sz w:val="1"/>
                <w:szCs w:val="1"/>
                <w:color w:val="auto"/>
              </w:rPr>
            </w:pPr>
          </w:p>
        </w:tc>
      </w:tr>
      <w:tr>
        <w:trPr>
          <w:trHeight w:val="195"/>
        </w:trPr>
        <w:tc>
          <w:tcPr>
            <w:tcW w:w="28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Translation and Other</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28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32,223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32,760</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1,563</w:t>
            </w:r>
          </w:p>
        </w:tc>
        <w:tc>
          <w:tcPr>
            <w:tcW w:w="300" w:type="dxa"/>
            <w:vAlign w:val="bottom"/>
          </w:tcPr>
          <w:p>
            <w:pPr>
              <w:spacing w:after="0"/>
              <w:rPr>
                <w:sz w:val="19"/>
                <w:szCs w:val="19"/>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1,563</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18,986</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18,987</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Segments</w:t>
            </w:r>
          </w:p>
        </w:tc>
        <w:tc>
          <w:tcPr>
            <w:tcW w:w="152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52,772</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794</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53,310</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1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52,789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794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53,327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reduction in Acquisitions and Divestitures includes the reclassification of goodwill to held for sale and presented in Other assets within the Condensed Consolidated Balance Sheet.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480" w:type="dxa"/>
            <w:vAlign w:val="bottom"/>
          </w:tcPr>
          <w:p>
            <w:pPr>
              <w:spacing w:after="0"/>
              <w:rPr>
                <w:sz w:val="11"/>
                <w:szCs w:val="11"/>
                <w:color w:val="auto"/>
              </w:rPr>
            </w:pPr>
          </w:p>
        </w:tc>
        <w:tc>
          <w:tcPr>
            <w:tcW w:w="124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40" w:type="dxa"/>
            <w:vAlign w:val="bottom"/>
          </w:tcPr>
          <w:p>
            <w:pPr>
              <w:spacing w:after="0"/>
              <w:rPr>
                <w:sz w:val="11"/>
                <w:szCs w:val="11"/>
                <w:color w:val="auto"/>
              </w:rPr>
            </w:pPr>
          </w:p>
        </w:tc>
        <w:tc>
          <w:tcPr>
            <w:tcW w:w="138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Collaboration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6,248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6,159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Exclusivity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3,780</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3,692</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1,190</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1,197</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29,379</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29,388</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40,597</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(16,329)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40,436</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8,480</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8,463</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49,077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(16,329)</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48,899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quarters and six months ended June 30, 2025 and 2024 was $508 million and $1,009 million and $534 million and $1,060 million, respectively. The following is the expected amortization of intangible assets for the remainder of 2025 through 2030: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0" w:type="dxa"/>
            <w:vAlign w:val="bottom"/>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Pr>
          <w:p>
            <w:pPr>
              <w:spacing w:after="0"/>
              <w:rPr>
                <w:sz w:val="16"/>
                <w:szCs w:val="16"/>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2030</w:t>
            </w:r>
          </w:p>
        </w:tc>
        <w:tc>
          <w:tcPr>
            <w:tcW w:w="0" w:type="dxa"/>
            <w:vAlign w:val="bottom"/>
          </w:tcPr>
          <w:p>
            <w:pPr>
              <w:spacing w:after="0"/>
              <w:rPr>
                <w:sz w:val="1"/>
                <w:szCs w:val="1"/>
                <w:color w:val="auto"/>
              </w:rPr>
            </w:pPr>
          </w:p>
        </w:tc>
      </w:tr>
      <w:tr>
        <w:trPr>
          <w:trHeight w:val="23"/>
        </w:trPr>
        <w:tc>
          <w:tcPr>
            <w:tcW w:w="4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2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78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1,819</w:t>
            </w:r>
          </w:p>
        </w:tc>
        <w:tc>
          <w:tcPr>
            <w:tcW w:w="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527"/>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00" w:type="dxa"/>
            <w:vAlign w:val="bottom"/>
          </w:tcPr>
          <w:p>
            <w:pPr>
              <w:spacing w:after="0"/>
              <w:rPr>
                <w:sz w:val="17"/>
                <w:szCs w:val="17"/>
                <w:color w:val="auto"/>
              </w:rPr>
            </w:pPr>
          </w:p>
        </w:tc>
        <w:tc>
          <w:tcPr>
            <w:tcW w:w="2380" w:type="dxa"/>
            <w:vAlign w:val="bottom"/>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and shares in millions, except per share amounts)</w:t>
            </w: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580" w:type="dxa"/>
            <w:vAlign w:val="bottom"/>
            <w:tcBorders>
              <w:bottom w:val="single" w:sz="8" w:color="auto"/>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3,192</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1,340.6</w:t>
            </w: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and equity units (share equivalent)</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5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1,354.0</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1,352.9</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shareowners: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5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5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computation of diluted earnings per share (EPS)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EPS excludes the effect of the potential release or exercise of stock awards when the awards’ assumed proceeds exceed the average market price of the common shares during the period. For the quarter and six months ended June 30, 2025, the number of stock awards excluded from the computation was 1.8 million and 2.5 million, respectively. For the quarter and six months ended June 30, 2024, the number of stock awards excluded from the computation was 3.9 million and 9.6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Changes in Contract Estimates at Completion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 our Estimates at Completion (EACs) at least annually or when a change in circumstances warrants a modification to a previous estimate. For significant contracts, we review our EACs more frequently. Due to the nature of the work required to be performed on many of the Company’s performance obligations, the estimation of total revenue and cost at completion is complex, subject to many inputs,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relate to management’s judgment about the ability and cost to achieve the schedule, consideration of customer-directed delays or reductions in scheduled deliveries, technical requirements, customer activity levels, such as flight hours or aircraft landings, and related variable consideration. Management must make assumptions and estimates regarding contract revenues and costs, including estimates of labor productivity and availability, the complexity and scope of the work to be performed, the availability and cost of materials including any impact from changing costs or inflation, the length of time to complete the performance obligation, execution by our subcontractors, the availability and timing of funding from our customer, overhead cost rates, and current and past maintenance cost and frequency driven by estimated aircraft and engine utilization and estimated useful lives of components, among others. In particular, fixed-price development programs involve significant management judgment, as development contracts by nature have elements that have not been done before and thus, are highly subject to future unexpected cost changes.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estimates of net sales, cost of sales, and the related impact to operating profit on contracts recognized over time are recognized on a cumulative catch-up basis, which recognizes the cumulative effect of the profit changes on current and prior periods based on a performance obligation’s percentage-of-completion in the current period. A significant change in one or more of these estimates could affect the profitability of one or more of our performance obligations. Our EAC adjustments also include the establishment of, and changes to, loss provisions for our contracts accounted for on a percentage-of-completion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had the following impact on our operating results: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00" w:type="dxa"/>
            <w:vAlign w:val="bottom"/>
          </w:tcPr>
          <w:p>
            <w:pPr>
              <w:spacing w:after="0"/>
              <w:rPr>
                <w:sz w:val="16"/>
                <w:szCs w:val="16"/>
                <w:color w:val="auto"/>
              </w:rPr>
            </w:pPr>
          </w:p>
        </w:tc>
        <w:tc>
          <w:tcPr>
            <w:tcW w:w="210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attributable to common shareowners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Diluted earnings per share attributable to common shareowners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U.S. statutory tax rate of 21%, which approximates our tax rate on our EAC adjustments.</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quarter ended June 30, 2024, Raytheon initiated the termination of a fixed price development contract with a foreign customer, herein referred to as “Raytheon Contract Termination.” As a result of this action, Raytheon recognized a $0.6 billion charge related to the estimated impact of this termination. This charge included the write-off of remaining contract assets and the estimated settlement with the customer. The Raytheon Contract Termination was completed, including customer settlement, during the fourth quarter of 2024, in line with previously accrued amounts.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Accounts Receivable,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8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12,722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8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12,385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Contract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reflect revenue recognized and performance obligations satisfied in advance of customer billings. Contract liabilities relate to payments received in advance of the satisfaction of performance under the contract. We receive payments from customers based on the terms established in our contracts. Total contract assets and contract liabilities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40" w:type="dxa"/>
            <w:vAlign w:val="bottom"/>
          </w:tcPr>
          <w:p>
            <w:pPr>
              <w:spacing w:after="0"/>
              <w:rPr>
                <w:sz w:val="16"/>
                <w:szCs w:val="16"/>
                <w:color w:val="auto"/>
              </w:rPr>
            </w:pPr>
          </w:p>
        </w:tc>
        <w:tc>
          <w:tcPr>
            <w:tcW w:w="14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3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15,686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w:t>
            </w: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(19,186)</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w:t>
            </w: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liabilities</w:t>
            </w:r>
          </w:p>
        </w:tc>
        <w:tc>
          <w:tcPr>
            <w:tcW w:w="3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w:t>
            </w: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assets, net, increased $1.1 billion during the six months ended June 30, 2025 primarily due to sales in excess of billings on certain contracts at Pratt &amp; Whitney, partially offset by an increase in the allowance for expected credit losses due to a customer bankruptcy recorded at Pratt &amp; Whitney in the second quarter of 2025. Contract liabilities increased $0.6 billion during the six months ended June 30, 2025 primarily due to advances received and billings in excess of sales on certain contracts at Pratt &amp; Whitney. We recognized revenue of $2.0 billion and $5.0 billion during the quarter and six months ended June 30, 2025 related to contract liabilities outstanding as of January 1, 2025 and recognized revenue of $1.8 billion and $4.4 billion during the quarter and six months ended June 30, 2024, related to contract liabilities outstanding as of January 1,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are net of an allowance for expected credit losses of $0.7 billion and $0.5 billion as of June 30, 2025 and December 31, 2024, respectively. The increase in allowance for expected credit losses as of June 30, 2025 as compared to December 31, 2024 was primarily related to an increase in reserves as a result of a customer bankruptcy recorded at Pratt &amp; Whitney in the quarter ended June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Inventory,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net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6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4,559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6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4,822</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4,631</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inventory, net</w:t>
            </w:r>
          </w:p>
        </w:tc>
        <w:tc>
          <w:tcPr>
            <w:tcW w:w="3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14,012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Borrowings and Lines of Credit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had a revolving credit agreement with various banks permitting aggregate borrowings of up to $5.0 billion, which expires in August 2028. As of June 30, 2025, there were no borrowings outstanding under this agreement.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At December 31, 2024, we had no commercial paper borrowings outstanding. As of June 30, 2025, our maximum commercial paper borrowing limit was $5.0 billion as the commercial paper is backed by our $5.0 billion revolving credit agreement. At June 30, 2025 we had $1.4 billion of commercial paper borrowings outstanding. At June 30, 2025, short-term commercial paper borrowings outstanding had a weighted-average interest rate of 4.7%. There were no new borrowings and no new repayments of commercial paper with maturities greater than 90 days during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repayments of long-term debt during the six months ended June 30, 2025 and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86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020" w:type="dxa"/>
            <w:vAlign w:val="bottom"/>
          </w:tcPr>
          <w:p>
            <w:pPr>
              <w:spacing w:after="0"/>
              <w:rPr>
                <w:sz w:val="13"/>
                <w:szCs w:val="13"/>
                <w:color w:val="auto"/>
              </w:rPr>
            </w:pPr>
          </w:p>
        </w:tc>
        <w:tc>
          <w:tcPr>
            <w:tcW w:w="31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5"/>
        </w:trPr>
        <w:tc>
          <w:tcPr>
            <w:tcW w:w="224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2024</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17, 2024</w:t>
            </w: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4, 2024</w:t>
            </w: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4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3.200% notes due 2024</w:t>
            </w:r>
          </w:p>
        </w:tc>
        <w:tc>
          <w:tcPr>
            <w:tcW w:w="10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40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3.950% notes due 2025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1,500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5.000% notes due 2026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500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2.650%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719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Month SOFR plus 1.225% term loan due 2026</w:t>
            </w: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1,250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1,100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3.500% notes due 2027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1,300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7.200% notes due 2027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382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7.100% notes due 2027</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135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6.700% notes due 2028</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285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7.000% notes due 2028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185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4.125% notes due 2028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3,000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5.750% notes due 2029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500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414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2.150% notes due 2030 (€500 million principal value) </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580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2.250% notes due 2030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6.000% notes due 2031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1.900% notes due 2031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2.375% notes due 2032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5.150% notes due 2033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1,250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6.100% notes due 2034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1,500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446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410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6.800% notes due 2036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117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notes due 2038</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148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575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4.450% notes due 2038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750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553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4.875% notes due 2040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600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4.700% notes due 2041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3,500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4.800% notes due 2043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400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4.200% notes due 2044 </w:t>
            </w:r>
            <w:r>
              <w:rPr>
                <w:rFonts w:ascii="Times New Roman" w:cs="Times New Roman" w:eastAsia="Times New Roman" w:hAnsi="Times New Roman"/>
                <w:sz w:val="23"/>
                <w:szCs w:val="23"/>
                <w:color w:val="auto"/>
                <w:vertAlign w:val="superscript"/>
              </w:rPr>
              <w:t>(1)</w:t>
            </w:r>
          </w:p>
        </w:tc>
        <w:tc>
          <w:tcPr>
            <w:tcW w:w="4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300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3"/>
                <w:szCs w:val="23"/>
                <w:color w:val="auto"/>
                <w:vertAlign w:val="superscript"/>
              </w:rPr>
              <w:t>(1)</w:t>
            </w:r>
          </w:p>
        </w:tc>
        <w:tc>
          <w:tcPr>
            <w:tcW w:w="48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850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3.750% notes due 2046 </w:t>
            </w:r>
            <w:r>
              <w:rPr>
                <w:rFonts w:ascii="Times New Roman" w:cs="Times New Roman" w:eastAsia="Times New Roman" w:hAnsi="Times New Roman"/>
                <w:sz w:val="23"/>
                <w:szCs w:val="23"/>
                <w:color w:val="auto"/>
                <w:vertAlign w:val="superscript"/>
              </w:rPr>
              <w:t>(1)</w:t>
            </w:r>
          </w:p>
        </w:tc>
        <w:tc>
          <w:tcPr>
            <w:tcW w:w="4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1,100</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00" w:type="dxa"/>
            <w:vAlign w:val="bottom"/>
          </w:tcPr>
          <w:p>
            <w:pPr>
              <w:spacing w:after="0"/>
              <w:rPr>
                <w:sz w:val="16"/>
                <w:szCs w:val="16"/>
                <w:color w:val="auto"/>
              </w:rPr>
            </w:pPr>
          </w:p>
        </w:tc>
        <w:tc>
          <w:tcPr>
            <w:tcW w:w="14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4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4.050% notes due 2047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4.350% notes due 2047 </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4.625% notes due 2048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3.125% notes due 2050 </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2.820% notes due 2051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3.030% notes due 2052 </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5.375% notes due 2053 </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7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6.400% notes due 2054 </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(including finance leases)</w:t>
            </w:r>
          </w:p>
        </w:tc>
        <w:tc>
          <w:tcPr>
            <w:tcW w:w="1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192</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1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40,416</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41,146</w:t>
            </w: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(fair market value adjustments, (discounts)/premiums, and debt issuance costs)</w:t>
            </w:r>
          </w:p>
        </w:tc>
        <w:tc>
          <w:tcPr>
            <w:tcW w:w="1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10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40,343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41,078</w:t>
            </w:r>
          </w:p>
        </w:tc>
      </w:tr>
      <w:tr>
        <w:trPr>
          <w:trHeight w:val="229"/>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2,084</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230"/>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38,259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38,726</w:t>
            </w:r>
          </w:p>
        </w:tc>
      </w:tr>
    </w:tbl>
    <w:p>
      <w:pPr>
        <w:spacing w:after="0" w:line="16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redeem these notes, in whole or in part, at our option pursuant to their terms prior to the applicable maturity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of our long-term debt as of June 30, 2025 is approximately 12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benefit pension and postretirement benefit (PRB)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and defined contribution plans.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our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qualified defined benefit plans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defined benefit plans</w:t>
            </w:r>
          </w:p>
        </w:tc>
        <w:tc>
          <w:tcPr>
            <w:tcW w:w="300" w:type="dxa"/>
            <w:vAlign w:val="bottom"/>
          </w:tcPr>
          <w:p>
            <w:pPr>
              <w:spacing w:after="0"/>
              <w:rPr>
                <w:sz w:val="19"/>
                <w:szCs w:val="19"/>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11</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PRB plans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340</w:t>
            </w: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741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405"/>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amounts recognized in the Condensed Consolidated Balance Sheet consist of:</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assets (included in Other assets)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2,358</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pension and PRB liabilities (included in Accrued employee compensation)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257</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2,038</w:t>
            </w:r>
          </w:p>
        </w:tc>
        <w:tc>
          <w:tcPr>
            <w:tcW w:w="7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41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recognized in Future pension and postretirement benefit obligations consist of:</w:t>
            </w: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6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pension liabilities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1,473</w:t>
            </w:r>
          </w:p>
        </w:tc>
        <w:tc>
          <w:tcPr>
            <w:tcW w:w="76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PRB liabilities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498</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57"/>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 PRB related items</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67</w:t>
            </w:r>
          </w:p>
        </w:tc>
        <w:tc>
          <w:tcPr>
            <w:tcW w:w="7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pension and postretirement benefit obligations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2,038</w:t>
            </w:r>
          </w:p>
        </w:tc>
        <w:tc>
          <w:tcPr>
            <w:tcW w:w="7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income for our defined pension plans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586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1,169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2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actuarial net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settlement, curtailment, and special termination benefit (gain) loss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periodic pension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set aside assets in separate trusts, which we expect to be used to pay for certain nonqualified defined benefit and defined contribution plan obligations in excess of qualified plan limits. These assets are included in Other assets in our Condensed Consolidated Balance Sheet. The fair value of marketable securities held in trusts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26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9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679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quarter and six months ended June 30, 2025 was 15.4% and 16.2%, respectively, as compared to 59.1% and 15.8% for the quarter and six months ended June 30,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the quarter ended June 30, 2025 includes a tax benefit of $33 million associated with the conclusion of the Internal Revenue Service (IRS) examination of RTX’s 2020 tax year. The effective tax rate for the quarter ended June 30, 2024 includes the impact of the $918 million charge associated with the Resolution of Certain Legal Matters where no related tax benefit was recorded in the quarter.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2025 and June 30, 2024 are relatively consistent. However, the effective tax rate for the six months ended June 30, 2025 includes the impact from the IRS examination noted above and the effective tax rate for the six months ended June 30, 2024 includes a $275 million tax benefit recognized from the conclusion of the examination phases of the RTX and Rockwell Collins audits, a $143 million tax cost associated with the sale of the CIS business, and the impact of the $918 million charge associated with the Resolution of Certain Legal Matters.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as a result, RTX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Poland, Saudi Arabia, Singapore, Switzerland, the United Kingdom, and the United States. With few exceptions, we are no longer subject to U.S. federal, state, and local, or non-U.S. income tax examinations for years before 2014.</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certain IRS audits, the Company has previously filed protests with respect to certain IRS proposed adjustments for RTX (formerly United Technologies Corporation) tax years 2017 and 2018, pre-acquisition Rockwell Collins tax years 2016, 2017, and 2018, and pre-merger Raytheon Company tax years 2017, 2018, and 2019 as well as certain refund claims of Raytheon Company for tax years 2014, 2015, and 2016 filed prior to the Raytheon merger. The Company is in the process of disputing these adjustments at the Appeals Division of the IRS. The Company expects resolution at the Appeals Division for the RTX and Rockwell tax years within the next twelve months. The timing of any resolution at the Appeals Division for the Raytheon Company tax years is uncertain.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2025, the Company received an unfavorable decision from the Appeals Committee of the Kingdom of Saudi Arabia (KSA) General Secretariat of the Tax Committees (GTSC) and recorded the net income impact of this decision. The Company continues to believe the position of the KSA tax authority is not supported by the facts in question or KSA tax law and is pursuing available options to seek reversal of the GSTC’s decision.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enter into derivative instruments primarily for risk management purposes, including derivatives designated as hedging instruments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value of the aggregate notional principal of our outstanding foreign currency hedges was $21 billion and $17 billion at June 30, 2025 and December 31,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and presentation in the Condensed Consolidated Balance Sheet for derivative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0" w:type="dxa"/>
            <w:vAlign w:val="bottom"/>
          </w:tcPr>
          <w:p>
            <w:pPr>
              <w:spacing w:after="0"/>
              <w:rPr>
                <w:sz w:val="16"/>
                <w:szCs w:val="16"/>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2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4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291</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2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 current</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6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all derivative contracts accounted for as cash flow hedges will mature by May 2036. Cash receipts or payments on derivatives designated as cash flow hedges are recorded in Other operating activities, net within the Condensed Consolidated Statement of Cash Flows. The Company utilizes the critical terms match method for cash flow hedges in assessing derivatives for hedge effectiveness. Gains or losses attributable to cash flow hedging contract activity are primarily recorded as a component of Products sales when reclassified from Accumulated other comprehensive loss.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2025, the Company entered into forward exchange contracts to partially hedge its net investment in certain foreign subsidiaries denominated in EUR and CAD. The Company assesses the effectiveness of its net investment hedges using the spot method. Cash receipts or payments on derivatives designated as net investment hedges are recorded as investing cash flows within the Condensed Consolidated Statement of Cash Flows.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€320 million of our €500 million principal value of euro-denominated long-term debt designated as a net investment hedge against our investments in European businesses. At March 31, 2025, this was no longer designated as a net investment hedge. For the quarter and six months ended June 30, 2025, the effects are reflected within Other income (expense), net.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cash flow hedging and net investment hedging relationships on Accumulated other comprehensive loss and on the Condensed Consolidated Statement of Operations in the quarters and six months ended June 30, 2025 and 2024 are presented in “Note 17: Equity.” The hedged items and derivatives designated as hedging instruments are highly effective.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derivatives not designated as hedging instruments is included within Other income (expense), net, on the Condensed Consolidated Statement of Operations and is not significant. Cash receipts or payments related to the settlement of derivatives not designated as hedging instruments are recorded as investing cash flows within the Condensed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carried at fair value and measured on a recurring basis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679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609</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490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490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307</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307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 held in trusts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786</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derivative assets and liabilities include foreign exchange contracts that are measured at fair value using internal models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observable market inputs such as forward rates, interest rates, our own credit risk, and our counterparties’ credit risks.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3"/>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100" w:type="dxa"/>
            <w:vAlign w:val="bottom"/>
          </w:tcPr>
          <w:p>
            <w:pPr>
              <w:jc w:val="center"/>
              <w:ind w:right="20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1"/>
                <w:szCs w:val="11"/>
                <w:color w:val="auto"/>
              </w:rPr>
            </w:pPr>
          </w:p>
        </w:tc>
        <w:tc>
          <w:tcPr>
            <w:tcW w:w="900" w:type="dxa"/>
            <w:vAlign w:val="bottom"/>
          </w:tcPr>
          <w:p>
            <w:pPr>
              <w:jc w:val="center"/>
              <w:ind w:right="36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center"/>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40,262</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37,877</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40,991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37,956</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valuation hierarchy classification of assets and liabilities that are not carried at fair value in our Condensed Consolidated Balance Sheet: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37,877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35,845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2,032</w:t>
            </w:r>
          </w:p>
        </w:tc>
        <w:tc>
          <w:tcPr>
            <w:tcW w:w="0" w:type="dxa"/>
            <w:vAlign w:val="bottom"/>
          </w:tcPr>
          <w:p>
            <w:pPr>
              <w:spacing w:after="0"/>
              <w:rPr>
                <w:sz w:val="1"/>
                <w:szCs w:val="1"/>
                <w:color w:val="auto"/>
              </w:rPr>
            </w:pPr>
          </w:p>
        </w:tc>
      </w:tr>
      <w:tr>
        <w:trPr>
          <w:trHeight w:val="39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37,956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35,180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Short-term borrowings approximates the carrying value due to their short-term nature, with commercial paper classified as level 2 and other short-term borrowings classified as level 3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Variable Interest Entities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Pratt &amp; Whitney holds a 61% program share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the International Aero Engines, LLC (IAE LLC) collaboration, whose business purpose is to coordinate the design, development, manufacturing, and product support for the PW1100G-JM engine for the Airbus A320neo family of aircraft. Pratt &amp; Whitney holds a 59% program share interest and a 59% ownership interest in IAE LLC. IAE and IAE LLC retain limited equity with the primary economics of the programs passed to the participants. As such, we have determined that IAE and IAE LLC are variable interest entities with Pratt &amp; Whitney as the primary beneficiary. IAE and IAE LLC have, therefore, been consolidated. Other collaborators participate in Pratt &amp; Whitney’s program share interest in IAE and IAE LLC. Pratt &amp; Whitney’s net program share interest 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IAE and IAE LLC, after considering its sub-collaborator share, is 57% and 51%, respectively. The carrying amounts and classification of assets and liabilities for variable interest entities in our Condensed Consolidated Balance Sheet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6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11,611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r>
      <w:tr>
        <w:trPr>
          <w:trHeight w:val="230"/>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1,128</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4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12,739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14,130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r>
      <w:tr>
        <w:trPr>
          <w:trHeight w:val="229"/>
        </w:trPr>
        <w:tc>
          <w:tcPr>
            <w:tcW w:w="4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123</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4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14,253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Guarantees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These instruments expire on various dates through 2026. Additional guarantees of project performance for which there is no stated value also remain outstanding. A portion of our third party guarantees are subject to indemnification for our benefit for any liabilities that could arise. As of June 30, 2025 and December 31, 2024, the following financial guarantees were outstanding: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240" w:type="dxa"/>
            <w:vAlign w:val="bottom"/>
            <w:gridSpan w:val="3"/>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4"/>
                <w:szCs w:val="14"/>
                <w:b w:val="1"/>
                <w:bCs w:val="1"/>
                <w:color w:val="auto"/>
              </w:rPr>
              <w:t>Maximum Potential</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96"/>
        </w:trPr>
        <w:tc>
          <w:tcPr>
            <w:tcW w:w="4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5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aerospace financing arrangements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Third party guarantees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44</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residual value and other guarantees related to various commercial aerospace customer financing arrangements. The estimated fair market values of the guaranteed assets equal or exceed the value of the related guarantees, net of existing reserves. Collaboration partners’ share of these financing guarantees was $0.1 billion at June 30, 2025 and December 31,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$0.1 billion at June 30, 2025 and December 31, 2024. These primarily relate to environmental liabilities, which are included in our total environmental liabilities as further discussed in “Note 16: Commitments and Contingencies.”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claims data and historical experience warrant.</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changes in the carrying amount of service and product warranties and product performance guarantees for the six months ended June 30, 2025 and 2024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9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60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993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29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152</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9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w:t>
            </w:r>
          </w:p>
        </w:tc>
        <w:tc>
          <w:tcPr>
            <w:tcW w:w="2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1,044</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and service guarantees incurred in connection with long term production contracts and certain aftermarket arrangements are generally accounted for within the contract estimates at completion.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financial condition, or liquidity.</w:t>
      </w:r>
    </w:p>
    <w:p>
      <w:pPr>
        <w:spacing w:after="0" w:line="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with jurisdiction over our foreign operations. We have accrued for the costs of environmental remediation activities, including but not limited to investigatory, remediation, operating and maintenance costs, and performance guarantees, and periodically reassess these amounts. We do not expect any additional liability to have a material adverse effect on our results of operations, financial condition, or liquidity. As of both June 30, 2025 and December 31, 2024, we had $0.8 billion reserved for environmental remediation.</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Commercial Aerospace Financing and Other Commitments. </w:t>
      </w:r>
      <w:r>
        <w:rPr>
          <w:rFonts w:ascii="Times New Roman" w:cs="Times New Roman" w:eastAsia="Times New Roman" w:hAnsi="Times New Roman"/>
          <w:sz w:val="18"/>
          <w:szCs w:val="18"/>
          <w:color w:val="auto"/>
        </w:rPr>
        <w:t>We had commercial aerospace financing commitments and other contractual commitments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approximately $13.6 billion and $14.1 billion as of June 30, 2025 and December 31, 2024, respectively, on a gross basis before reduction for our collaboration partners’ share. Aircraft financing commitments, in the form of debt or lease financing, are provided to certain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The majority of financing commitments are collateralized arrangements. We may also lease aircraft and subsequently sublease the aircraft to customers under long-term non-cancelable operating leases, or pay deposits on behalf of our customers to secure production slots with the airframers (pre-delivery payments). Our financing commitments with customers are contingent upon maintenance of certain levels of financial condition by our customers. Associated risks on these commitments are mitigated due to the fact that interest rates are variable during the commitment term and are set at the date of funding based on current market conditions, the fair value of the underlying collateral, and the creditworthiness of our customers. As a result, the fair value of these financing commitments is expected to equal the amounts funded.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other contractual commitments to make payments to secure certain contractual rights to provide product on new aircraft platforms. The estimated amount and timing of these payments are generally based on future sales or engine flight hours. Payments made on these contractual commitments are included within intangible assets as exclusivity assets and are amortized over the term of underlying economic benefit. We have entered into certain collaboration arrangements, which may include participation by our collaboration partners in these commitments. In addition, 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are capitalized as collaboration intangible assets as payments are made.</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Financing Arrangements. </w:t>
      </w:r>
      <w:r>
        <w:rPr>
          <w:rFonts w:ascii="Times New Roman" w:cs="Times New Roman" w:eastAsia="Times New Roman" w:hAnsi="Times New Roman"/>
          <w:sz w:val="18"/>
          <w:szCs w:val="18"/>
          <w:color w:val="auto"/>
        </w:rPr>
        <w:t>We have entered into standby letters of credit and surety bonds with financial institutions to meet various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warranty, retention, guarantee,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$3.9 billion as of June 30, 2025.</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Offset / Industrial Participation Obligations. </w:t>
      </w:r>
      <w:r>
        <w:rPr>
          <w:rFonts w:ascii="Times New Roman" w:cs="Times New Roman" w:eastAsia="Times New Roman" w:hAnsi="Times New Roman"/>
          <w:sz w:val="18"/>
          <w:szCs w:val="18"/>
          <w:color w:val="auto"/>
        </w:rPr>
        <w:t>We have entered into industrial cooperation agreements, sometimes in the form of either offset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ICIP agreements, as a condition to obtaining orders for our products and services from certain customers in foreign countries. At June 30, 2025, the aggregate amount of these agreements, both agreed to and anticipated to be agreed to, had an outstanding notional value of approximately $11.5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 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Government Oversight. </w:t>
      </w:r>
      <w:r>
        <w:rPr>
          <w:rFonts w:ascii="Times New Roman" w:cs="Times New Roman" w:eastAsia="Times New Roman" w:hAnsi="Times New Roman"/>
          <w:sz w:val="18"/>
          <w:szCs w:val="18"/>
          <w:color w:val="auto"/>
        </w:rPr>
        <w:t>In the ordinary course of business, the Company and its subsidiaries and our properties are subject to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examinations, information gathering requests, inquiries, investigations, and threatened legal actions and proceedings. For example, we are now, and believe that, in light of the current U.S. government contracting and overall enforcement environment, we will continue to be the subject of one or more U.S. government investigations. Our contracts with the U.S. government are also subject to audits. Agencies that oversee contract performance include: the Defense Contract 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the imposition of repayment obligations, fines, treble or other damages, forfeitures, disgorgement, restitution, or penalties, the suspension of government export licenses, and/or suspension or debarment from future U.S. government contracting. They could also result in deferred prosecution agreements, administrative orders, consent agreements, guilty plea agreements, and/or imposition of an independent compliance monitor. U.S. government investigations often take years to complete. In particular, in 2024 the Company entered into a deferred prosecution agreement (DPA) (DPA-1) with the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(DPA-2)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In 2024, the Company also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noted above, the U.S. government reserves the right to suspend or debar a contractor from receiving new government contracts for fraudulent, criminal, or other seriously improper conduct. The U.S. government could also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in some cases has been, required to make payments into escrow of disputed liabilities while the related litigation is pending. If the litigation is resolved in the Company’s favor, any such payments will be returned to the Company with interest. Our final allowable incurred costs for each year are also subject to audit and have, 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Arms Export Control Act (AECA), Export Administration Regulations (EAR), Foreign Corrupt Practices Act (FCPA), and ITAR) may also be investigated or audited. In addition, we accrue for liabilities associated with those matters that are probable and can be reasonably estimated. The most likely liability amount to be incurred is accrued based upon a range of estimates. Where no amount within a range of estimates is more likely, then we accrue the minimum amount. Other than as specifically disclosed in this Form 10-Q, we do not expect these audits, investigations, or disputes to have a material effect on our results of operations, financial condition, or liquidity, either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Treatment of Carrier and Otis Dispositions. </w:t>
      </w:r>
      <w:r>
        <w:rPr>
          <w:rFonts w:ascii="Times New Roman" w:cs="Times New Roman" w:eastAsia="Times New Roman" w:hAnsi="Times New Roman"/>
          <w:sz w:val="18"/>
          <w:szCs w:val="18"/>
          <w:color w:val="auto"/>
        </w:rPr>
        <w:t>Management has determined that the distributions of Carrier and Otis on April 3, 2020,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internal business separation transactions, qualified as tax-free under applicable law. In making these determinations, we applied the tax law in the relevant jurisdictions to our facts and circumstances and obtained tax rulings from the relevant taxing authorities, tax opinions, and/or other external tax advice related to the concluded tax treatment. If the completed distributions of Carrier or Otis or certain internal business separation transactions were to fail to qualify for tax-free treatment, the Company could be subject to significant liabilities, and there could be material adverse impacts on the Company’s business, results of operations, financial condition, or liquidity in future reporting periods.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In 2023, Pratt &amp; Whitney determined that a rare condition in powder metal used to manufacture certain engine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requires accelerated inspection of the PW1100G-JM (PW1100) Geared Turbofan (GTF) fleet, which powers the A320neo family of aircraft (A320neo) (herein referred to as the “Powder Metal Matter”).</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4, 2023, Pratt &amp; Whitney issued a special instruction (SI) to operators of PW1100 GTF powered A320neo aircraft, which required accelerated inspections and engine removals covering an initial subset of operational engines, no later than September 15, 2023. During the third quarter of 2023, through its safety management system, Pratt &amp; Whitney continued its engineering and industrial assessment, which resulted in an updated fleet management plan for the remaining PW1100 fleet. This updated plan requires a combination of part inspections and retirements for some high pressure turbine and high pressure compressor parts made from affected raw material. Guidance to affected operators was released via service bulletins (SB) and SI in November 2023, and this guidance has been reflected in airworthiness directives issued by the Federal Aviation Administration (FAA). Consistent with previous information, the actions are resulting in significant incremental shop visits.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matter, Pratt &amp; Whitney expects aircraft on ground levels for the PW1100 powered A320neo fleet to remain elevated through 2026. As a result of anticipated increased aircraft on ground levels and expected compensation to customers for this disruption, as well as incremental maintenance costs resulting from increased inspections and shop visits, Pratt &amp; Whitney recorded a pre-tax operating profit charge in the third quarter of 2023 of $2.9 billion, reflecting Pratt &amp; Whitney’s net 51% program share of the PW1100 program. This amount reflected our best estimate of expected customer compensation for the estimated duration of the disruption as well as the EAC adjustment impact of this matter to Pratt &amp; Whitney’s long-term maintenance contracts. The incremental costs to the business’s long-term maintenance contracts include the estimated cost of additional inspections, replacement of parts, and other related impacts.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charge recorded in the third quarter of 2023 resulted in a net increase in Other accrued liabilities of $2.8 billion, which principally related to our 51% share of an accrual for expected customer compensation. At June 30, 2025 and December 31, 2024, we had other accrued liabilities of $1.1 billion and $1.7 billion, respectively, primarily related to expected compensation to customers. The decrease in the accrual during the six months ended June 30, 2025 was primarily due to customer compensation in the form of credits issued to customers during the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engine models within Pratt &amp; Whitney’s fleet contain parts manufactured with affected powder metal, but we do not currently believe there will be any resultant significant financial impact with respect to these other engine models at this time. The financial impact of the powder metal issue is based on historical experience and is subject to various assumptions and judgments, most notably, the number and expected timing of shop visits, inspection results and scope of work to be performed, turnaround time, availability of parts, available capacity at overhaul facilities, and outcomes of negotiations with impacted customers. While these assumptions reflect our best estimates at this time, they are subject to variability. Potential changes to these assumptions and actual incurred costs could significantly affect the estimates inherent in our financial statements and could have a material effect on the Company’s results of operations for the periods in which they are recognized.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The Company and its subsidiaries are subject to various contract pricing disputes, government investigations, and litigation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jurisdictions, updates to certain of which are set forth below.</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April 2019, a Divisional Administrative Contracting Officer (DACO) of the United States DCMA asserted a claim against Pratt &amp; Whitney to recover alleged overpayments of approximately $1.7 billion plus interest ($1.4 billion at June 30, 2025). The claim is based on Pratt &amp; Whitney’s alleged noncompliance with Cost Accounting Standards (CAS) from January 1, 2007 to March 31, 2019, due to its method of allocating independent research and development costs to government contracts. Pratt &amp; Whitney believes that the claim is without merit and filed an appeal to the ASBCA on June 7, 2019. On September 30, 2024, a DCMA DACO issued a second claim against Pratt &amp; Whitney that similarly alleges that Pratt &amp; Whitney was noncompliant with CAS due to its method of allocating independent research and development costs to government contracts from April 1,</w:t>
      </w:r>
    </w:p>
    <w:p>
      <w:pPr>
        <w:spacing w:after="0" w:line="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2019 to December 31, 2023. The second claim demands payment of $1.1 billion plus interest ($356 million at June 30, 2025). Pratt &amp; Whitney believes the second claim is without merit and filed an appeal to the ASBCA on October 15,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in December 2013, a DCMA DACO asserted a claim against Pratt &amp; Whitney to recover alleged overpayments of approximately $177 million plus interest ($196 million at June 30, 2025). The claim is based on Pratt &amp; Whitney’s alleged noncompliance with CAS from January 1, 2005 to December 31, 2012, due to its method of determining the cost of collaborator parts used in the calculation of material overhead costs for government contracts. In 2014, Pratt &amp; Whitney filed an appeal to the ASBCA. An evidentiary hearing was held and completed in June 2019. On November 22, 2021, the ASBCA issued its written decision sustaining in part and denying in part Pratt &amp; Whitney’s appeal. The ASBCA rejected the DCMA’s asserted measure of the cost of collaborator parts, and ruled substantially in Pratt &amp; Whitney’s favor on other liability issues. The ASBCA remanded the appeal to the parties for resolution of damages issues, which could require further proceedings at the ASBCA. On December 23, 2021, the DCMA filed a motion with the ASBCA seeking partial reconsideration of the November 22, 2021 decision. The motion for reconsideration was denied on August 29, 2022. On December 23, 2022, the DCMA filed an appeal to the United States Court of Appeals for the Federal Circuit. We continue to believe that the ASBCA’s rejection of the DCMA’s asserted measure of the cost of collaborator parts is well supported in fact and law and likely will be sustained. In December 2018, a DCMA DACO issued a second claim against Pratt &amp; Whitney that similarly alleges that its method of determining the cost of collaborator parts does not comply with the CAS for calendar years 2013 through 2017. This second claim, which asserts the same measure of the cost of collaborator parts rejected by the ASBCA’s November 22, 2021 decision, demands payment of $269 million plus interest ($171 million at June 30, 2025). Pratt &amp; Whitney appealed this second claim to the ASBCA in January 2019. In December 2023, a DCMA DACO issued a third claim against Pratt &amp; Whitney that similarly alleges that its method of determining the cost of collaborator parts does not comply with the CAS for calendar years 2018 through 2022. This third claim, which asserts the same measure of the cost of collaborator parts rejected by the ASBCA’s prior decision, demands payment of $277 million plus interest ($92 million at June 30, 2025). Pratt &amp; Whitney appealed this third claim to the ASBCA at the end of December 2023. Although subject to further litigation at the ASBCA and potentially further appellate proceedings, we continue to believe that the November 22, 2021 decision in the first claim will apply with equal legal effect to the second and third claims. Accordingly, we believe that the amounts demanded by the DCMA as set forth in the three claims are without legal basis and that any damages owed to the U.S. government for the three claims will not have a material adverse effect on our results of operations, financial condition, or liquidity.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Thales-Raytheon Systems and Related Matters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in 2019, Raytheon Company received a subpoena from the SEC seeking information in connection with an investigation into whether there were improper payments made by Raytheon Company, our TRS joint venture, or anyone acting on their behalf, in connection with TRS or Raytheon Company contracts in certain Middle East countries since 2014. In the first quarter of 2020, the DOJ advised Raytheon Company it had opened a parallel criminal investigation. In the third quarter of 2020, Raytheon Company received an additional subpoena from the SEC, seeking information and documents as part of its investigation. Following the government’s and the Company’s own internal investigations, the Company engaged in resolution discussions with the DOJ and the SEC, and during the second quarter of 2024, the Company reached agreements in principle with the DOJ and the SEC as to the principal elements of such resolutions, as previously disclosed on July 25, 2024. On October 15, 2024, Raytheon Company entered into DPA-1 with the DOJ and on October 16, 2024, the Company settled an administrative proceeding with the SEC to resolve these matters. Pursuant to DPA-1, the DOJ will defer, for a period of three years, criminal prosecution of Raytheon Company related to Raytheon Company’s conspiracy to violate the anti-bribery provisions of the FCPA and conspiracy to violate the AECA by failing to make related disclosures of certain payments that qualified as fees, commissions, and/or political contributions under Part 130 of the ITAR. If Raytheon Company and the Company fully comply with all of their respective obligations under DPA-1 during its three-year term (commencing on the effective date of DPA-1 and ending three years from the date on which the monitor is engaged), the DOJ will move for dismissal with prejudice of the deferred charges against Raytheon Company. DPA-1 provides for a criminal monetary penalty and forfeiture of $282 million. In addition, the SEC’s Administrative Order issued in connection with the administrative proceeding settlement alleged that Raytheon Company violated the anti-bribery, books and records, and internal controls provisions of the FCPA. The order provides for a $102 million payment to the SEC that includes disgorgement, prejudgment interest on disgorgement, and a civil penalty. Under DPA-1, the SEC’s Administrative Order, and DPA-2 discussed in “DOJ Investigation and Contract Pricing Disputes” below,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DPA-1, the SEC’s Administrative Order, and DPA-2 discussed in “DOJ Investigation and Contract Pricing Disputes” below. During the fourth quarter of 2024, the Company paid $384 million in the aggregate for DPA-1 and the SEC's Administrative Order which was consistent with amounts accrued. The Company does not believe that these matters will have a material adverse effect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DOJ Investigation and Contract Pricing Disputes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previously disclosed, on October 8, 2020, the Company received a criminal subpoena from the DOJ seeking information and documents in connection with an investigation relating to financial accounting, internal controls over financial reporting, and cost reporting regarding Raytheon Company since 2009. The investigation involved multi-year contracts subject to governmental regulation, including defective pricing claims for certain Raytheon Company contracts entered into between 2011 and 2013. As part of the same investigation, on March 24, 2021, the Company received a second criminal subpoena from the DOJ seeking documents relating to a certain contract entered into in 2017 by Raytheon Company. As previously disclosed on July 25, 2024, following the government’s and the Company’s own internal investigations, the Company engaged in resolution discussions with the DOJ, and during the second quarter of 2024, the Company reached an agreement in principle with the DOJ as to the principal elements of such resolution. In addition, the Company cooperated with the DOJ with respect to a related civil defective pricing investigation under the FCA. On October 16, 2024, Raytheon Company entered into DPA-2 and the FCA Settlement Agreement with the DOJ to resolve these matters. Pursuant to DPA-2, the DOJ will defer, for a period of three years, criminal prosecution of Raytheon Company related to two counts of major fraud against the United States by Raytheon Company involving two legacy contracts. If Raytheon Company and the Company fully comply with all of their respective obligations in DPA-2 during its three-year term (commencing on the effective date of DPA-1 and ending three years from the date on which the monitor is engaged), the DOJ will move for dismissal with prejudice of the deferred charges against Raytheon Company. DPA-2 provides for a criminal penalty in the amount of $147 million, plus restitution, and the FCA Settlement Agreement provides for an FCA settlement payment in the amount of $433 million, which includes restitution that will satisfy the criminal restitution obligation when paid. Under DPA-2 as well as DPA-1 and the SEC Administrative Order discussed in “Thales-Raytheon Systems and Related Matters” above, Raytheon Company and the Company are required, among other things, to retain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SEC’s Administrative Order, as applicable, and ending three years from the date on which the monitor is engaged). The compliance monitor will oversee Raytheon Company’s and the Company’s compliance with their respective obligations under DPA-2 as well as DPA-1 and the SEC Administrative Order discussed in “Thales-Raytheon Systems and Related Matters” above. During the fourth quarter of 2024, the Company paid $580 million in the aggregate for DPA-2 and the FCA Settlement Agreement which was consistent with amounts accrued plus interest. The Company does not believe that these matters, will have a material adverse effect on our results of operations, financial condition, or liquidity.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Compliance Matters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identify, investigate, remediate, and voluntarily disclose violations or potential violations of the ITAR and EAR to the relevant regulators. In May 2024, the U.S. DOS Office of Defense Trade Controls Compliance (DTCC) informed the Company of its intent to seek administrative penalties for alleged violations of the AECA and the ITAR. The DTCC informed us that it considers certain of our voluntary disclosures, primarily identified in connection with the integration of Rockwell Collins and, to a lesser extent, Raytheon Company, filed since 2019 to reflect deficiencies warranting a civil penalty. On August 29, 2024, the Company entered into a CA with the DOS to resolve these matters. The CA settles certain AECA and ITAR compliance matters with the DTCC and the Directorate of Defense Trade Controls. The CA has a three-year term and provides for: (i) a civil penalty of $200 million, $100 million of which is suspended on the condition that such amount is applied to DTCC-approved remedial compliance measures; (ii) the appointment of an external Special Compliance Officer (SCO) to oversee compliance with the CA, the AECA, and the ITAR; (iii) an external audit of the Company’s AECA and ITAR compliance program; and (iv) implementation of additional remedial compliance measures related to AECA and ITAR compliance. The $100 million portion of the settlement that is not subject to suspension, which was accrued by the Company in the second quarter of 2024, will be paid in installments, with $34 million paid in September 2024, $33 million due by August 29, 2025, and $33 million due by August 29, 2026. As previously disclosed, the Company has determined that there is a probable risk of liability for potential penalties related to other export compliance matters which have been voluntarily disclosed to the cognizant regulators, but which are not subject to the CA. We have accrued $251 million in the aggregate as of June 30, 2025 for these matters and the matters being resolved pursuant to the CA. We are currently unable to estimate the timing or outcome of the other voluntarily disclosed export compliance matters that are not subject to the CA. However, the Company does not believe these matters will have a material adverse effect on our results of operations, financial condition, or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UTC Equity Conversion Litigation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December 6, 2022, a shareholder derivative lawsuit was filed in the Delaware Court of Chancery against the Company and certain current and former members of its Board of Directors, alleging that defendants breached their fiduciary duties in May 2020 by amending the method by which United Technologies Corporation (UTC) equity awards were converted to certain Company equity awards following the separation of UTC into three independent, publicly traded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On July 23, 2024, in response to a motion to dismiss filed by defendants, the Court dismissed the shareholder derivative lawsuit in its entirety with prejudice. On May 28, 2025, the Delaware Supreme Court affirmed the dismissal, concluding the case in the Company’s favor.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Civil Litigation Related to Employee Hiring Practices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Pratt &amp; Whitney was one of multiple defendants in a class action lawsuit pending in the United States District Court for the District of Connecticut alleging that Pratt &amp; Whitney and the other defendants agreed to restrict the hiring and recruiting of certain engineers and skilled laborers in a manner that violated federal antitrust laws. As of December 2024, all defendants, including Pratt &amp; Whitney, reached a settlement with class counsel. The Court granted final approval of the settlement in May 2025. The case is now concluded.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2024, a shareholder derivative lawsuit was filed in the Delaware Court of Chancery against the Company and certain current and former officers and directors of the Company alleging that defendants breached their fiduciary duties by failing to implement and enforce a reasonable oversight mechanism for compliance with antitrust laws. Based on the information available to date, we do not believe that this matter will have a material adverse effect on our results of operations, financial condition, or liquidity.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Powder Metal Disclosure Litigation and SEC Investigation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Company’s disclosures of a rare condition in powder metal used to manufacture certain Pratt &amp; Whitney engine parts, two sets of civil actions were filed against RTX. First, two putative federal securities class action lawsuits were filed in the United States District Court for the District of Connecticut against the Company and certain current and former executives of the Company. The lawsuits allege that defendants violated federal securities laws by making material misstatements and omitting material facts relating to Pratt &amp; Whitney’s GTF engine fleet, including the impact of the powder metal issue on the fleet, in various regulatory filings. The lawsuits were consolidated and remain pending. Second, multiple shareholder derivative lawsuits were filed against current and former officers and directors of the Company, all of which have now been consolidated into a single action which is pending in the United States District Court for the District of Delaware. The operative complaint in the consolidated action alleges that the defendants caused the Company to make materially false and misleading statements relating to Pratt &amp; Whitney’s GTF engines, and failed to maintain an adequate system of oversight, disclosure controls and procedures, and internal controls over financial reporting. Based on the information available to date, we do not believe that either matter will have a material adverse effect on our results of operations, financial condition, or liquidity.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2023, January 30, 2024, and May 21, 2024, the Company received subpoenas from the SEC seeking engineering, operational, organizational, accounting, and financial documents in connection with an investigation relating to the Company’s disclosures in 2023 of issues arising from Pratt &amp; Whitney’s use of powder metal in manufacturing various engine parts, its identification of certain risks associated with those manufacturing processes, and corrective actions identified by Pratt &amp; Whitney to mitigate those risks. The Company is cooperating with the SEC and is responding to the subpoenas. At this time, we are unable to predict the timing or outcome of this SEC investigation.</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 appropriate, we have recorded loss contingency accruals for the above-referenced matters. Unless noted above, loss contingency accruals are immaterial individually or in the aggregate.</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As described in “Note 15: Guarantees,” we extend performance and operating cost guarantees beyond our normal warranty and service policies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Equity</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Accumulated Other Comprehensive Loss. </w:t>
      </w:r>
      <w:r>
        <w:rPr>
          <w:rFonts w:ascii="Times New Roman" w:cs="Times New Roman" w:eastAsia="Times New Roman" w:hAnsi="Times New Roman"/>
          <w:sz w:val="18"/>
          <w:szCs w:val="18"/>
          <w:color w:val="auto"/>
        </w:rPr>
        <w:t>A summary of the changes in each component of Accumulated other comprehensive loss, net of tax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and six months ended June 30, 2025 and 2024 is provided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13"/>
                <w:szCs w:val="13"/>
                <w:color w:val="auto"/>
              </w:rPr>
            </w:pPr>
          </w:p>
        </w:tc>
        <w:tc>
          <w:tcPr>
            <w:tcW w:w="14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3"/>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Translation </w:t>
            </w:r>
            <w:r>
              <w:rPr>
                <w:rFonts w:ascii="Times New Roman" w:cs="Times New Roman" w:eastAsia="Times New Roman" w:hAnsi="Times New Roman"/>
                <w:sz w:val="18"/>
                <w:szCs w:val="18"/>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 2025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863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26</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(2,391)</w:t>
            </w:r>
          </w:p>
        </w:tc>
        <w:tc>
          <w:tcPr>
            <w:tcW w:w="0" w:type="dxa"/>
            <w:vAlign w:val="bottom"/>
          </w:tcPr>
          <w:p>
            <w:pPr>
              <w:spacing w:after="0"/>
              <w:rPr>
                <w:sz w:val="1"/>
                <w:szCs w:val="1"/>
                <w:color w:val="auto"/>
              </w:rPr>
            </w:pPr>
          </w:p>
        </w:tc>
      </w:tr>
      <w:tr>
        <w:trPr>
          <w:trHeight w:val="257"/>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1,362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(2,391)</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500" w:hanging="332"/>
        <w:spacing w:after="0" w:line="28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foreign currency translation recognized in Other Comprehensive Income (loss) (OCI) includes gains (losses) relating to net investment hedges, as further discussed in “Note 12: Financial Instruments”.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4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Unrealized Hedging</w:t>
            </w:r>
          </w:p>
        </w:tc>
        <w:tc>
          <w:tcPr>
            <w:tcW w:w="180" w:type="dxa"/>
            <w:vAlign w:val="bottom"/>
          </w:tcPr>
          <w:p>
            <w:pPr>
              <w:spacing w:after="0"/>
              <w:rPr>
                <w:sz w:val="13"/>
                <w:szCs w:val="13"/>
                <w:color w:val="auto"/>
              </w:rPr>
            </w:pPr>
          </w:p>
        </w:tc>
        <w:tc>
          <w:tcPr>
            <w:tcW w:w="14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2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June 30, 2024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tcPr>
          <w:p>
            <w:pPr>
              <w:spacing w:after="0"/>
              <w:rPr>
                <w:sz w:val="19"/>
                <w:szCs w:val="19"/>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56"/>
        </w:trPr>
        <w:tc>
          <w:tcPr>
            <w:tcW w:w="47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Financial Data</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Our segments are generally based on the management structure of the businesses and the grouping of similar operating companies, where each management organization has general operating autonomy over diversified products and services.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RTX’s chief operating decision maker (CODM) is our Chairman and Chief Executive Officer. The CODM uses segment operating profit as a profitability measure to assess actual and forecasted segment performance to make decisions regarding incentive compensation and the allocation of capital and other investments. Total sales and operating profit by segment include inter-segment sales which are generally recorded at cost-plus a specified fee or at a negotiated fixed price. These pricing arrangements may result in margins different than what the purchasing segment realizes on the ultimate third-party sale.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Financial Accounting Standards (FAS) requirements of U.S. Generally Accepted Accounting Principles (GAAP) and our pension and PRB expense under U.S. government Cost Accounting Standards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quarters ended June 30, 2025 and 2024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00" w:type="dxa"/>
            <w:vAlign w:val="bottom"/>
          </w:tcPr>
          <w:p>
            <w:pPr>
              <w:spacing w:after="0"/>
              <w:rPr>
                <w:sz w:val="11"/>
                <w:szCs w:val="11"/>
                <w:color w:val="auto"/>
              </w:rPr>
            </w:pPr>
          </w:p>
        </w:tc>
        <w:tc>
          <w:tcPr>
            <w:tcW w:w="1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4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9"/>
                <w:szCs w:val="9"/>
                <w:b w:val="1"/>
                <w:bCs w:val="1"/>
                <w:color w:val="auto"/>
              </w:rPr>
              <w:t>(1)</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1,173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7,631</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(6,890)</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492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(6,075)</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805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(19,085)</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2,470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24</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186</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(487)</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21,581</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2,146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20" w:type="dxa"/>
            <w:vAlign w:val="bottom"/>
          </w:tcPr>
          <w:p>
            <w:pPr>
              <w:spacing w:after="0"/>
              <w:rPr>
                <w:sz w:val="11"/>
                <w:szCs w:val="11"/>
                <w:color w:val="auto"/>
              </w:rPr>
            </w:pPr>
          </w:p>
        </w:tc>
        <w:tc>
          <w:tcPr>
            <w:tcW w:w="12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2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1,118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1,787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(930)</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212</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(504)</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1" w:lineRule="exact"/>
        <w:rPr>
          <w:rFonts w:ascii="Times New Roman" w:cs="Times New Roman" w:eastAsia="Times New Roman" w:hAnsi="Times New Roman"/>
          <w:sz w:val="14"/>
          <w:szCs w:val="14"/>
          <w:color w:val="auto"/>
        </w:rPr>
      </w:pPr>
    </w:p>
    <w:p>
      <w:pPr>
        <w:ind w:left="340" w:right="440" w:hanging="332"/>
        <w:spacing w:after="0" w:line="261" w:lineRule="auto"/>
        <w:tabs>
          <w:tab w:leader="none" w:pos="32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 includes a $0.6 billion charge in the second quarter of 2024 related to the Raytheon Contract Termination. See “Note 5: Changes in Contract Estimates at Completion” for additional information.</w:t>
      </w: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six months ended June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2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00" w:type="dxa"/>
            <w:vAlign w:val="bottom"/>
          </w:tcPr>
          <w:p>
            <w:pPr>
              <w:spacing w:after="0"/>
              <w:rPr>
                <w:sz w:val="11"/>
                <w:szCs w:val="11"/>
                <w:color w:val="auto"/>
              </w:rPr>
            </w:pPr>
          </w:p>
        </w:tc>
        <w:tc>
          <w:tcPr>
            <w:tcW w:w="1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40" w:type="dxa"/>
            <w:vAlign w:val="bottom"/>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7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2,261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14,997</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(13,446)</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1,072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(11,639)</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1,483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0" w:type="dxa"/>
            <w:vAlign w:val="bottom"/>
          </w:tcPr>
          <w:p>
            <w:pPr>
              <w:spacing w:after="0"/>
              <w:rPr>
                <w:sz w:val="1"/>
                <w:szCs w:val="1"/>
                <w:color w:val="auto"/>
              </w:rPr>
            </w:pP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(37,022)</w:t>
            </w:r>
          </w:p>
        </w:tc>
        <w:tc>
          <w:tcPr>
            <w:tcW w:w="100" w:type="dxa"/>
            <w:vAlign w:val="bottom"/>
          </w:tcPr>
          <w:p>
            <w:pPr>
              <w:spacing w:after="0"/>
              <w:rPr>
                <w:sz w:val="19"/>
                <w:szCs w:val="19"/>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4,816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36</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371</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(957)</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41,887</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4,181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Pr>
          <w:p>
            <w:pPr>
              <w:spacing w:after="0"/>
              <w:rPr>
                <w:sz w:val="11"/>
                <w:szCs w:val="11"/>
                <w:color w:val="auto"/>
              </w:rPr>
            </w:pPr>
          </w:p>
        </w:tc>
        <w:tc>
          <w:tcPr>
            <w:tcW w:w="104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1"/>
                <w:szCs w:val="11"/>
                <w:color w:val="auto"/>
              </w:rPr>
            </w:pPr>
          </w:p>
        </w:tc>
        <w:tc>
          <w:tcPr>
            <w:tcW w:w="110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11"/>
                <w:szCs w:val="11"/>
                <w:color w:val="auto"/>
              </w:rPr>
            </w:pPr>
          </w:p>
        </w:tc>
        <w:tc>
          <w:tcPr>
            <w:tcW w:w="1120" w:type="dxa"/>
            <w:vAlign w:val="bottom"/>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Other Segment</w:t>
            </w:r>
          </w:p>
        </w:tc>
        <w:tc>
          <w:tcPr>
            <w:tcW w:w="120" w:type="dxa"/>
            <w:vAlign w:val="bottom"/>
          </w:tcPr>
          <w:p>
            <w:pPr>
              <w:spacing w:after="0"/>
              <w:rPr>
                <w:sz w:val="11"/>
                <w:szCs w:val="11"/>
                <w:color w:val="auto"/>
              </w:rPr>
            </w:pPr>
          </w:p>
        </w:tc>
        <w:tc>
          <w:tcPr>
            <w:tcW w:w="12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320" w:type="dxa"/>
            <w:vAlign w:val="bottom"/>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Operating Profit</w:t>
            </w:r>
          </w:p>
        </w:tc>
        <w:tc>
          <w:tcPr>
            <w:tcW w:w="0" w:type="dxa"/>
            <w:vAlign w:val="bottom"/>
          </w:tcPr>
          <w:p>
            <w:pPr>
              <w:spacing w:after="0"/>
              <w:rPr>
                <w:sz w:val="1"/>
                <w:szCs w:val="1"/>
                <w:color w:val="auto"/>
              </w:rPr>
            </w:pPr>
          </w:p>
        </w:tc>
      </w:tr>
      <w:tr>
        <w:trPr>
          <w:trHeight w:val="203"/>
        </w:trPr>
        <w:tc>
          <w:tcPr>
            <w:tcW w:w="4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Items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1,967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1,123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3"/>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(34,677)</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4,044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(1,026)</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426</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(1,004)</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2,399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sales, Selling, general, and administrative expenses, and Other income (expense), net.</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5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 includes a $0.6 billion charge in the second quarter of 2024 related to the Raytheon Contract Termination and a $0.4 billion gain, net of transaction and other related costs, in the first quarter of 2024 related to the sale of our CIS business. See “Note 5: Changes in Contract Estimates at Completion” and “Note 2: Acquisitions and Dispositions,” respectively, for additional information.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and Amortization segment information for the quarters ended June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4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3"/>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0" w:type="dxa"/>
            <w:vAlign w:val="bottom"/>
          </w:tcPr>
          <w:p>
            <w:pPr>
              <w:spacing w:after="0"/>
              <w:rPr>
                <w:sz w:val="1"/>
                <w:szCs w:val="1"/>
                <w:color w:val="auto"/>
              </w:rPr>
            </w:pPr>
          </w:p>
        </w:tc>
      </w:tr>
      <w:tr>
        <w:trPr>
          <w:trHeight w:val="23"/>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w:t>
            </w:r>
          </w:p>
        </w:tc>
        <w:tc>
          <w:tcPr>
            <w:tcW w:w="8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76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194</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135</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76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485</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549</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21</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506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530</w:t>
            </w:r>
          </w:p>
        </w:tc>
        <w:tc>
          <w:tcPr>
            <w:tcW w:w="86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1,076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and Depreciation and Amortization segment information for the six months ended June 30, 2025 and 2024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Depreciation &amp; Amortization</w:t>
            </w:r>
          </w:p>
        </w:tc>
        <w:tc>
          <w:tcPr>
            <w:tcW w:w="0" w:type="dxa"/>
            <w:vAlign w:val="bottom"/>
          </w:tcPr>
          <w:p>
            <w:pPr>
              <w:spacing w:after="0"/>
              <w:rPr>
                <w:sz w:val="1"/>
                <w:szCs w:val="1"/>
                <w:color w:val="auto"/>
              </w:rPr>
            </w:pPr>
          </w:p>
        </w:tc>
      </w:tr>
      <w:tr>
        <w:trPr>
          <w:trHeight w:val="23"/>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2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437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388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266</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1,091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42</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995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620" w:type="dxa"/>
            <w:vAlign w:val="bottom"/>
            <w:tcBorders>
              <w:bottom w:val="single" w:sz="8" w:color="auto"/>
            </w:tcBorders>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2,128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41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by segment are as follows: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2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3"/>
        </w:trPr>
        <w:tc>
          <w:tcPr>
            <w:tcW w:w="6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Collins Aerospace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74,247</w:t>
            </w:r>
          </w:p>
        </w:tc>
        <w:tc>
          <w:tcPr>
            <w:tcW w:w="7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72,372</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Pratt &amp; Whitney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47,670</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44,855</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166,772</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eliminations, and 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167,139</w:t>
            </w:r>
          </w:p>
        </w:tc>
        <w:tc>
          <w:tcPr>
            <w:tcW w:w="7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162,861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Total assets include acquired intangible assets and the property, plant, and equipment fair value adjustment. Related amortization expense is included in Acquisition accounting adjustments.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disaggregate our contracts from customers by geographic region based on customer location, by type of customer, and by sales type. Our geographic region based on customer location uses end user customer location where known or practical to determine, or in instances where the end user customer is not known or not practical to determine, uses “ship to” location as the customer location. In addition, for our Raytheon segment, we disaggregate our contracts from customers by contract type. We believe these categories best depict how the nature, amount, timing, and uncertainty of our revenue and cash flows are affected by economic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based on customer location for the quarters ended June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209"/>
        </w:trPr>
        <w:tc>
          <w:tcPr>
            <w:tcW w:w="3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6,929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7,631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693</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(673)</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21,581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geographic region for the six months ended June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22,986</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3,480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7,422</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Asia Pacific</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1,760</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0" w:type="dxa"/>
            <w:vAlign w:val="bottom"/>
          </w:tcPr>
          <w:p>
            <w:pPr>
              <w:spacing w:after="0"/>
              <w:rPr>
                <w:sz w:val="1"/>
                <w:szCs w:val="1"/>
                <w:color w:val="auto"/>
              </w:rPr>
            </w:pPr>
          </w:p>
        </w:tc>
      </w:tr>
      <w:tr>
        <w:trPr>
          <w:trHeight w:val="213"/>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East and North Africa</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regions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904</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1,504</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209"/>
        </w:trPr>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13,516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14,996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13,267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41,887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1,323</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(1,398)</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14,839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13,341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(1,290)</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41,887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quarters ended June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00" w:type="dxa"/>
            <w:vAlign w:val="bottom"/>
          </w:tcPr>
          <w:p>
            <w:pPr>
              <w:jc w:val="right"/>
              <w:ind w:right="10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58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8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 direct commercial sales</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932</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Commercial aerospace and other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4,652</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5,577</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10,240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9,229</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6,929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693</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2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21,581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type of customer for the six months ended June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76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40" w:type="dxa"/>
            <w:vAlign w:val="bottom"/>
          </w:tcPr>
          <w:p>
            <w:pPr>
              <w:spacing w:after="0"/>
              <w:rPr>
                <w:sz w:val="11"/>
                <w:szCs w:val="11"/>
                <w:color w:val="auto"/>
              </w:rPr>
            </w:pPr>
          </w:p>
        </w:tc>
        <w:tc>
          <w:tcPr>
            <w:tcW w:w="640" w:type="dxa"/>
            <w:vAlign w:val="bottom"/>
          </w:tcPr>
          <w:p>
            <w:pPr>
              <w:jc w:val="right"/>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8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20" w:type="dxa"/>
            <w:vAlign w:val="bottom"/>
          </w:tcPr>
          <w:p>
            <w:pPr>
              <w:spacing w:after="0"/>
              <w:rPr>
                <w:sz w:val="11"/>
                <w:szCs w:val="11"/>
                <w:color w:val="auto"/>
              </w:rPr>
            </w:pPr>
          </w:p>
        </w:tc>
        <w:tc>
          <w:tcPr>
            <w:tcW w:w="76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100"/>
              <w:spacing w:after="0" w:line="215" w:lineRule="exact"/>
              <w:rPr>
                <w:sz w:val="20"/>
                <w:szCs w:val="20"/>
                <w:color w:val="auto"/>
              </w:rPr>
            </w:pPr>
            <w:r>
              <w:rPr>
                <w:rFonts w:ascii="Times New Roman" w:cs="Times New Roman" w:eastAsia="Times New Roman" w:hAnsi="Times New Roman"/>
                <w:sz w:val="16"/>
                <w:szCs w:val="16"/>
                <w:color w:val="auto"/>
              </w:rPr>
              <w:t xml:space="preserve">Sales to the U.S. government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16,179</w:t>
            </w:r>
          </w:p>
        </w:tc>
        <w:tc>
          <w:tcPr>
            <w:tcW w:w="0" w:type="dxa"/>
            <w:vAlign w:val="bottom"/>
          </w:tcPr>
          <w:p>
            <w:pPr>
              <w:spacing w:after="0"/>
              <w:rPr>
                <w:sz w:val="1"/>
                <w:szCs w:val="1"/>
                <w:color w:val="auto"/>
              </w:rPr>
            </w:pPr>
          </w:p>
        </w:tc>
      </w:tr>
      <w:tr>
        <w:trPr>
          <w:trHeight w:val="162"/>
        </w:trPr>
        <w:tc>
          <w:tcPr>
            <w:tcW w:w="30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Foreign military sales through the U.S.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government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Foreign government direct commercial</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0" w:type="dxa"/>
            <w:vAlign w:val="bottom"/>
          </w:tcPr>
          <w:p>
            <w:pPr>
              <w:spacing w:after="0"/>
              <w:rPr>
                <w:sz w:val="1"/>
                <w:szCs w:val="1"/>
                <w:color w:val="auto"/>
              </w:rPr>
            </w:pPr>
          </w:p>
        </w:tc>
      </w:tr>
      <w:tr>
        <w:trPr>
          <w:trHeight w:val="162"/>
        </w:trPr>
        <w:tc>
          <w:tcPr>
            <w:tcW w:w="30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Commercial aerospace and 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commercial 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9,137</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19,991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8,602</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17,950</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Consolidated net sales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14,996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1,323</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Business segment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41,887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quarters ended June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2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4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6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14,562</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3,508</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5,159</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6,929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693</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(727)</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21,581</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sales disaggregated by sales type for the six months ended June 30, 2025 and 2024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0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20" w:type="dxa"/>
            <w:vAlign w:val="bottom"/>
          </w:tcPr>
          <w:p>
            <w:pPr>
              <w:spacing w:after="0"/>
              <w:rPr>
                <w:sz w:val="11"/>
                <w:szCs w:val="11"/>
                <w:color w:val="auto"/>
              </w:rPr>
            </w:pPr>
          </w:p>
        </w:tc>
        <w:tc>
          <w:tcPr>
            <w:tcW w:w="620" w:type="dxa"/>
            <w:vAlign w:val="bottom"/>
          </w:tcPr>
          <w:p>
            <w:pPr>
              <w:jc w:val="right"/>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60" w:type="dxa"/>
            <w:vAlign w:val="bottom"/>
          </w:tcPr>
          <w:p>
            <w:pPr>
              <w:spacing w:after="0"/>
              <w:rPr>
                <w:sz w:val="11"/>
                <w:szCs w:val="11"/>
                <w:color w:val="auto"/>
              </w:rPr>
            </w:pP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4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760" w:type="dxa"/>
            <w:vAlign w:val="bottom"/>
          </w:tcPr>
          <w:p>
            <w:pPr>
              <w:jc w:val="right"/>
              <w:ind w:right="149"/>
              <w:spacing w:after="0" w:line="135" w:lineRule="exact"/>
              <w:rPr>
                <w:sz w:val="20"/>
                <w:szCs w:val="20"/>
                <w:color w:val="auto"/>
              </w:rPr>
            </w:pPr>
            <w:r>
              <w:rPr>
                <w:rFonts w:ascii="Times New Roman" w:cs="Times New Roman" w:eastAsia="Times New Roman" w:hAnsi="Times New Roman"/>
                <w:sz w:val="13"/>
                <w:szCs w:val="13"/>
                <w:b w:val="1"/>
                <w:bCs w:val="1"/>
                <w:color w:val="auto"/>
              </w:rPr>
              <w:t>Collins</w:t>
            </w:r>
          </w:p>
        </w:tc>
        <w:tc>
          <w:tcPr>
            <w:tcW w:w="160" w:type="dxa"/>
            <w:vAlign w:val="bottom"/>
          </w:tcPr>
          <w:p>
            <w:pPr>
              <w:spacing w:after="0"/>
              <w:rPr>
                <w:sz w:val="11"/>
                <w:szCs w:val="11"/>
                <w:color w:val="auto"/>
              </w:rPr>
            </w:pPr>
          </w:p>
        </w:tc>
        <w:tc>
          <w:tcPr>
            <w:tcW w:w="74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Pratt &amp;</w:t>
            </w:r>
          </w:p>
        </w:tc>
        <w:tc>
          <w:tcPr>
            <w:tcW w:w="14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Raytheon</w:t>
            </w:r>
          </w:p>
        </w:tc>
        <w:tc>
          <w:tcPr>
            <w:tcW w:w="16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620" w:type="dxa"/>
            <w:vAlign w:val="bottom"/>
            <w:vMerge w:val="restart"/>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3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Aerospace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Whitney</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28,865</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Services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2,998</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6,841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1,886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2,725</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10,161</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14,996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13,267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Inter-segment sales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1,323</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(1,398)</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9"/>
        </w:trPr>
        <w:tc>
          <w:tcPr>
            <w:tcW w:w="30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(1,290)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41,887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quarters ended June 30, 2025 and 2024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2,976</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3,153</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7,001</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Raytheon segment sales disaggregated by contract type for the six months ended June 30, 2025 and 2024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6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Fixed-price</w:t>
            </w:r>
          </w:p>
        </w:tc>
        <w:tc>
          <w:tcPr>
            <w:tcW w:w="34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w:t>
            </w:r>
          </w:p>
        </w:tc>
      </w:tr>
      <w:tr>
        <w:trPr>
          <w:trHeight w:val="213"/>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Cost-type</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5,671</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6,490</w:t>
            </w: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net sales</w:t>
            </w:r>
          </w:p>
        </w:tc>
        <w:tc>
          <w:tcPr>
            <w:tcW w:w="3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13,101</w:t>
            </w:r>
          </w:p>
        </w:tc>
      </w:tr>
      <w:tr>
        <w:trPr>
          <w:trHeight w:val="213"/>
        </w:trPr>
        <w:tc>
          <w:tcPr>
            <w:tcW w:w="4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Inter-segment sales</w:t>
            </w:r>
          </w:p>
        </w:tc>
        <w:tc>
          <w:tcPr>
            <w:tcW w:w="3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19"/>
        </w:trPr>
        <w:tc>
          <w:tcPr>
            <w:tcW w:w="47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segment sales</w:t>
            </w:r>
          </w:p>
        </w:tc>
        <w:tc>
          <w:tcPr>
            <w:tcW w:w="346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13,341</w:t>
            </w: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Remaining Performance Obligations (RPO)</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RPO represents the aggregate amount of total contract transaction price that is unsatisfied or partially unsatisfied. Total RPO was approximately $236 billion as of June 30, 2025. Of the total RPO as of June 30, 2025, we expect approximately 25% will be recognized as revenue over the next 12 months. Approximately 45% of our RPO relates to long-term commercial aerospace maintenance contracts at Pratt &amp; Whitney, which are generally expected to be realized over a span of up to 20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Accounting Pronouncements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Disaggregation of Income Statement Expenses, which requires a tabular disclosure of the amounts of specified natural expense categories included in each relevant expense caption. Additionally, ASU 2024-03 requires the disclosure of the total amount of selling expenses and, in annual reporting periods, an entity’s definition of selling expenses. The new standard is effective for annual reporting periods beginning after December 15, 2026, and interim periods within fiscal years beginning after December 15, 2027, on a prospective basis. Early adoption is permitted. We are currently evaluating the impact on our disclosures of adopting this new pronouncement.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income tax reporting disclosures and require disclosure of specific categories in the tabular rate reconciliation. The new standard is effective for fiscal years beginning after December 15, 2024, on a prospective basis. We are currently evaluating the impact on our disclosures of adopting this new pronouncement.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new pronouncements issued but not effective until after June 30, 2025 are not expected to have a material impact on our results of operations, financial condition, or liquidity.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RTX for the quarters and six months ended June 30, 2025 and 2024, PricewaterhouseCoopers LLP (PwC) reported that it has applied limited procedures in accordance with professional standards for a review of such information. However, its report dated July 22, 2025, appearing below, states that the firm did not audit and does not express an opinion on that unaudited condensed consolidated financial information. PwC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PwC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PwC within the meaning of Sections 7 and 11 of the Act.</w:t>
      </w:r>
    </w:p>
    <w:p>
      <w:pPr>
        <w:spacing w:after="0" w:line="21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Shareowners and Board of Directors of RTX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Review of Interim Financial Information</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RTX Corporation and its subsidiaries (the “Company”) as of June 30, 2025, and the related condensed consolidated statements of operations, of comprehensive income, and of changes in equity for the three-month and six-month periods ended June 30, 2025 and 2024, and the condensed consolidated statement of cash flows for the six-month periods ended June 30, 2025 and 2024,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2024, and the related consolidated statements of operations, of comprehensive income, of changes in equity, and of cash flows for the year then ended (not presented herein), and in our report dated February 3, 2025, we expressed an unqualified opinion on those consolidated financial statements. In our opinion, the information set forth in the accompanying condensed consolidated balance sheet as of December 31, 2024, is fairly stated, in all material respects, in relation to the consolidated balance sheet from which it has been derived.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Review Results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premier systems provider of high technology products and services to the aerospace and defense industries.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“our,” “us,” “the Company,” and “RTX” mean RTX Corporation and its subsidiaries. References to “Raytheon Company” mean Raytheon Company, which became a wholly owned subsidiary of RTX on April 3, 2020 during an all-stock merger transaction between United Technologies Corporation and Raytheon Company (the surviving company of which is RTX Corporation).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Raytheon follows a 4-4-5 fiscal calendar while Collins Aerospace (Collins) and Pratt &amp; Whitney use a quarter calendar end. Throughout this Form 10-Q, when we refer to the quarters and six months ended June 30, 2025 and 2024 with respect to Raytheon, we are referring to their June 29, 2025 and June 30, 2024 fiscal quarter ends,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2025 is discussed below. For additional discussion, refer to the “Business Overview” section in Management’s Discussion and Analysis of Financial Condition and Results of Operations (MD&amp;A) in our 2024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Considerations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legislation, policies, and regulations can impact our business and operations. Changes in environmental and climate change-related laws or regulations, including regulations on greenhouse gas emissions, carbon pricing, and energy taxes, could lead to new or additional investment in product designs and facility upgrades and could increase our operational and environmental compliance expenditures, including increased energy and raw materials costs and costs associated with manufacturing changes. In addition, government and industry-driven safety and performance regulations, restrictions on aircraft engine noise and emissions, government imposed travel restrictions, and government procurement practices can impact our businesses.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Collins and Pratt &amp; Whitney serve both commercial and government aerospace customers. Revenue passenger miles (RPMs), available seat miles, and the general economic health of airline carriers and airframers, as well as the financial strength and performance of airframers, are key barometers for our commercial aerospace operations. Performance in the general aviation sector is closely tied to the overall health of the economy and is positively correlated to corporate profits. Many of our aerospace customers are covered under long-term aftermarket service agreements at both Collins and Pratt &amp; Whitney, which are inclusive of both spare parts and services.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defense operations are affected by U.S. Department of Defense (DoD) budget and spending levels, changes in demand, changes in policy positions or priorities, the domestic and global political and economic environment, and the evolving nature of the global and national security threat environment. In addition, our defense businesses engage in both direct commercial sales, which generally require U.S. government licenses and approvals, as well as foreign military sales, which are government-to-government transactions initiated by, and carried out at the direction of, the U.S. government. Changes in these budget and spending levels, policies, or priorities, which are subject to U.S. domestic and foreign geopolitical risks and threats, may impact our defense businesses, including the timing of and delays in U.S. government licenses and approvals for sales, the risk of sanctions, or other restrictions.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and supply, labor availability and costs, inflation, interest rates, potential changes in U.S. government policy positions, including changes in DoD policies or priorities, geopolitical conflicts and strained intercountry relations, U.S. and non-U.S. tax law changes, foreign currency exchange rates, sanctions, tariffs, energy costs and supply, levels of air travel, the financial condition of commercial airlines, and the impact from natural disasters and weather conditions create uncertainties that could impact our businesses.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As previously announced, in 2024 the Company resolved several outstanding legal matters, herein referred to as “Resolution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Matters.” The Company entered into a deferred prosecution agreement (DPA) (DPA-1) with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Department of Justice (DOJ) and the Company settled an administrative proceeding with the Securities and Exchange Commission (SEC) (the SEC Administrative Order) to resolve the previously disclosed criminal and civil government investigations into payments made by Raytheon Company and its joint venture, Thales-Raytheon Systems (TRS), in connection with certain Middle East contracts since 2012 (Thales-Raytheon Systems and Related Matters). The Company also entered into a DPA and a False Claims Act (FCA) settlement agreement with the DOJ to resolve previously disclosed criminal and civil government investigations into defective pricing claims for certain legacy Raytheon Company contracts entered into between 2011 and 2013 and in 2017 (DOJ Investigation and Contract Pricing Disputes). Under these DPAs and the SEC Administrative Order, Raytheon Company and the Company are required to retain, among other things, an independent compliance monitor satisfactory to the DOJ and the SEC (for a term ending three years from the date on which the monitor is engaged) and are required to undertake certain cooperation and disclosure obligations (for a term commencing on the effective date of DPA-1 and the SEC Administrative Order, as applicable, and ending three years from the date on which the monitor is engaged). The compliance monitor will oversee Raytheon Company’s and the Company’s compliance with their respective obligations under the DPAs and the SEC Administrative Order. The DPAs further provide that, in the event the DOJ, in its sole discretion, determines during the period of deferral of prosecution that Raytheon Company or the Company have violated any provision of either DPA, Raytheon Company or the Company may be subject to prosecution for any federal criminal violation, including the charges against Raytheon Company in the relevant DPA. The SEC Administrative Order further provides that, in the event of a breach of the SEC Administrative Order, the SEC may vacate the SEC Administrative Order and institute proceedings against the Company. In the event of any such determination or breach, the Company may face additional adverse impacts. In addition, the Company resolved certain voluntarily disclosed export controls violations primarily identified in connection with the integration of Rockwell Collins and, to a lesser extent, Raytheon Company, including certain violations that were resolved pursuant to a Consent Agreement (CA) with the Department of State (DOS) (Trade Compliance Matters). The CA, which has a three-year term, requires the Company to implement remedial compliance measures and to conduct an external audit of the Company’s International Traffic in Arms Regulations (ITAR) compliance program. The CA also requires appointment of an external, independent Special Compliance Officer (SCO). The Company appointed its SCO on September 27, 2024.</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DPA-1, DPA-2, the SEC Administrative Order, and the CA, see “Note 16: Commitments and Contingencies,” within Item 1 of this Form 10-Q.</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Pratt &amp; Whitney Powder Metal Matter. </w:t>
      </w:r>
      <w:r>
        <w:rPr>
          <w:rFonts w:ascii="Times New Roman" w:cs="Times New Roman" w:eastAsia="Times New Roman" w:hAnsi="Times New Roman"/>
          <w:sz w:val="18"/>
          <w:szCs w:val="18"/>
          <w:color w:val="auto"/>
        </w:rPr>
        <w:t>As described further in “Note 16: Commitments and Contingencies,” within Item 1 of this Form 10-Q, in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Pratt &amp; Whitney determined that a rare condition in powder metal used to manufacture certain engine parts requires accelerated inspection of the PW1100G-JM (PW1100) Geared Turbofan (GTF) fleet, which powers the A320neo family of aircraft (A320neo) (herein referred to as the “Powder Metal Matter”).</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Global Supply Chain. </w:t>
      </w:r>
      <w:r>
        <w:rPr>
          <w:rFonts w:ascii="Times New Roman" w:cs="Times New Roman" w:eastAsia="Times New Roman" w:hAnsi="Times New Roman"/>
          <w:sz w:val="18"/>
          <w:szCs w:val="18"/>
          <w:color w:val="auto"/>
        </w:rPr>
        <w:t>We are dependent on a global supply chain and have experienced supply chain disruptions that resulted in delays and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and adversely affected our performance. These disruptions impacted our ability to procure raw materials, including certain rare earth elements, microelectronics, and certain commodities on a timely basis and/or at expected prices, and are driven by supply chain market constraints and macroeconomic conditions, including inflation and labor market shortages. Current geopolitical conditions, including conflicts and other causes of strained intercountry relations, as well as sanctions and other trade restrictive activities, such as tariffs, are contributing to these issues. Furthermore, our suppliers and subcontractors have been impacted by these same issues. We have implemented actions and programs to mitigate some of the impacts but anticipate supply chain disruptions to continue.</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Pratt &amp; Whitney IAM Work Stoppage. </w:t>
      </w:r>
      <w:r>
        <w:rPr>
          <w:rFonts w:ascii="Times New Roman" w:cs="Times New Roman" w:eastAsia="Times New Roman" w:hAnsi="Times New Roman"/>
          <w:sz w:val="18"/>
          <w:szCs w:val="18"/>
          <w:color w:val="auto"/>
        </w:rPr>
        <w:t>On May 27, 2025, the International Association of Machinists and Aerospace Workers (IAM) Local 1746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700 (District 26) voted to ratify a new contract with Pratt &amp; Whitney, thereby ending the work stoppage initiated on May 5, 2025, which impacted production and aftermarket service of certain Pratt &amp; Whitney commercial and military engine models, including the PW1100G-JM Geared Turbo Fan, and the F135. The IAM work stoppage reduced engine deliveries during the second quarter of 2025. Full production operations for all affected engine programs resumed in June 2025.</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Economic Environment. </w:t>
      </w:r>
      <w:r>
        <w:rPr>
          <w:rFonts w:ascii="Times New Roman" w:cs="Times New Roman" w:eastAsia="Times New Roman" w:hAnsi="Times New Roman"/>
          <w:sz w:val="18"/>
          <w:szCs w:val="18"/>
          <w:color w:val="auto"/>
        </w:rPr>
        <w:t>The inflationary environment has increased material and component prices, labor rates, and supplier costs and has negatively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impacted our performance, including our productivity expectations. Due to the nature of our government and commercial aerospace businesses, and their respective customer and supplier contracts, we are not always able to offset cost increases by increasing our contract value or pricing, in particular on our fixed-price contracts. Increasing material, component, and labor prices could subject us to losses in our fixed price contracts in the event of cost overruns. In addition, higher interest rates have increased the cost of borrowing and tightened the availability of capital. Among other things, these effects can constrain our customers’ purchasing power and decrease orders for our products and services and impact the ability of our customers to make payments and our suppliers to perform. Moreover, changes in the macroeconomic environment, including volatility with respect to global trade policy, interest rates, and financial markets, can lead to economic uncertainty, an economic downturn or recession and impact the demand for our products and services as well as our supply chain. We continue to pursue strategic and operational initiatives to help address these macroeconomic pressures, including our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transformation, operational modernization, cost reduction, and advanced technology programs, and we apply our Customer Oriented Results and Excellence (CORE) operating platform to the execution of these initiatives. However, the impact of these pressures and corresponding initiatives is uncertain and subject to a range of factors and future developments.</w:t>
      </w:r>
    </w:p>
    <w:p>
      <w:pPr>
        <w:spacing w:after="0" w:line="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global trade environment is highly dynamic. Since February 2025, the U.S. government has imposed tariffs on imports from all countries with which the U.S. engages in trade. In response, China, the European Union, Canada and other countries have announced, and in some cases imposed, tariffs, and</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non-tariff countermeasures on goods that are imported from the U.S. Our businesses and suppliers import goods subject to U.S. imposed tariffs, as well as goods subject to counter tariffs imposed by other countries. We continue to pursue available options to mitigate the impact of tariffs and countermeasures, including (i) utilizing available exemptions or exclusions to tariffs, such as trade agreements, treaties or other statutory relief, (ii) evaluating operational and supply chain changes, and (iii) where feasible, increasing the prices of our goods and services. Our results for the quarter ended June 30, 2025, reflect our best estimate of the impact of the tariffs then in effect. As the duration and extent of the tariffs and counter tariffs remain uncertain, we are continuing to</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evaluate the potential future impacts of the imposition of the announced tariffs to our business and financial condition. Based on current conditions, we do not believe that the tariffs announced by the U.S. or counter tariffs or other actions taken by other countries will have a material adverse effect upon our results of operations, financial condition, or cash flows. However, the actual financial impacts of tariffs are dependent upon various factors, most notably, the scope of goods covered by tariffs, the value of our imports subject to tariffs, the rate of tariffs applied, the timing and duration of tariffs, the implementation of tariff and non-tariff countermeasures by countries subject to U.S. tariffs, and our and our suppliers’ ability to mitigate the impacts of tariffs. Changes in any of these factors and actual tariff costs incurred could significantly affect the estimates inherent in our financial statements, including those used in our estimates-at-completion (EACs), and estimates supporting the recoverability of our inventories, contract fulfillment costs, deferred tax assets, intangible assets and goodwill, and could have a material effect on our results of operations and cash flows in the periods recognized and paid.</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 Government’s Budget &amp; Tax Legislation. </w:t>
      </w:r>
      <w:r>
        <w:rPr>
          <w:rFonts w:ascii="Times New Roman" w:cs="Times New Roman" w:eastAsia="Times New Roman" w:hAnsi="Times New Roman"/>
          <w:sz w:val="18"/>
          <w:szCs w:val="18"/>
          <w:color w:val="auto"/>
        </w:rPr>
        <w:t>On March 15, 2025, the President signed a continuing resolution (CR) under which U.S.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Departments and Agencies will continue to operate through September 30, 2025, the end of the government fiscal year. The CR funds the government at fiscal year 2024 levels with certain exceptions, including the addition of approximately $6 billion to the DoD budget. Although Congress provided guidelines to the Executive Branch, the CR generally permits individual Departments and Agencies to determine the areas and programs to fund. The impact of the CR on RTX ultimately will depend on funding decisions, however, RTX currently does not expect that the CR will materially impact our business or results of operations.</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4th, 2025, “An Act to Provide for Reconciliation Pursuant to Title II of the H. Con. Res. 14” (the Act) was enacted. The Act provides for several corporate tax changes including, but not limited to, restoring full expensing of domestic research and development costs, restoring immediate deductibility of certain capital expenditures, and changes in the computations of U.S. taxation on international earnings. We do not expect the new provisions of the Act to have a significant impact to tax expense and cash flows for 2025.</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 also provides a supplementary $156.2 billion to the DoD for obligations through 2029. Congress has also begun deliberations on the President’s budget request for fiscal year 2026.</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Executive Order Regarding Modernizing Defense Acquisitions. </w:t>
      </w:r>
      <w:r>
        <w:rPr>
          <w:rFonts w:ascii="Times New Roman" w:cs="Times New Roman" w:eastAsia="Times New Roman" w:hAnsi="Times New Roman"/>
          <w:sz w:val="18"/>
          <w:szCs w:val="18"/>
          <w:color w:val="auto"/>
        </w:rPr>
        <w:t>On April 9, 2025, the U.S. government issued an executive order requiring,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things, a DoD review of its Major Defense Acquisition Programs to identify those that are 15% behind schedule, 15% over budget, unable to meet key performance parameters, or unaligned with the Secretary of Defense’s mission priorities for potential cancellation. Although RTX does not, at this time, believe the Executive Order will have a material impact on our business or results of operations, the longer-term ramifications, if any, to RTX will depend on a variety of factors including the formulation and implementation of the review criteria in the order, the review timeline, the Secretary of Defense’s mission priorities, and future budget determinations based on the results of such review.</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Executive Order Regarding the Iron Dome for America. </w:t>
      </w:r>
      <w:r>
        <w:rPr>
          <w:rFonts w:ascii="Times New Roman" w:cs="Times New Roman" w:eastAsia="Times New Roman" w:hAnsi="Times New Roman"/>
          <w:sz w:val="18"/>
          <w:szCs w:val="18"/>
          <w:color w:val="auto"/>
        </w:rPr>
        <w:t>On January 27, 2025, the U.S. government issued an executive order calling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deployment of a next-generation missile defense shield. On May 20, 2025, the DoD announced a draft architecture and implementation plan for the system and the Act allocates $24.4 billion to the DoD for the project. With next generation technologies across all domains that build upon existing, proven defense capabilities, RTX’s portfolio is well-positioned to play a role to deliver reliable solutions for the Iron Dome for America initiative. Whether this Executive Order or corresponding funding will have a material impact on our business or results or operations will depend on a variety of factors including award timelines, mission priorities, and future budget determinations.</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Geopolitical Matters. </w:t>
      </w:r>
      <w:r>
        <w:rPr>
          <w:rFonts w:ascii="Times New Roman" w:cs="Times New Roman" w:eastAsia="Times New Roman" w:hAnsi="Times New Roman"/>
          <w:sz w:val="18"/>
          <w:szCs w:val="18"/>
          <w:color w:val="auto"/>
        </w:rPr>
        <w:t>In response to Russia’s invasion of Ukraine, the U.S. government and the governments of various jurisdictions in which we operate,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imposed broad economic sanctions and export controls targeting specific industries, entities, and individuals in Russia. The Russian government has implemented similar counter-sanctions and export controls targeting specific industries, entities, and individuals in the U.S. and other jurisdictions in which we operate, including certain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members of the Company’s management team and Board of Directors. These government measures, among other limitations, restrict transactions involving various Russian banks and financial institutions and impose enhanced export controls limiting transfers of various goods, software, and technologies to and from Russia, including broadened export controls specifically targeting the aerospace sector. These measures have adversely affected, and could continue to adversely affect, the Company and/or our supply chain, business partners, or customers; however, based on information available to date, we do not currently expect these issues will have a material adverse effect on our financial results. We will continue to monitor future developments, including additional sanctions and other measures, that could adversely affect the Company and/or our supply chain, business partners, or customers.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2023, China announced sanctions against Raytheon Missiles &amp; Defense (RMD) (a former RTX business segment which became part of the Raytheon business during the third quarter of 2023), and previously announced it may take measures against RTX, in connection with certain foreign military sales to Taiwan. The Chinese sanctions against RMD included a fine equal to twice the value of the arms that RMD sold to Taiwan since September 2020. Since that time, China has announced additional sanctions against the Raytheon business and a Collins joint venture. If China were to impose additional sanctions, enforce announced sanctions, or take other regulatory action against RTX, our suppliers, affiliates, or partners, it could potentially disrupt our business operations. Any impact of these or other potential sanctions or other actions by China, is uncertain.</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direct commercial sales contracts for products and services to certain foreign customers, for which U.S. government review and approval have been pending. The U.S. government’s approval of these sales is subject to a range of factors, including its foreign policies related to these customers, which are subject to continuing review and potential changes. Likewise, regulatory approvals previously granted for prior sales can be paused or revoked if the products and services have not yet been delivered to the customer. In addition, certain programs require approvals by foreign governments, and those approvals may not be obtained on a timely basis or at all or may be revoked. If we ultimately do not receive all of the regulatory approvals, or those approvals are revoked, it could have a material effect on our financial results.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closely monitor potential impacts to RTX’s business, customers, suppliers, employees, and operations in Israel, the Middle East, and the region at large due to continuing tensions between Israel and the U.S. with Iran, resumed Houthi missile attacks against Israel, and uncertainty related to regime change in Syria. RTX’s commercial manufacturing facilities in Israel remain open and operational and we continue to reassess operations daily, based upon Israel directives and the local security situation. RTX’s defense programs’ ability to receive components from Israel has not been impacted in any material respect, although we could experience future delivery delays of certain products if further escalations arise. To date, the overall impacts to RTX from this situation have been minimal; however, given the volatile nature of the situation, the potential impacts to RTX are subject to change.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 our 2024 Annual Report on Form 10-K for further discussion of these items.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See “Critical Accounting Estimates” within Item 7 and “Note 1: Basis of Presentation and Summary of Accounting Principles” within Item 8 of our 2024 Annual Report on Form 10-K, which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our “Cautionary Note Concerning Factors That May Affect Future Results” of this Form 10-Q, our interim period results of operations and period-to-period comparisons of our results, particularly at a segment level, may not be indicative of our future operating results. The following discussions of comparative results among periods, including the discussion of segment results, should be viewed in this context.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the organic change in Net sales and Cost of sales for our consolidated results of operations as well as the organic change in Net sales and Operating profit for our segments. We believe that these non-Generally Accepted Accounting Principles (non-GAAP) measures are useful to investors because they provide transparency to the underlying performance of our business, which allows for better year-over-year comparability. The organic change in Net sales, Cost of sales, and Operating profit excludes acquisitions and divestitures, net, and the effect of foreign currency exchange rate translation fluctuations and other significant non-operational items and/or significant operational items that may occur at irregular intervals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Additionally, the organic change in Cost of sales and Operating profit excludes restructuring costs, the FAS/CAS operating adjustment, and costs related to certain acquisition accounting adjustments. Restructuring costs generally arise from severance related to workforce reductions and facility exit costs. We are continuously evaluating our cost structure and implement restructuring actions in an effort to keep our cost structure competitive. The FAS/CAS operating adjustment represents the difference between the service cost component of our pension and postretirement benefit (PRB) expense under the Financial Accounting Standards (FAS) requirements of U.S. GAAP and our pension and PRB expense under U.S. government Cost Accounting Standards (CAS), primarily related to our Raytheon segment. 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w:t>
      </w:r>
    </w:p>
    <w:p>
      <w:pPr>
        <w:spacing w:after="0" w:line="8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6"/>
                <w:szCs w:val="16"/>
                <w:color w:val="auto"/>
              </w:rPr>
            </w:pPr>
          </w:p>
        </w:tc>
        <w:tc>
          <w:tcPr>
            <w:tcW w:w="298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21,581</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41,887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net sales for the quarter and six months ended June 30, 2025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38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40" w:type="dxa"/>
            <w:vAlign w:val="bottom"/>
          </w:tcPr>
          <w:p>
            <w:pPr>
              <w:spacing w:after="0"/>
              <w:rPr>
                <w:sz w:val="13"/>
                <w:szCs w:val="13"/>
                <w:color w:val="auto"/>
              </w:rPr>
            </w:pPr>
          </w:p>
        </w:tc>
        <w:tc>
          <w:tcPr>
            <w:tcW w:w="14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vMerge w:val="continue"/>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1,783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107</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1,860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$1.8 billion organically in the quarter ended June 30, 2025 compared to the quarter ended June 30, 2024 primarily due to higher organic net sales of $0.8 billion at Pratt &amp; Whitney, $0.6 billion at Collins, and $0.4 billion at Raytheon.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$3.3 billion organically in the six months ended June 30, 2025 compared to the six months ended June 30, 2024 primarily due to higher organic net sales of $1.7 billion at Pratt &amp; Whitney, $1.2 billion at Collins, and $0.6 billion at Raytheon.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sales due to Acquisitions and divestitures, net of $0.5 billion for the six months ended June 30, 2025 compared to the six months ended June 30, 2024 was primarily driven by the sale of our Cybersecurity, Intelligence and Services (CIS) business within our Raytheon segment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“Segment Review” below for further information by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15,551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72.1 %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6,030</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27.9 %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21,581</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Segment Financial Data” within Item 1 of this Form 10-Q for the composition of external net sales by products and services by segment.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products sales increased $1.0 billion in the quarter ended June 30, 2025 compared to the quarter ended June 30, 2024 primarily due to increases in external products sales of $0.4 billion at Collins, $0.3 billion at Pratt &amp; Whitney, and $0.3 billion at Raytheon.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services sales increased $0.9 billion in the quarter ended June 30, 2025 compared to the quarter ended June 30, 2024 primarily due to increases in external services sales of $0.6 billion at Pratt &amp; Whitney, $0.2 billion at Raytheon, and $0.1 billion at Collins.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30,142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72.0 %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11,745</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28.0 %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41,887</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39,026</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products sales increased $1.3 billion in the six months ended June 30, 2025 compared to the six months ended June 30, 2024 primarily driven by increases in external products sales of $0.7 billion at Collins, $0.3 billion at Pratt &amp; Whitney, and $0.3 billion at Raytheon.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sales increased $1.6 billion in the six months ended June 30, 2025 compared to the six months ended June 30, 2024 primarily due to increases in external services sales of $1.4 billion at Pratt &amp; Whitney and $0.3 billion at Collins, partially offset by a decrease in external services sales of $0.1 billion at Raytheon, primarily driven by the sale of the CIS business within our Raytheon segment completed in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sales to major customers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8,273</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38.3 %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1,635</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7.6 %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1,433</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10,240</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47.4 %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21,581</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19,721</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tcBorders>
              <w:bottom w:val="single" w:sz="8" w:color="auto"/>
            </w:tcBorders>
            <w:vMerge w:val="continue"/>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to the U.S. government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16,005</w:t>
            </w:r>
          </w:p>
        </w:tc>
        <w:tc>
          <w:tcPr>
            <w:tcW w:w="9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16,179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38.2 %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military sales through the U.S. government</w:t>
            </w:r>
          </w:p>
        </w:tc>
        <w:tc>
          <w:tcPr>
            <w:tcW w:w="8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3,106</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7.4 %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direct commercial sales</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2,785</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6.6 %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aerospace and other commercial sales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19,991</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17,950</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47.7 %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41,887</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39,026</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b w:val="1"/>
                <w:bCs w:val="1"/>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Excludes foreign military sales through the U.S. government.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17,205</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33,395</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31,885</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79.7 %</w:t>
            </w:r>
          </w:p>
        </w:tc>
        <w:tc>
          <w:tcPr>
            <w:tcW w:w="7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79.7 %</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0" w:type="dxa"/>
            <w:vAlign w:val="bottom"/>
          </w:tcPr>
          <w:p>
            <w:pPr>
              <w:spacing w:after="0"/>
              <w:rPr>
                <w:sz w:val="1"/>
                <w:szCs w:val="1"/>
                <w:color w:val="auto"/>
              </w:rPr>
            </w:pPr>
          </w:p>
        </w:tc>
      </w:tr>
      <w:tr>
        <w:trPr>
          <w:trHeight w:val="972"/>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contributing to the change year-over-year in total cost of sales for the quarter and six months ended June 30, 2025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3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40" w:type="dxa"/>
            <w:vAlign w:val="bottom"/>
          </w:tcPr>
          <w:p>
            <w:pPr>
              <w:spacing w:after="0"/>
              <w:rPr>
                <w:sz w:val="13"/>
                <w:szCs w:val="13"/>
                <w:color w:val="auto"/>
              </w:rPr>
            </w:pPr>
          </w:p>
        </w:tc>
        <w:tc>
          <w:tcPr>
            <w:tcW w:w="14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Organic </w:t>
            </w:r>
            <w:r>
              <w:rPr>
                <w:rFonts w:ascii="Times New Roman" w:cs="Times New Roman" w:eastAsia="Times New Roman" w:hAnsi="Times New Roman"/>
                <w:sz w:val="23"/>
                <w:szCs w:val="23"/>
                <w:color w:val="auto"/>
                <w:vertAlign w:val="superscript"/>
              </w:rPr>
              <w:t>(1)</w:t>
            </w:r>
          </w:p>
        </w:tc>
        <w:tc>
          <w:tcPr>
            <w:tcW w:w="30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30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0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30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w:t>
            </w:r>
          </w:p>
        </w:tc>
        <w:tc>
          <w:tcPr>
            <w:tcW w:w="30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“Results of Operations” for definition of organic. A reconciliation of this measure to reported U.S. GAAP amounts is provided in the table above.</w:t>
      </w:r>
    </w:p>
    <w:p>
      <w:pPr>
        <w:spacing w:after="0" w:line="1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$1.5 billion for the quarter ended June 30, 2025 compared to the quarter ended June 30, 2024, was primarily driven by the organic net sales increases at Pratt &amp; Whitney, Collins, and Raytheon noted above.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 of sales decreased $0.4 billion in the quarter ended June 30, 2025 compared to the quarter ended June 30, 2024, primarily driven by a $0.5 billion charge recorded in the second quarter of 2024 at Raytheon related to the termination of a fixed price development contract with a foreign customer (herein referred to as “Raytheon Contract Termination”).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organic increase in total cost of sales of $2.6 billion for the six months ended June 30, 2025 compared to the six months ended June 30, 2024, was primarily driven by the organic net sales increases at Pratt &amp; Whitney, Collins, and Raytheon noted above.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cost of sales decreased $0.7 billion in the six months ended June 30, 2025 compared to the six months ended June 30, 2024, primarily driven by a $0.5 billion charge recorded in the second quarter of 2024 at Raytheon related to the Raytheon Contract Termination and $0.2 billion of charges recorded in the first quarter of 2024 at Collins related to the recognition of unfavorable purchase commitments and an impairment of contract fulfillment costs that were no longer recoverable as a result of initiating alternative titanium 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total cost of sales due to Acquisitions and divestitures, net of $0.5 billion for the six months ended June 30, 2025 compared to the six months ended June 30, 2024, was primarily driven by the sale of the CIS business within our Raytheon segment completed in the first quarter of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actions relate to ongoing cost reduction efforts including workforce reductions and the consolidation of facilities.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discussion on FAS/CAS operating adjustment, see the “FAS/CAS operating adjustment” subsection under the “Segment Review” section below. For discussion on Acquisition accounting adjustments, see the “Acquisition accounting adjustments” subsection under the “Segment Review” section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12,989</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12,625</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60.2 %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4,216</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19.5 %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17,205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79.7 %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products cost of sales increased $0.4 billion in the quarter ended June 30, 2025 compared to the quarter ended June 30, 2024, primarily driven by increases in external products cost of sales at Collins, Pratt &amp; Whitney, and Raytheon, each driven by the products sales changes noted above. The increase was partially offset by a $0.5 billion charge recorded in the second quarter of 2024 at Raytheon related to the Raytheon Contract Termination.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services cost of sales increased $0.7 billion in the quarter ended June 30, 2025 compared to the quarter ended June 30, 2024, primarily due to increases in external services cost of sales at Pratt &amp; Whitney, Raytheon, and Collins, driven by the services sales changes noted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5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 of Total Net Sales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1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25,272</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100" w:type="dxa"/>
            <w:vAlign w:val="bottom"/>
          </w:tcPr>
          <w:p>
            <w:pPr>
              <w:spacing w:after="0"/>
              <w:rPr>
                <w:sz w:val="19"/>
                <w:szCs w:val="19"/>
                <w:color w:val="auto"/>
              </w:rPr>
            </w:pPr>
          </w:p>
        </w:tc>
        <w:tc>
          <w:tcPr>
            <w:tcW w:w="2520" w:type="dxa"/>
            <w:vAlign w:val="bottom"/>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60.3 %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8,123</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19.4 %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33,395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b w:val="1"/>
                <w:bCs w:val="1"/>
                <w:color w:val="auto"/>
              </w:rPr>
              <w:t>79.7 %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products cost of sales increased $0.4 billion in the six months ended June 30, 2025 compared to the six months ended June 30, 2024, primarily driven by increases in external products cost of sales at Collins, Pratt &amp; Whitney, and Raytheon, each driven by the products sales changes noted above. The increase was partially offset by a $0.5 billion charge recorded in the second quarter of 2024 at Raytheon related to the Raytheon Contract Termination and charges of $0.2 billion recorded in the first quarter of 2024 at Collins as a result of initiating alternative titanium sources.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services cost of sales increased $1.1 billion in the six months ended June 30, 2025 compared to the six months ended June 30, 2024, primarily due to increases in external services cost of sales at Pratt &amp; Whitney and Collins, driven by the services sales changes noted above, partially offset by a decrease in external services cost of sales at Raytheon, primarily driven by the sale of the CIS business completed in the first quarter of 2024.</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8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Company-funded</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697</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1,334</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Customer-funded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1,247</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2,447</w:t>
            </w:r>
          </w:p>
        </w:tc>
        <w:tc>
          <w:tcPr>
            <w:tcW w:w="11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10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1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Included in Cost of sales in our Condensed Consolidated Statement of Operations.</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Company-funded research and development expenses for the quarter and six months ended June 30, 2025 were relatively consistent with the quarter and six months ended June 30, 2024,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Customer-funded research and development expenses of $0.1 billion for the quarter ended June 30, 2025 compared to the quarter ended June 30, 2024 was primarily driven by higher expenses on various military and commercial programs at Collins and increased spending at Pratt &amp; Whitney on military development programs. These increases were partially offset by lower customer-funded expenses at Raytheon primarily related to the Next Generation Interceptor (NGI) program.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Customer-funded research and development expenses for the six months ended June 30, 2025 were relatively consistent with the six months ended June 30, 2024.</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3"/>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1,573</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3,021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2,843</w:t>
            </w:r>
          </w:p>
        </w:tc>
        <w:tc>
          <w:tcPr>
            <w:tcW w:w="0" w:type="dxa"/>
            <w:vAlign w:val="bottom"/>
          </w:tcPr>
          <w:p>
            <w:pPr>
              <w:spacing w:after="0"/>
              <w:rPr>
                <w:sz w:val="1"/>
                <w:szCs w:val="1"/>
                <w:color w:val="auto"/>
              </w:rPr>
            </w:pPr>
          </w:p>
        </w:tc>
      </w:tr>
      <w:tr>
        <w:trPr>
          <w:trHeight w:val="236"/>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7.3 %</w:t>
            </w:r>
          </w:p>
        </w:tc>
        <w:tc>
          <w:tcPr>
            <w:tcW w:w="7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7.2 %</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of $0.1 billion for the quarter ended June 30, 2025 compared to the quarter ended June 30, 2024 was primarily driven by a $0.1 billion charge at Pratt &amp; Whitney related to a customer bankruptcy during the second quarter of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of $0.2 billion for the six months ended June 30, 2025 compared to the six months ended June 30, 2024 was primarily driven by a $0.1 billion charge at Pratt &amp; Whitney related to a customer bankruptcy during the second quarter of 2025 and $0.1 billion of higher restructuring costs related to ongoing cost reduction efforts driven by various workforce reductions primarily initiated in the first half of 2025 at Collins.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continuously evaluating our cost structure and have implemented restructuring actions in an effort to keep our cost structure competitive. Therefore, the amounts reflected above include the beneficial impact of previous restructuring actions on Selling, general, and administrative expenses.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tcBorders>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w:t>
            </w:r>
          </w:p>
        </w:tc>
        <w:tc>
          <w:tcPr>
            <w:tcW w:w="11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44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equity earnings in unconsolidated entities, royalty income, foreign exchange gains and losses, and other ongoing and non-recurring items.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income (expense), net of $0.9 billion for the quarter ended June 30, 2025 compared to the quarter ended June 30, 2024 was primarily due to the absence of a $0.9 billion charge recorded in the second quarter of 2024 related to the Resolution of Certain Legal Matters.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income (expense), net of $0.6 billion for the six months ended June 30, 2025 compared to the six months ended June 30, 2024 was primarily due to the absence of a $0.9 billion charge recorded in the second quarter of 2024 related to the Resolution of Certain Legal Matters, partially offset by the absence of a $0.4 billion gain on sale of the CIS business net of transaction and other related costs, in the first quarter of 2024.</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2,146</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4,181</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margin</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9.9 %</w:t>
            </w:r>
          </w:p>
        </w:tc>
        <w:tc>
          <w:tcPr>
            <w:tcW w:w="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Operating profit of $1.6 billion for the quarter ended June 30, 2025 compared to the quarter ended June 30, 2024 was primarily driven by the operating performance of our segments and the absence of charges recorded in the first half of 2024, including a $0.9 billion charge related to the Resolution of Certain Legal Matters and a $0.6 billion charge related to the Raytheon Contract Termination. These increases were partially offset by a $0.1 billion charge at Pratt &amp; Whitney related to a customer bankruptcy during the second quarter of 2025.</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Operating profit of $1.8 billion for the six months ended June 30, 2025 compared to the six months ended June 30, 2024 was primarily driven by an increase in the operating performance of our segments of $0.7 billion and the absence of charges recorded in the first half of 2024, including a $0.9 billion charge related to the Resolution of Certain Legal Matters, a $0.6 billion charge related to the Raytheon Contract Termination, and charges of $0.2 billion at Collins as a result of initiating alternative titanium sources. These items were partially offset by $0.1 billion of higher restructuring costs, a $0.1 billion charge at Pratt &amp; Whitney related to a customer bankruptcy, and the absence of a $0.4 billion gain on sale of the CIS business, net of transaction and other related costs, in the first quarter of 2024.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Non-service Pension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pension income</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1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w:t>
            </w:r>
          </w:p>
        </w:tc>
        <w:tc>
          <w:tcPr>
            <w:tcW w:w="1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Non-service pension income in the quarter and six months ended June 30, 2025 was relatively consistent with the quarter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2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3"/>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480</w:t>
            </w:r>
          </w:p>
        </w:tc>
        <w:tc>
          <w:tcPr>
            <w:tcW w:w="11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982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9"/>
                <w:szCs w:val="19"/>
                <w:color w:val="auto"/>
              </w:rPr>
            </w:pP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(28)</w:t>
            </w:r>
          </w:p>
        </w:tc>
        <w:tc>
          <w:tcPr>
            <w:tcW w:w="118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(79)</w:t>
            </w:r>
          </w:p>
        </w:tc>
        <w:tc>
          <w:tcPr>
            <w:tcW w:w="46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expense (income) </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5</w:t>
            </w: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w:t>
            </w: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457</w:t>
            </w:r>
          </w:p>
        </w:tc>
        <w:tc>
          <w:tcPr>
            <w:tcW w:w="11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900</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10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1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4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282" w:lineRule="auto"/>
        <w:tabs>
          <w:tab w:leader="none" w:pos="34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consists of the gains or losses on assets associated with certain of our nonqualified deferred compensation and employee benefit plans, the gains or losses on liabilities associated with certain of our nonqualified deferred compensation plans, and non-operating dividend income.</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net for the quarter and six months ended June 30, 2025 was relatively consistent with the quarter and six months ended June 30, 2024, respectively.</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of $0.1 billion for the six months ended June 30, 2025 compared to the six months ended June 30, 2024 was primarily due to the reversal of interest accruals as a result of the conclusion of certain tax audits recorded during the first half of 2024, partially offset by lower net interest expense on long-term debt and short-term borrowings in the first half of 2025.</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2"/>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0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5120" w:type="dxa"/>
            <w:vAlign w:val="bottom"/>
            <w:tcBorders>
              <w:bottom w:val="single" w:sz="8" w:color="auto"/>
            </w:tcBorders>
            <w:gridSpan w:val="2"/>
            <w:shd w:val="clear" w:color="auto" w:fill="CCEEFF"/>
          </w:tcPr>
          <w:p>
            <w:pPr>
              <w:jc w:val="right"/>
              <w:ind w:right="3208"/>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0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15.4 %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16.2 %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quarter and six months ended June 30, 2025 was 15.4% and 16.2%, respectively, as compared to 59.1% and 15.8% for the quarter and six months ended June 30, 2024.</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the quarter ended June 30, 2025 includes a tax benefit of $33 million associated with the conclusion of the Internal Revenue Service (IRS) examination of RTX’s 2020 tax year. The effective tax rate for the quarter ended June 30, 2024 includes the impact of the $918 million charge associated with the Resolution of Certain Legal Matters where no related tax benefit was recorded in the quarter.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2025 and June 30, 2024 are relatively consistent. However, the effective tax rate for the six months ended June 30, 2025 includes the impact from the IRS examination noted above and the effective tax rate for the six months ended June 30, 2024 includes a $275 million tax benefit recognized from the conclusion of the examination phases of the RTX and Rockwell Collins audits, a $143 million tax cost associated with the sale of the CIS business, and the impact of the $918 million charge associated with the Resolution of Certain Legal Matters.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Attributable to Common Shareowners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2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amounts)</w:t>
            </w: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1,657</w:t>
            </w:r>
          </w:p>
        </w:tc>
        <w:tc>
          <w:tcPr>
            <w:tcW w:w="11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3,192</w:t>
            </w:r>
          </w:p>
        </w:tc>
        <w:tc>
          <w:tcPr>
            <w:tcW w:w="112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w:t>
            </w:r>
          </w:p>
        </w:tc>
        <w:tc>
          <w:tcPr>
            <w:tcW w:w="11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2.36</w:t>
            </w:r>
          </w:p>
        </w:tc>
        <w:tc>
          <w:tcPr>
            <w:tcW w:w="11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June 30, 2025 includes the following:</w:t>
      </w:r>
    </w:p>
    <w:p>
      <w:pPr>
        <w:spacing w:after="0" w:line="2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earnings per share (EPS) of $0.28.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quarter ended June 30, 2024 includes the following:</w:t>
      </w:r>
    </w:p>
    <w:p>
      <w:pPr>
        <w:spacing w:after="0" w:line="27" w:lineRule="exact"/>
        <w:rPr>
          <w:sz w:val="20"/>
          <w:szCs w:val="20"/>
          <w:color w:val="auto"/>
        </w:rPr>
      </w:pPr>
    </w:p>
    <w:p>
      <w:pPr>
        <w:ind w:left="660" w:right="280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related to the Resolution of Certain Legal Matters of $0.9 billion, which had an unfavorable impact on diluted EPS of $0.68;</w:t>
      </w:r>
    </w:p>
    <w:p>
      <w:pPr>
        <w:ind w:right="2380" w:firstLine="332"/>
        <w:spacing w:after="0" w:line="250" w:lineRule="auto"/>
        <w:tabs>
          <w:tab w:leader="none" w:pos="5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$0.4 billion, net of tax, related to the Raytheon Contract Termination, which had an unfavorable impact on diluted EPS of $0.33; and</w:t>
      </w:r>
    </w:p>
    <w:p>
      <w:pPr>
        <w:ind w:left="660" w:right="2480" w:hanging="328"/>
        <w:spacing w:after="0" w:line="260"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$0.4 billion, net of tax, which had an unfavorable impact on diluted EPS of $0.29.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six months ended June 30, 2025 includes the following:</w:t>
      </w:r>
    </w:p>
    <w:p>
      <w:pPr>
        <w:spacing w:after="0" w:line="2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$0.7 billion, net of tax, which had an unfavorable impact on diluted EPS of $0.55;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of $0.1 billion, net of tax, which had an unfavorable impact on diluted EPS of $0.10.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shareowners for the six months ended June 30, 2024 includes the following:</w:t>
      </w:r>
    </w:p>
    <w:p>
      <w:pPr>
        <w:spacing w:after="0" w:line="27" w:lineRule="exact"/>
        <w:rPr>
          <w:sz w:val="20"/>
          <w:szCs w:val="20"/>
          <w:color w:val="auto"/>
        </w:rPr>
      </w:pPr>
    </w:p>
    <w:p>
      <w:pPr>
        <w:ind w:left="660" w:right="28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related to the Resolution of Certain Legal Matters of $0.9 billion, which had an unfavorable impact on diluted EPS of $0.69;</w:t>
      </w:r>
    </w:p>
    <w:p>
      <w:pPr>
        <w:ind w:left="660" w:right="24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accounting adjustments of $0.8 billion, net of tax, which had an unfavorable impact on diluted EPS of $0.58;</w:t>
      </w:r>
    </w:p>
    <w:p>
      <w:pPr>
        <w:ind w:left="660" w:right="23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$0.4 billion, net of tax, related to the Raytheon Contract Termination, which had an unfavorable impact on diluted EPS of $0.33;</w:t>
      </w:r>
    </w:p>
    <w:p>
      <w:pPr>
        <w:ind w:left="660" w:right="208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recognized as a result of the conclusion of the examination phases of the RTX and Rockwell Collins tax audits of $0.3 billion, net of tax, which had a favorable impact on diluted EPS of $0.21;</w:t>
      </w:r>
    </w:p>
    <w:p>
      <w:pPr>
        <w:ind w:left="660" w:right="23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on sale of the CIS business, net of transaction and other related costs, of $0.2 billion, net of tax, which had a favorable impact on diluted EPS of $0.18; and</w:t>
      </w:r>
    </w:p>
    <w:p>
      <w:pPr>
        <w:ind w:left="660" w:right="280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initiating alternative titanium sources at our Collins segment of $0.2 billion, which had an unfavorable impact on diluted EPS of $0.13.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for the periods presented herein, are classified into three principal segments: Collins, Pratt &amp; Whitney, and Raytheon. Segments are generally based on the management structure of the businesses and the grouping of similar operations,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Segment Operating Profit excludes certain acquisition accounting adjustments, the FAS/CAS operating adjustment, and certain corporate expenses, as further discussed below.</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believe that total net sales and operating profit (and the related operating profit margin percentage), which we disclose and discuss at the segment level, are most relevant to an understanding of management’s view of our segment performance, as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the organic change in Net sales and Operating profit for our segments as discussed above in “Results of Operations.” We believe that these non-GAAP measures are useful to investors because they provide transparency to the underlying performance of our business, which allows for better year-over-year comparability. For Pratt &amp; Whitney only, Other also includes the transactional impact of foreign exchange hedging at Pratt &amp; Whitney Canada due to its significance to Pratt &amp; Whitney’s overall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Net Sales. </w:t>
      </w:r>
      <w:r>
        <w:rPr>
          <w:rFonts w:ascii="Times New Roman" w:cs="Times New Roman" w:eastAsia="Times New Roman" w:hAnsi="Times New Roman"/>
          <w:sz w:val="18"/>
          <w:szCs w:val="18"/>
          <w:color w:val="auto"/>
        </w:rPr>
        <w:t>Total net sales by segment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72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7,622</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14,839</w:t>
            </w:r>
          </w:p>
        </w:tc>
        <w:tc>
          <w:tcPr>
            <w:tcW w:w="10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13,672</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7,631</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14,997</w:t>
            </w:r>
          </w:p>
        </w:tc>
        <w:tc>
          <w:tcPr>
            <w:tcW w:w="106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13,258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7,001</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13,341</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13,170</w:t>
            </w:r>
          </w:p>
        </w:tc>
        <w:tc>
          <w:tcPr>
            <w:tcW w:w="0" w:type="dxa"/>
            <w:vAlign w:val="bottom"/>
          </w:tcPr>
          <w:p>
            <w:pPr>
              <w:spacing w:after="0"/>
              <w:rPr>
                <w:sz w:val="1"/>
                <w:szCs w:val="1"/>
                <w:color w:val="auto"/>
              </w:rPr>
            </w:pPr>
          </w:p>
        </w:tc>
      </w:tr>
      <w:tr>
        <w:trPr>
          <w:trHeight w:val="223"/>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22,254</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43,177</w:t>
            </w:r>
          </w:p>
        </w:tc>
        <w:tc>
          <w:tcPr>
            <w:tcW w:w="106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40,100</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(1,290)</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21,581</w:t>
            </w:r>
          </w:p>
        </w:tc>
        <w:tc>
          <w:tcPr>
            <w:tcW w:w="1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41,887</w:t>
            </w:r>
          </w:p>
        </w:tc>
        <w:tc>
          <w:tcPr>
            <w:tcW w:w="10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39,026</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the operating results of certain smaller operations.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Operating profit by segment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1,173</w:t>
            </w:r>
          </w:p>
        </w:tc>
        <w:tc>
          <w:tcPr>
            <w:tcW w:w="11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2,261</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492</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1,072</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Raytheon </w:t>
            </w:r>
            <w:r>
              <w:rPr>
                <w:rFonts w:ascii="Times New Roman" w:cs="Times New Roman" w:eastAsia="Times New Roman" w:hAnsi="Times New Roman"/>
                <w:sz w:val="23"/>
                <w:szCs w:val="23"/>
                <w:color w:val="auto"/>
                <w:vertAlign w:val="superscript"/>
              </w:rPr>
              <w:t>(2)</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805</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1,483</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23"/>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10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2,470</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4,816</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Eliminations and other </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and other unallocated items </w:t>
            </w:r>
            <w:r>
              <w:rPr>
                <w:rFonts w:ascii="Times New Roman" w:cs="Times New Roman" w:eastAsia="Times New Roman" w:hAnsi="Times New Roman"/>
                <w:sz w:val="23"/>
                <w:szCs w:val="23"/>
                <w:color w:val="auto"/>
                <w:vertAlign w:val="superscript"/>
              </w:rPr>
              <w:t>(3)</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186</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371</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2,146</w:t>
            </w:r>
          </w:p>
        </w:tc>
        <w:tc>
          <w:tcPr>
            <w:tcW w:w="11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4,181</w:t>
            </w:r>
          </w:p>
        </w:tc>
        <w:tc>
          <w:tcPr>
            <w:tcW w:w="10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operating results of certain smaller operations.</w:t>
      </w:r>
    </w:p>
    <w:p>
      <w:pPr>
        <w:spacing w:after="0" w:line="17"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5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and Margin includes a $0.6 billion charge in the second quarter of 2024 related to the Raytheon Contract Termination and a $0.4 billion gain, net of transaction and other related costs, in the first quarter of 2024 related to the sale of our CIS business. See “Note 5: Changes in Contract Estimates at Completion” and “Note 2: Acquisitions and Dispositions,” respectively, within Item 1 of this Form 10-Q for additional information.</w:t>
      </w: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$0.9 billion charge in the second quarter of 2024 related to the Resolution of Certain Legal Matters.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segment Operating profit are EAC adjustments, which relate to changes in Operating profit and margin due to revisions to total estimated revenues and costs at completion. These changes may reflect improved or deteriorated operating performance, as well as changes in facts and assumptions related to contract options, contract modifications, incentive and award fees associated with program performance, customer activity levels, and other customer-directed changes. For a full description of our EAC process, refer to “Note 5: Changes in Contract Estimates at Completion” within Item 1 of this Form 10-Q. Given that we have thousands of individual contracts, and given the types and complexity of the assumptions and estimates we must make on an on-going basis, and the nature of the work required to be performed under our contracts, we have both favorable and unfavorable EAC adjustments in the ordinary course.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the following net EAC adjustments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84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EAC adjustments</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18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1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net EAC adjustments of approximately $50 million for both the quarter and six months ended June 30, 2025 compared to the quarter and six months ended June 30, 2024 was primarily due to unfavorable changes in net EAC adjustments across our businesses. The changes were spread across numerous programs and contracts, with no individual or common significant driver.</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amounts included in the table above, during the second quarter of 2024, Raytheon initiated the Raytheon Contract Termination and recognized a $0.6 billion charge related to its impact. The charge included the write-off of remaining contract assets and the estimated settlement with the customer. The Raytheon Contract Termination was completed, including the customer settlement, during the fourth quarter of 2024, in line with previously accrued amounts.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EAC adjustments, when they occur, are discussed in each business segment’s discussion below.</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Backlog and Bookings. </w:t>
      </w:r>
      <w:r>
        <w:rPr>
          <w:rFonts w:ascii="Times New Roman" w:cs="Times New Roman" w:eastAsia="Times New Roman" w:hAnsi="Times New Roman"/>
          <w:sz w:val="18"/>
          <w:szCs w:val="18"/>
          <w:color w:val="auto"/>
        </w:rPr>
        <w:t>Total backlog was $236 billion and $218 billion as of June 30, 2025 and December 31, 2024, respectively. Total backlog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backlog of $144 billion and $125 billion as of June 30, 2025 and December 31, 2024, and defense backlog of $92 billion and $93 billion as of June 30, 2025 and December 31, 2024, respectively.</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bookings are an important measure of future performance for our defense businesses. Our defense operations consist primarily of our Raytheon business and operations in the defense businesses within our Collins and Pratt &amp; Whitney segments. Defense bookings were approximately $12 billion and $11 billion for the quarters ended June 30, 2025 and 2024, respectively, and approximately $21 billion and $22 billion for the six months ended June 30, 2025 and 2024.</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Bookings are impacted by the timing and amounts of awards in a given period, which are subject to numerous factors, including: the desired capability by the customer and urgency of customer needs, customer budgets and other fiscal constraints, political and economic and other environmental factors, the timing of customer negotiations, and the timing of customer and governmental approvals and notifications. In addition, due to these factors, quarterly bookings tend to fluctuate from period to period, particularly on a segment basis.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Collins Aerospace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7,622</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6,999</w:t>
            </w:r>
          </w:p>
        </w:tc>
        <w:tc>
          <w:tcPr>
            <w:tcW w:w="2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9 %  </w:t>
            </w: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14,839</w:t>
            </w:r>
          </w:p>
        </w:tc>
        <w:tc>
          <w:tcPr>
            <w:tcW w:w="5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13,672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1,173</w:t>
            </w:r>
          </w:p>
        </w:tc>
        <w:tc>
          <w:tcPr>
            <w:tcW w:w="280" w:type="dxa"/>
            <w:vAlign w:val="bottom"/>
          </w:tcPr>
          <w:p>
            <w:pPr>
              <w:spacing w:after="0"/>
              <w:rPr>
                <w:sz w:val="19"/>
                <w:szCs w:val="19"/>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tcPr>
          <w:p>
            <w:pPr>
              <w:spacing w:after="0"/>
              <w:rPr>
                <w:sz w:val="19"/>
                <w:szCs w:val="19"/>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2,261</w:t>
            </w:r>
          </w:p>
        </w:tc>
        <w:tc>
          <w:tcPr>
            <w:tcW w:w="520" w:type="dxa"/>
            <w:vAlign w:val="bottom"/>
          </w:tcPr>
          <w:p>
            <w:pPr>
              <w:spacing w:after="0"/>
              <w:rPr>
                <w:sz w:val="19"/>
                <w:szCs w:val="19"/>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15.4 %</w:t>
            </w: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16.0 %</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15.2 %</w:t>
            </w:r>
          </w:p>
        </w:tc>
        <w:tc>
          <w:tcPr>
            <w:tcW w:w="5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14.4 %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300" w:type="dxa"/>
            <w:vAlign w:val="bottom"/>
          </w:tcPr>
          <w:p>
            <w:pPr>
              <w:spacing w:after="0"/>
              <w:rPr>
                <w:sz w:val="24"/>
                <w:szCs w:val="24"/>
                <w:color w:val="auto"/>
              </w:rPr>
            </w:pPr>
          </w:p>
        </w:tc>
        <w:tc>
          <w:tcPr>
            <w:tcW w:w="6500" w:type="dxa"/>
            <w:vAlign w:val="bottom"/>
            <w:gridSpan w:val="8"/>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2025 Compared with Quarter Ended June 30, 2024</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320" w:type="dxa"/>
            <w:vAlign w:val="bottom"/>
          </w:tcPr>
          <w:p>
            <w:pPr>
              <w:jc w:val="center"/>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200" w:type="dxa"/>
            <w:vAlign w:val="bottom"/>
          </w:tcPr>
          <w:p>
            <w:pPr>
              <w:jc w:val="center"/>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40" w:type="dxa"/>
            <w:vAlign w:val="bottom"/>
          </w:tcPr>
          <w:p>
            <w:pPr>
              <w:spacing w:after="0"/>
              <w:rPr>
                <w:sz w:val="11"/>
                <w:szCs w:val="11"/>
                <w:color w:val="auto"/>
              </w:rPr>
            </w:pPr>
          </w:p>
        </w:tc>
        <w:tc>
          <w:tcPr>
            <w:tcW w:w="5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organic net sales increase of $0.6 billion in the quarter ended June 30, 2025 compared to the quarter ended June 30, 2024 primarily relates to higher commercial aerospace aftermarket sales of $0.3 billion, higher defense sales of $0.3 billion, and a slight increase in commercial aerospace OEM sales. The increase in commercial aerospace aftermarket sales was principally driven by continued growth in commercial air traffic, which has resulted in an increase in flight hours and increased volume. The increase in defense sales was primarily due to higher volume across multiple programs and platforms</w:t>
      </w:r>
      <w:r>
        <w:rPr>
          <w:rFonts w:ascii="Times New Roman" w:cs="Times New Roman" w:eastAsia="Times New Roman" w:hAnsi="Times New Roman"/>
          <w:sz w:val="19"/>
          <w:szCs w:val="19"/>
          <w:color w:val="auto"/>
        </w:rPr>
        <w: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June 30, 2025 compared to the quarter ended June 30, 2024 was primarily due to higher defense operating profit of $0.1 billion, principally driven by higher volume and favorable mix. Commercial aerospace operating profit in the quarter ended June 30, 2025 was slightly higher as compared to the prior year as the benefit of higher commercial aftermarket volume was mostly offset by unfavorable OEM mix including the impact of higher tariffs.</w:t>
      </w:r>
    </w:p>
    <w:p>
      <w:pPr>
        <w:spacing w:after="0" w:line="6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with Six Months Ended June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81"/>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40" w:type="dxa"/>
            <w:vAlign w:val="bottom"/>
          </w:tcPr>
          <w:p>
            <w:pPr>
              <w:spacing w:after="0"/>
              <w:rPr>
                <w:sz w:val="11"/>
                <w:szCs w:val="11"/>
                <w:color w:val="auto"/>
              </w:rPr>
            </w:pPr>
          </w:p>
        </w:tc>
        <w:tc>
          <w:tcPr>
            <w:tcW w:w="1660" w:type="dxa"/>
            <w:vAlign w:val="bottom"/>
          </w:tcPr>
          <w:p>
            <w:pPr>
              <w:jc w:val="center"/>
              <w:ind w:right="519"/>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8"/>
                <w:szCs w:val="18"/>
                <w:color w:val="auto"/>
              </w:rPr>
              <w:t>(134)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2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organic net sales increase of $1.2 billion in the six months ended June 30, 2025 compared to the six months ended June 30, 2024 primarily relates to higher commercial aerospace aftermarket sales of $0.7 billion, higher defense sales of $0.5 billion and a slight increase in commercial aerospace OEM sales. The increase in commercial aerospace aftermarket sales was principally driven by continued growth in commercial air traffic, which has resulted in an increase in flight hours and increased volume. The increase in defense sales was primarily due to higher volume across multiple programs and platforms.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profit increase of $0.3 billion in the six months ended June 30, 2025 compared to the six months ended June 30, 2024 is primarily due to higher commercial aerospace operating profit of $0.2 billion principally driven by higher commercial aerospace aftermarket sales volume, partially offset by unfavorable OEM mix including the impact of higher tariffs. Defense operating profit increased $0.1 billion in the six months ended June 30, 2025 compared to the six months ended June 30, 2024 due to the higher volume and favorable mix.</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operating profit of $0.2 billion in the six months ended June 30, 2025 compared to the six months ended June 30, 2024 was primarily due to the absence of $0.2 billion of charges in the first quarter of 2024, primarily related to the recognition of unfavorable purchase commitments and an impairment of contract fulfillment costs that are no longer recoverable as a result of initiating alternative titanium sources.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restructuring costs in the six months ended June 30, 2025 compared to the six months ended June 30, 2024 relates to ongoing cost reduction efforts driven by various workforce reductions primarily initiated in the first half of 2025.</w:t>
      </w:r>
    </w:p>
    <w:p>
      <w:pPr>
        <w:spacing w:after="0" w:line="52" w:lineRule="exact"/>
        <w:rPr>
          <w:sz w:val="20"/>
          <w:szCs w:val="20"/>
          <w:color w:val="auto"/>
        </w:rPr>
      </w:pPr>
    </w:p>
    <w:p>
      <w:pPr>
        <w:jc w:val="both"/>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six months ended June 30, 2025, Collins booked $358 million as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subcontractor for the U.S. Navy's solution for engineering design and manufacturing of the Very Low Frequency communication subsystem, which is intended to provide secure and survivable communications to the U.S. Navy.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Pratt &amp; Whitney</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vMerge w:val="continue"/>
          </w:tcPr>
          <w:p>
            <w:pPr>
              <w:spacing w:after="0"/>
              <w:rPr>
                <w:sz w:val="15"/>
                <w:szCs w:val="15"/>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7,631</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6,802</w:t>
            </w:r>
          </w:p>
        </w:tc>
        <w:tc>
          <w:tcPr>
            <w:tcW w:w="11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12 %  </w:t>
            </w: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14,997</w:t>
            </w:r>
          </w:p>
        </w:tc>
        <w:tc>
          <w:tcPr>
            <w:tcW w:w="4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13,258</w:t>
            </w:r>
          </w:p>
        </w:tc>
        <w:tc>
          <w:tcPr>
            <w:tcW w:w="1140" w:type="dxa"/>
            <w:vAlign w:val="bottom"/>
            <w:tcBorders>
              <w:top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492</w:t>
            </w:r>
          </w:p>
        </w:tc>
        <w:tc>
          <w:tcPr>
            <w:tcW w:w="300" w:type="dxa"/>
            <w:vAlign w:val="bottom"/>
          </w:tcPr>
          <w:p>
            <w:pPr>
              <w:spacing w:after="0"/>
              <w:rPr>
                <w:sz w:val="19"/>
                <w:szCs w:val="19"/>
                <w:color w:val="auto"/>
              </w:rPr>
            </w:pPr>
          </w:p>
        </w:tc>
        <w:tc>
          <w:tcPr>
            <w:tcW w:w="156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rPr>
              <w:t>542</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1,072</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114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4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6.4 %</w:t>
            </w:r>
          </w:p>
        </w:tc>
        <w:tc>
          <w:tcPr>
            <w:tcW w:w="3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rPr>
              <w:t>8.0 %</w:t>
            </w:r>
          </w:p>
        </w:tc>
        <w:tc>
          <w:tcPr>
            <w:tcW w:w="1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11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650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2025 Compared with Quarter Ended June 30, 2024</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1"/>
                <w:szCs w:val="11"/>
                <w:color w:val="auto"/>
              </w:rPr>
            </w:pPr>
          </w:p>
        </w:tc>
        <w:tc>
          <w:tcPr>
            <w:tcW w:w="1560" w:type="dxa"/>
            <w:vAlign w:val="bottom"/>
          </w:tcPr>
          <w:p>
            <w:pPr>
              <w:jc w:val="center"/>
              <w:ind w:right="37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1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66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6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829</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organic net sales increase of $0.8 billion in the quarter ended June 30, 2025, compared to the quarter ended June 30, 2024, reflects higher commercial aftermarket sales of $0.6 billion, primarily driven by higher volume in large commercial engines and higher commercial OEM sales of $0.2 billion driven by favorable mix within large commercial engines. Military sales were flat driven by lower F135 volume, including the impact of contract award timing.</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June 30, 2025, compared to the quarter ended June 30, 2024 reflects higher commercial aerospace operating profit of $0.1 billion, driven by higher commercial aftermarket sales volume, and favorable large commercial OEM mix, partially offset by unfavorable aftermarket mix and the impact of higher tariffs. Organic operating profit also benefited from lower research and development expenses.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operating profit of $0.1 billion in the quarter ended June 30, 2025, compared to the quarter ended June 30, 2024, primarily relates to a $0.1 billion charge related to a customer bankruptcy during the second quarter of 2025.</w:t>
      </w:r>
    </w:p>
    <w:p>
      <w:pPr>
        <w:spacing w:after="0" w:line="200" w:lineRule="exact"/>
        <w:rPr>
          <w:sz w:val="20"/>
          <w:szCs w:val="20"/>
          <w:color w:val="auto"/>
        </w:rPr>
      </w:pPr>
    </w:p>
    <w:p>
      <w:pPr>
        <w:spacing w:after="0" w:line="20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with Six Months Ended June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Pr>
          <w:p>
            <w:pPr>
              <w:spacing w:after="0"/>
              <w:rPr>
                <w:sz w:val="11"/>
                <w:szCs w:val="11"/>
                <w:color w:val="auto"/>
              </w:rPr>
            </w:pPr>
          </w:p>
        </w:tc>
        <w:tc>
          <w:tcPr>
            <w:tcW w:w="11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1"/>
                <w:szCs w:val="11"/>
                <w:color w:val="auto"/>
              </w:rPr>
            </w:pPr>
          </w:p>
        </w:tc>
        <w:tc>
          <w:tcPr>
            <w:tcW w:w="1560" w:type="dxa"/>
            <w:vAlign w:val="bottom"/>
          </w:tcPr>
          <w:p>
            <w:pPr>
              <w:jc w:val="center"/>
              <w:ind w:right="38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60" w:type="dxa"/>
            <w:vAlign w:val="bottom"/>
          </w:tcPr>
          <w:p>
            <w:pPr>
              <w:jc w:val="center"/>
              <w:ind w:right="51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66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net sales increase of $1.7 billion in the six months ended June 30, 2025 compared to the six months ended June 30, 2024 reflects higher commercial aftermarket sales of $1.4 billion primarily driven by higher volume. The increase also includes higher commercial OEM sales of $0.3 billion, primarily driven by higher volume and favorable mix within large commercial engines. Military sales increased $0.1 billion, primarily due to higher engine deliveries on the tanker program and higher volume on the F135 Engine Core Upgrade, partially offset by the impact of contract award timing.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profit increase of $0.2 billion in the six months ended June 30, 2025 compared to the six months ended June 30, 2024 was driven by higher commercial aerospace operating profit of $0.2 billion, primarily driven by higher commercial aftermarket volume, partially offset by lower commercial OEM operating profit, including higher tariff costs, driven by the higher volume discussed above, and unfavorable aftermarket mix. Organic operating profit also benefited from lower research and development expenses.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other operating profit of $0.1 billion in the quarter ended June 30, 2025, compared to the quarter ended June 30, 2024, primarily relates to a $0.1 billion charge related to a customer bankruptcy during the second quarter of 2025.</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Defense Bookings </w:t>
      </w:r>
      <w:r>
        <w:rPr>
          <w:rFonts w:ascii="Times New Roman" w:cs="Times New Roman" w:eastAsia="Times New Roman" w:hAnsi="Times New Roman"/>
          <w:sz w:val="18"/>
          <w:szCs w:val="18"/>
          <w:color w:val="auto"/>
        </w:rPr>
        <w:t>– In addition to a number of smaller bookings, in the six months ended June 30, 2025, Pratt &amp; Whitney booked $541 million for F135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Raytheon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3"/>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4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7,001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6,511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13,341</w:t>
            </w:r>
          </w:p>
        </w:tc>
        <w:tc>
          <w:tcPr>
            <w:tcW w:w="4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805</w:t>
            </w:r>
          </w:p>
        </w:tc>
        <w:tc>
          <w:tcPr>
            <w:tcW w:w="260" w:type="dxa"/>
            <w:vAlign w:val="bottom"/>
          </w:tcPr>
          <w:p>
            <w:pPr>
              <w:spacing w:after="0"/>
              <w:rPr>
                <w:sz w:val="19"/>
                <w:szCs w:val="19"/>
                <w:color w:val="auto"/>
              </w:rPr>
            </w:pPr>
          </w:p>
        </w:tc>
        <w:tc>
          <w:tcPr>
            <w:tcW w:w="126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1,483</w:t>
            </w:r>
          </w:p>
        </w:tc>
        <w:tc>
          <w:tcPr>
            <w:tcW w:w="46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margins</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2.0 %</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8.5 %</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Defense Bookings</w:t>
            </w: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9,399</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5,028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13,795</w:t>
            </w:r>
          </w:p>
        </w:tc>
        <w:tc>
          <w:tcPr>
            <w:tcW w:w="4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13,150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500" w:type="dxa"/>
            <w:vAlign w:val="bottom"/>
            <w:gridSpan w:val="10"/>
          </w:tcPr>
          <w:p>
            <w:pPr>
              <w:jc w:val="right"/>
              <w:ind w:right="275"/>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June 30, 2025 Compared with Quarter Ended June 30, 2024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1"/>
                <w:szCs w:val="11"/>
                <w:color w:val="auto"/>
              </w:rPr>
            </w:pPr>
          </w:p>
        </w:tc>
        <w:tc>
          <w:tcPr>
            <w:tcW w:w="1260" w:type="dxa"/>
            <w:vAlign w:val="bottom"/>
          </w:tcPr>
          <w:p>
            <w:pPr>
              <w:jc w:val="right"/>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90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0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these measures to reported U.S. GAAP amounts is provided in the table above.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net sales increase of $0.4 billion in the quarter ended June 30, 2025 compared to the quarter ended June 30, 2024 was primarily due to higher net sales of $0.4 billion from land and air defense systems programs primarily driven by higher net sales on international Patriot programs and international National Advanced Surface-to-Air Missile System (NASAMS) programs. The increase in the quarter was also driven by higher net sales of $0.1 billion from naval power programs primarily due to higher net sales on Evolved SeaSparrow Missile (ESSM) programs and SPY-6 radar programs, partially offset by lower net sales of $0.1 billion driven by lower development program volume within air and space defense systems.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$0.1 billion in the quarter ended June 30, 2025 compared to the quarter ended June 30, 2024 was driven by a favorable change in mix and other performance of approximately $50 million and higher volume of approximately $40 million. The favorable change in mix and other performance was primarily due to increased production on international Patriot programs. The increase in volume was primarily driven by the higher net sales discussed above.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Other net sales and operating profit increases of $0.1 billion and $0.6 billion, respectively, in the quarter ended June 30, 2025 compared to the quarter ended June 30, 2024 was primarily due to a charge related to the Raytheon Contract Termination initiated in the second quarter of 2024.</w:t>
      </w:r>
    </w:p>
    <w:p>
      <w:pPr>
        <w:spacing w:after="0" w:line="5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with Six Months Ended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Factors Contributing to Total Change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Pr>
          <w:p>
            <w:pPr>
              <w:spacing w:after="0"/>
              <w:rPr>
                <w:sz w:val="11"/>
                <w:szCs w:val="11"/>
                <w:color w:val="auto"/>
              </w:rPr>
            </w:pPr>
          </w:p>
        </w:tc>
        <w:tc>
          <w:tcPr>
            <w:tcW w:w="120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xml:space="preserve">Organic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1"/>
                <w:szCs w:val="11"/>
                <w:color w:val="auto"/>
              </w:rPr>
            </w:pPr>
          </w:p>
        </w:tc>
        <w:tc>
          <w:tcPr>
            <w:tcW w:w="1320" w:type="dxa"/>
            <w:vAlign w:val="bottom"/>
          </w:tcPr>
          <w:p>
            <w:pPr>
              <w:jc w:val="right"/>
              <w:ind w:right="261"/>
              <w:spacing w:after="0" w:line="131"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60" w:type="dxa"/>
            <w:vAlign w:val="bottom"/>
          </w:tcPr>
          <w:p>
            <w:pPr>
              <w:spacing w:after="0"/>
              <w:rPr>
                <w:sz w:val="11"/>
                <w:szCs w:val="11"/>
                <w:color w:val="auto"/>
              </w:rPr>
            </w:pPr>
          </w:p>
        </w:tc>
        <w:tc>
          <w:tcPr>
            <w:tcW w:w="1660" w:type="dxa"/>
            <w:vAlign w:val="bottom"/>
          </w:tcPr>
          <w:p>
            <w:pPr>
              <w:jc w:val="center"/>
              <w:ind w:right="559"/>
              <w:spacing w:after="0" w:line="131"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2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Change</w:t>
            </w:r>
          </w:p>
        </w:tc>
        <w:tc>
          <w:tcPr>
            <w:tcW w:w="0" w:type="dxa"/>
            <w:vAlign w:val="bottom"/>
          </w:tcPr>
          <w:p>
            <w:pPr>
              <w:spacing w:after="0"/>
              <w:rPr>
                <w:sz w:val="1"/>
                <w:szCs w:val="1"/>
                <w:color w:val="auto"/>
              </w:rPr>
            </w:pPr>
          </w:p>
        </w:tc>
      </w:tr>
      <w:tr>
        <w:trPr>
          <w:trHeight w:val="200"/>
        </w:trPr>
        <w:tc>
          <w:tcPr>
            <w:tcW w:w="3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559"/>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See “Segment Review” above for definition of organic. A reconciliation of this measure to the reported U.S. GAAP amount is provided in the table above.</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organic net sales increase of $0.6 billion in the six months ended June 30, 2025 compared to the six months ended June 30, 2024 was primarily due to higher net sales of $0.7 billion from land and air defense systems programs primarily driven by higher net sales on international Patriot programs, international NASAMS programs, and Lower Tier Air and Missile Defense Sensor (LTAMDS) programs, and higher net sales of $0.2 billion from naval power programs primarily due to higher net sales on ESSM programs and SPY-6 radar programs. These increases were partially offset by lower net sales of $0.3 billion driven by lower development program volume within air and space defense systems.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organic operating profit increase of $0.2 billion in the six months ended June 30, 2025 compared to the six months ended June 30, 2024 was primarily due to a favorable change in mix and other performance of $0.1 billion and higher volume of approximately $40 million. The favorable change in mix and other performance was primarily driven by increased production on international Patriot programs. The increase in volume was principally driven by the higher net sales discussed above. In addition, favorable changes in net EAC adjustments were a modest contributor to the organic operating profit increase.</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net sales and operating profit due to acquisitions / divestitures, net in the six months ended June 30, 2025 compared to the six months ended June 30, 2024 primarily relates to the sale of the CIS business completed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other net sales and operating profit increases of $0.1 billion and $0.2 billion, respectively, in the six months ended June 30, 2025 compared to the six months ended June 30, 2024 were primarily due to a charge related to the Raytheon Contract Termination initiated in the second quarter of 2024, with the operating profit decrease partially offset by a gain on sale of the CIS business, net of transaction and other related costs, in the first quarter of 2024.</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Defense Backlog and Bookings </w:t>
      </w:r>
      <w:r>
        <w:rPr>
          <w:rFonts w:ascii="Times New Roman" w:cs="Times New Roman" w:eastAsia="Times New Roman" w:hAnsi="Times New Roman"/>
          <w:sz w:val="18"/>
          <w:szCs w:val="18"/>
          <w:color w:val="auto"/>
        </w:rPr>
        <w:t>– Backlog was $64 billion as of June 30, 2025 and $63 billion as of December 31, 2024. In addition to a number of smaller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bookings, in the quarter ended June 30, 2025, Raytheon booked $1.1 billion for AIM-9X Sidewinder Block II short-range air-to-air missiles for the U.S. Navy and international customers, $901 million to provide Standard Missile-3 (SM-3) for the Missile Defense Agency (MDA), $647 million for a SPY-6 Hardware Production and Sustainment contract for the U.S. Navy, $581 million for Next Generation Jammer Mid-Band (NGJ-MB) for the U.S. Navy and the Royal Australian Air Force, $326 million for an advanced development program for the U.S. government, $325 million for an Advanced Tactical Electro-Optical Infrared (EO/IR) system for the U.S. Air Force, $322 million for SM-3 to the MDA and international customers, $314 million for various Multi-Spectral Targeting System-A (MTS-A) for the U.S. Navy and international customers, $300 million to provide ESSM to the U.S. Navy, and $1.8 billion on a number of classified contracts. In addition to these bookings, in the six months ended June 30, 2025, Raytheon booked $529 million to provide Patriot systems for the Netherlands, $251 million to provide ESSM for Japan, and $651 million on a number of classified contracts.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Eliminations and other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operations.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expenses and other unallocated items consists of costs not considered part of management’s evaluation of reportable segment operating performance, including certain unallowable costs and reserves.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2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gridSpan w:val="3"/>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r>
      <w:tr>
        <w:trPr>
          <w:trHeight w:val="196"/>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(673)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7"/>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(47)</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net sales of $0.1 billion in the quarter ended June 30, 2025 compared to the quarter ended June 30, 2024, was primarily due to an increase in intersegment eliminations, principally driven by Collins.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eliminations and other operating profit of $0.1 billion in the quarter ended June 30, 2025 compared to the quarter ended June 30, 2024, was primarily due to a gain related to the increase in fair value on an investment recognized in the second quarter of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$0.9 billion in the quarter ended June 30, 2025 compared to the quarter ended June 30, 2024, was primarily due to a $0.9 billion charge recorded in the second quarter of 2024 related to the Resolution of Certain Legal Matters.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40" w:type="dxa"/>
            <w:vAlign w:val="bottom"/>
            <w:gridSpan w:val="4"/>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gridSpan w:val="3"/>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(1,290)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36</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and other unallocated items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(85)</w:t>
            </w: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eliminations and other sales of $0.2 billion in the six months ended June 30, 2025 compared to the six months ended June 30, 2024 was primarily due to an increase in intersegment eliminations, principally driven by Collins.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eliminations and other operating profit of $0.1 billion in the six months ended June 30, 2025 compared to the six months ended June 30, 2024, was primarily due to a gain related to the increase in fair value on an investment recognized in the second quarter of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Corporate expenses and other unallocated items of $0.9 billion in the six months ended June 30, 2025 compared to the six months ended June 30, 2024, was primarily due to a $0.9 billion charge recorded in the second quarter of 2024 related to the Resolution of Certain Legal Matters.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a FAS/CAS operating adjustment outside of segment results, which represents the difference between the service cost component of our pension and PRB expense under the FAS requirements of U.S. GAAP and our pension and PRB expense under U.S. government CAS, primarily related to our Raytheon segment. While the ultimate liability for pension and PRB costs under FAS and CAS is similar, the pattern of cost recognition is different. Over time, we generally expect to recover the related Raytheon pension and PRB liabilities through the pricing of our products and services to the U.S. government. Collins and Pratt &amp; Whitney generally record pension and PRB expense on a FAS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FAS/CAS operating adjustment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 service cost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(30)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(60)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216</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431</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186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371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FAS/CAS operating adjustments in the quarter and six months ended June 30, 2025 were relatively consistent with the quarter and six months ended June 30,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accounting adjustments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These adjustments are not considered part of management’s evaluation of segment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 accounting adjustments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property, plant, and equipment fair value adjustment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customer contractual obligations related to acquired loss-making and</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38</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below-market contracts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accounting adjustments related to acquisitions in each segment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 June 30,</w:t>
            </w:r>
          </w:p>
        </w:tc>
        <w:tc>
          <w:tcPr>
            <w:tcW w:w="220" w:type="dxa"/>
            <w:vAlign w:val="bottom"/>
          </w:tcPr>
          <w:p>
            <w:pPr>
              <w:spacing w:after="0"/>
              <w:rPr>
                <w:sz w:val="16"/>
                <w:szCs w:val="16"/>
                <w:color w:val="auto"/>
              </w:rPr>
            </w:pPr>
          </w:p>
        </w:tc>
        <w:tc>
          <w:tcPr>
            <w:tcW w:w="2100" w:type="dxa"/>
            <w:vAlign w:val="bottom"/>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 Aerospace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 accounting adjustments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accounting adjustments in the quarter and six months ended June 30, 2025 were relatively consistent with the quarter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380" w:type="dxa"/>
            <w:vAlign w:val="bottom"/>
          </w:tcPr>
          <w:p>
            <w:pPr>
              <w:spacing w:after="0"/>
              <w:rPr>
                <w:sz w:val="16"/>
                <w:szCs w:val="16"/>
                <w:color w:val="auto"/>
              </w:rPr>
            </w:pPr>
          </w:p>
        </w:tc>
        <w:tc>
          <w:tcPr>
            <w:tcW w:w="15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5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4,782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5,578</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41,978</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41,261</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64,206</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61,923</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 (total debt plus total equity)</w:t>
            </w:r>
          </w:p>
        </w:tc>
        <w:tc>
          <w:tcPr>
            <w:tcW w:w="2380" w:type="dxa"/>
            <w:vAlign w:val="bottom"/>
          </w:tcPr>
          <w:p>
            <w:pPr>
              <w:spacing w:after="0"/>
              <w:rPr>
                <w:sz w:val="19"/>
                <w:szCs w:val="19"/>
                <w:color w:val="auto"/>
              </w:rPr>
            </w:pPr>
          </w:p>
        </w:tc>
        <w:tc>
          <w:tcPr>
            <w:tcW w:w="152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106,184</w:t>
            </w:r>
          </w:p>
        </w:tc>
        <w:tc>
          <w:tcPr>
            <w:tcW w:w="24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103,184</w:t>
            </w:r>
          </w:p>
        </w:tc>
      </w:tr>
      <w:tr>
        <w:trPr>
          <w:trHeight w:val="237"/>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to total capitalization</w:t>
            </w:r>
          </w:p>
        </w:tc>
        <w:tc>
          <w:tcPr>
            <w:tcW w:w="2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2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and the timing of such activities. Our principal source of liquidity is cash flows from operating activities. In addition to operating cash flows, other significant factors that affect our overall management of liquidity include: capital expenditures, customer financing requirements, investments in and divestitures of businesses, dividends, common stock repurchases, pension funding, access to the commercial paper markets, adequacy of available bank lines of credit, redemptions of debt, and the ability to attract long-term capital at satisfactory terms.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we had cash and cash equivalents of $4.8 billion, of which approximately 48% was held by RTX’s foreign subsidiaries. We manage our worldwide cash requirements by reviewing available funds among the many subsidiaries through which we conduct our business and the cost effectiveness with which those funds can be accessed. The Company intends to repatriate certain undistributed earnings of its international subsidiaries that have been previously taxed in the U.S. Taxes associated with the future remittance of these earnings have been recorded. For the remainder of the Company’s undistributed international earnings, unless tax effective to repatriate, RTX will continue to permanently reinvest these earnings.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access global debt markets and the related cost of these borrowings depends on the strength of our credit rating and market conditions. In March 2025, our Moody’s Investors Service outlook improved from Baa1/negative to Baa1/stable. In June 2025, our S&amp;P Global rating was affirmed and our outlook was revised from BBB+/negative to BBB+/stable. Though the Company expects to continue having adequate access to funds, declines in our credit ratings or Company outlook could result in higher borrowing costs.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had a revolving credit agreement with various banks permitting aggregate borrowings of up to $5.0 billion, which expires in August 2028. As of June 30, 2025, there were no borrowings outstanding under this agreement.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use commercial paper borrowings for general corporate purposes, including the funding of potential acquisitions, pension contributions, debt refinancing, dividend payments, and repurchases of our common stock. The commercial paper notes have original maturities of not more than 364 days from the date of issuance. As of June 30, 2025, our maximum commercial paper borrowing limit was $5.0 billion as the commercial paper is backed by our $5.0 billion revolving credit agreement. At June 30, 2025, we had $1.4 billion of commercial paper borrowings outstanding. At June 30, 2025, short-term commercial paper borrowings outstanding had a weighted-average interest rate of 4.7%.</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the following repayment of long-term debt during the six months ended June 30, 2025: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56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 of Notes</w:t>
            </w:r>
          </w:p>
        </w:tc>
        <w:tc>
          <w:tcPr>
            <w:tcW w:w="1420" w:type="dxa"/>
            <w:vAlign w:val="bottom"/>
          </w:tcPr>
          <w:p>
            <w:pPr>
              <w:spacing w:after="0"/>
              <w:rPr>
                <w:sz w:val="13"/>
                <w:szCs w:val="13"/>
                <w:color w:val="auto"/>
              </w:rPr>
            </w:pPr>
          </w:p>
        </w:tc>
        <w:tc>
          <w:tcPr>
            <w:tcW w:w="22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Aggregate Principal Balance (in</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auto"/>
            </w:tcBorders>
            <w:vMerge w:val="continue"/>
          </w:tcPr>
          <w:p>
            <w:pPr>
              <w:spacing w:after="0"/>
              <w:rPr>
                <w:sz w:val="17"/>
                <w:szCs w:val="17"/>
                <w:color w:val="auto"/>
              </w:rPr>
            </w:pPr>
          </w:p>
        </w:tc>
        <w:tc>
          <w:tcPr>
            <w:tcW w:w="55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36"/>
        </w:trPr>
        <w:tc>
          <w:tcPr>
            <w:tcW w:w="2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55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 Month SOFR plus 1.225% term loan due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750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existing universal shelf registration statement, which we filed with the SEC on September 22, 2022, for an indeterminate amount of debt and equity securities for future issuance, subject to our internal limitations on the amount of debt to be issued under this shelf registration statement.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cash on hand and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1,763</w:t>
            </w:r>
          </w:p>
        </w:tc>
        <w:tc>
          <w:tcPr>
            <w:tcW w:w="98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within Net income for the six months ended June 30, 2024, was a $0.9 billion charge related to the Resolution of Certain Legal Matters and a $0.4 billion, net of tax, charge related to the Raytheon Contract Termination, both of which had no effect on cash flow in that period. These charges also had the effect of increasing Other accrued liabilities by $1.3 billion in the six months ended June 30, 2024.</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impact of these charges, the $1.3 billion decrease in cash flows provided by operating activities in the six months ended June 30, 2025 compared to in the six months ended June 30, 2024, was primarily driven by an increase in accounts receivable, including an increase in collaborator receivables, due to timing of collections, and higher tax payments in the six months ended June 30, 2025. These changes were partially offset by higher net income after adjustments to reconcile to net cash provided by operating activities.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various factoring agreements with third-parties to sell certain of its receivables, primarily related to customer facilitated programs. The activity in these agreements is generally dependent on underlying delivery volumes within our commercial OEM programs. Factoring activity resulted in a $0.2 billion decrease in cash provided by operating activities during the six months ended June 30, 2025 compared to during the six months ended June 30,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tax payments, net of refunds of $0.7 billion and $0.2 billion in the six months ended June 30, 2025 and 2024, respectively.</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timing of cash flows are subject to a number of variables, for the Powder Metal Matter we estimate the accrual for expected customer compensation to be utilized consistent with the timing of execution of the fleet management plan, the period of increased aircraft on ground levels, and contractual terms with customers. We currently estimate a full year 2025 cash impact related to the Powder Metal Matter of approximately $1.1 billion to $1.3 billion, which includes the impact of cash paid, customer credits applied, and the timing of partner recovery.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(1,187)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investing activities primarily include capital expenditures, cash investments in customer financing assets, investments in and dispositions of businesses, payments related to our collaboration intangible assets and contractual rights to provide product on new aircraft platforms, and settlements of derivative contracts not designated as hedging instruments.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$1.1 billion change in cash flows used in investing activities in the six months ended June 30, 2025, compared to the six months ended June 30, 2024, was primarily related to the sale of the CIS business during the quarter ended March 31, 2024 for proceeds of approximately $1.3 billion in cash.</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and 2024, other intangible assets increased by $0.2 billion and $0.3 billion, respectively, primarily related to collaboration payments made under our 2012 agreement to acquire Rolls-Royce’s collaboration interests in International Aero Engines AG (IAE) and exclusivity payments made on contractual commitments included within intangible assets.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(1,409)</w:t>
            </w:r>
          </w:p>
        </w:tc>
        <w:tc>
          <w:tcPr>
            <w:tcW w:w="92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(3,591)</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include the issuance and repayment of commercial paper and other short-term and long-term debt, payment of dividends, and stock repurchases.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$2.2 billion change in cash flows used in financing activities in the six months ended June 30, 2025, compared to the six months ended June 30, 2024, was primarily driven by an increase in issuance of commercial paper of $1.4 billion and lower 2025 long-term debt repayments of $0.9 billion. Refer to “Note 9: Borrowings and Lines of Credit” within Item 1 of this Form 10-Q for additional information on debt repayments.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2025, management had remaining authority to repurchase approximately $0.6 billion of our common stock under the October 21, 2023 share repurchase program. Under the 2023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in connection with the surrender of shares to cover taxes on vesting of restricted stock. Our ability to repurchase shares is subject to applicable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 repurchases, which include shares reacquired outside of our share repurchase program,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5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6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6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r>
      <w:tr>
        <w:trPr>
          <w:trHeight w:val="19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shares 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36"/>
        </w:trPr>
        <w:tc>
          <w:tcPr>
            <w:tcW w:w="6280" w:type="dxa"/>
            <w:vAlign w:val="bottom"/>
            <w:tcBorders>
              <w:bottom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Shares of common stock repurchased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50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bl>
    <w:p>
      <w:pPr>
        <w:spacing w:after="0" w:line="1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Amounts relate to share repurchases that were settled in cash during the period.</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2025, the Board of Directors declared a dividend of $0.68 per share payable June 12, 2025 to shareowners of record at the close of business on May 23, 2025. On June 27, 2025, the Board of Directors declared a dividend of $0.68 per share payable September 4, 2025 to shareowners of record at the close of business on August 15, 2025.</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six months ended June 30, 2025. For discussion of our exposure to market risk, refer to Part II, Item 7A, “Quantitative and Qualitative Disclosures About Market Risk,” contained in our 2024 Form 10-K.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we carried out an evaluation under the supervision and with the participation of our management, including the Chairman and Chief Executive Officer (CEO), the Executive Vice President and Chief Financial Officer (CFO), and the Corporate Vice President and Controller (Controller), of the effectiveness of the design and operation of our disclosure controls and procedures as of June 30, 2025.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as of June 30, 2025,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Factors That May Affect Future Results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“commit,” “commitment,”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 w:lineRule="exact"/>
        <w:rPr>
          <w:sz w:val="20"/>
          <w:szCs w:val="20"/>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economic, capital market, and political conditions in the U.S. and globally, such as from the global sanctions and export controls with respect to Russia, and any changes therein, and including changes related to financial market conditions, banking industry disruptions, fluctuations in commodity prices or supply (including energy supply), inflation, interest rates and foreign currency exchange rates, disruptions in global supply chain and labor markets, levels of consumer and business confidence, the imposition and duration of tariffs (including counter tariffs) and other trade measures and the inability of RTX to mitigate U.S. tariffs and countermeasures including by exemptions, exclusions, operational changes or otherwise, and geopolitical risks, including, without limitation, in the Middle East and Ukraine;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U.S. government sales, including changes or shifts in defense spending due to budgetary constraints, spending cuts resulting from sequestration, a continuing resolution, a government shutdown, the debt ceiling or measures taken to avoid default, or otherwise, and uncertain funding of programs;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performance on our contracts and programs, including our ability to control costs, the mix of our contracts and programs, and our inability to pass some or all of our costs on fixed price contracts to the customer, and risks related to our dependence on U.S. government approvals for international contracts;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certification, production, delivery, support, and performance of RTX advanced technologies and new products and services and the realization of the anticipated benefits (including our expected returns under customer contracts), as well as the challenges of operating in RTX’s highly-competitive industries both domestically and abroad;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reliance on U.S. and non-U.S. suppliers and commodity markets, including the effect of sanctions, tariffs (and counter tariffs) and other trade measures and the duration thereof, delays, and disruptions in the delivery of materials and services to RTX or its suppliers and cost increases, and the inability of RTX to mitigate U.S. tariffs and countermeasures including by exemptions, exclusions, operational changes or otherwise;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RTX’s international operations from, among other things, changes in trade policies and implementation of sanctions, foreign currency fluctuations, economic conditions, political factors, sales methods, U.S. or local government regulations, and our dependence on U.S. government approvals for international contracts;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aerospace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U.S. government policy positions, including changes in Department of Defense (DoD) policies or priorities;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RTX to attract, train, qualify, and retain qualified personnel and maintain its culture and high ethical standards, and the ability of our personnel to continue to operate our facilities and businesses around the world;</w:t>
      </w:r>
    </w:p>
    <w:p>
      <w:pPr>
        <w:jc w:val="both"/>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timing, and challenges of managing acquisitions, investments, divestitures, and other transactions, including the realization of synergies and opportunities for growth and innovation, the assumption of liabilities, and other risks and incurrence of related costs and expenses, and risks related to completion of announced divestitures;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environmental, regulatory, and other requirements, including, among other things, obtaining regulatory approvals for new technologies and products, and export and import requirements such as International Traffic in Arms Regulations (ITAR) and Export Administration Regulations (EAR), anti-bribery and anticorruption requirements, such as the Foreign Corrupt Practices Act (FCPA), industrial cooperation agreement obligations, and procurement and other regulations in the U.S. and other countries in which RTX and its businesses operate;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right="440" w:hanging="328"/>
        <w:spacing w:after="0" w:line="24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threatened, and future legal proceedings, investigations, and other contingencies, including those related to U.S. government audits and disputes and the potential for suspension or debarment of U.S. government contracting or export privileges as a result thereof;</w:t>
      </w:r>
    </w:p>
    <w:p>
      <w:pPr>
        <w:spacing w:after="0" w:line="1" w:lineRule="exact"/>
        <w:rPr>
          <w:rFonts w:ascii="Times New Roman" w:cs="Times New Roman" w:eastAsia="Times New Roman" w:hAnsi="Times New Roman"/>
          <w:sz w:val="18"/>
          <w:szCs w:val="18"/>
          <w:color w:val="auto"/>
        </w:rPr>
      </w:pPr>
    </w:p>
    <w:p>
      <w:pPr>
        <w:ind w:left="660" w:right="880" w:hanging="328"/>
        <w:spacing w:after="0" w:line="24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Deferred Prosecution Agreements, Securities and Exchange Commission (SEC) Administrative Order, the Consent Agreement; and the related investigations by the SEC and the Department of Justice (DOJ);</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impact RTX’s ability to engage in desirable capital-raising or strategic transactions, including its credit rating, capital structure, levels of indebtedness, and related obligations, capital expenditures, and research and development spending, and capital deployment strategy including with respect to share repurchases, and the availability of credit, borrowing costs, credit market conditions, and other factors;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timing and scope of future repurchases by RTX of its common stock, or declarations of cash dividends, which may be discontinued, accelerated, suspended, or delayed at any time due to various factors, including market conditions and the level of other investing activities and uses of cash;</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realizing expected benefits from, incurring costs for, and successfully managing strategic initiatives such as cost reduction, restructuring, digital transformation, and other operational initiatives;</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additional tax exposures due to new tax legislation or other developments in the U.S. and other countries in which RTX and its businesses operate;</w:t>
      </w: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addressing the Powder Metal Matter, including, without limitation, the number and expected timing of shop visits, inspection results and scope of work to be performed, turnaround time, availability of parts, available capacity at overhaul facilities, outcomes of negotiations with impacted customers, and risks related to other engine models that may be impacted by the Powder Metal Matter, and in each case the timing and costs relating thereto, as well as other issues that could impact RTX product performance, including quality, reliability, or durability;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volumes of one or more of our significant customers as a result of business, labor, or other challenges, and the resulting effect on its or their demand for our products and services;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RTX product safety failure, quality issue, or other failure affecting RTX’s or its customers’ or suppliers’ products or systems;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including cyber-attacks on RTX’s information technology (IT) infrastructure, products, suppliers, customers and partners, and cybersecurity-related regulations;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insufficient indemnity or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artificial intelligence;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intellectual property and certain third-party intellectual property;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to RTX facilities and personnel, or those of its suppliers or customers, as well as other events outside of RTX’s control that may affect RTX or its suppliers or customers, including without limitation public health crises, damaging weather, or other acts of nature;</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estimates for our programs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pension and other postretirement plan estimates and assumptions and contributions;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an impairment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changing or new climate-related regulations, customer and market demands, products and technologies;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qualification of (1) the Raytheon merger as a tax-free reorganization and (2) the separation transactions and other internal restructurings as tax-free to us (formerly known as United Technologies Corporation (UTC)) and former UTC shareowners, in each case, for U.S. federal income tax purposes.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“Note 16: Commitments and Contingencies” within Item 1 of this Form 10-Q and “Management’s Discussion and Analysis of Financial Condition and Results of Operations” under the headings “Business Overview,” “Results of Operations,” and “Liquidity and Financial Condition,” within Item 2 of this Form 10-Q. Additional important information as to these factors is included in our Annual Report on Form 10-K in the sections titled Item 1, “Business” under the headings “General,” “Business Segments,” and “Other Matters Relating to Our Business,” Item 1A, “Risk Factors,” Item 3, “Legal Proceedings,” and Item 7, “Management’s Discussion and Analysis of Financial Condition and Results of Operations” under the headings “Business Overview,” “Results of Operations,” “Liquidity and Financial Condition,” “Critical Accounting Estimates,” and “Government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Commitments and Contingencies” within Item 1 of this Form 10-Q for a discussion regarding additional material legal proceedings.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2024 Annual Report on Form 10-K.</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Item 1A in our 2024 Annual Report on Form 10-K (2024 Form 10-K). There have been no material changes from the factors disclosed in our 2024 Form 10-K, although we may disclose changes to such factors or disclose additional factors from time to time in our future filings with the Securities and Exchange Commission (SEC).</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of equity securities that are registered by us pursuant to Section 12 of the Exchange Act during the quarter ended June 30,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2740" w:type="dxa"/>
            <w:vAlign w:val="bottom"/>
            <w:vMerge w:val="restart"/>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2"/>
                <w:szCs w:val="12"/>
                <w:color w:val="auto"/>
              </w:rPr>
            </w:pPr>
          </w:p>
        </w:tc>
        <w:tc>
          <w:tcPr>
            <w:tcW w:w="1720" w:type="dxa"/>
            <w:vAlign w:val="bottom"/>
            <w:vMerge w:val="restart"/>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60" w:type="dxa"/>
            <w:vAlign w:val="bottom"/>
            <w:vMerge w:val="continue"/>
          </w:tcPr>
          <w:p>
            <w:pPr>
              <w:spacing w:after="0"/>
              <w:rPr>
                <w:sz w:val="12"/>
                <w:szCs w:val="12"/>
                <w:color w:val="auto"/>
              </w:rPr>
            </w:pPr>
          </w:p>
        </w:tc>
        <w:tc>
          <w:tcPr>
            <w:tcW w:w="1920" w:type="dxa"/>
            <w:vAlign w:val="bottom"/>
            <w:gridSpan w:val="2"/>
          </w:tcPr>
          <w:p>
            <w:pPr>
              <w:jc w:val="center"/>
              <w:ind w:left="82"/>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2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320" w:type="dxa"/>
            <w:vAlign w:val="bottom"/>
          </w:tcPr>
          <w:p>
            <w:pPr>
              <w:spacing w:after="0"/>
              <w:rPr>
                <w:sz w:val="11"/>
                <w:szCs w:val="11"/>
                <w:color w:val="auto"/>
              </w:rPr>
            </w:pPr>
          </w:p>
        </w:tc>
        <w:tc>
          <w:tcPr>
            <w:tcW w:w="1600" w:type="dxa"/>
            <w:vAlign w:val="bottom"/>
          </w:tcPr>
          <w:p>
            <w:pPr>
              <w:jc w:val="center"/>
              <w:ind w:right="99"/>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740" w:type="dxa"/>
            <w:vAlign w:val="bottom"/>
          </w:tcPr>
          <w:p>
            <w:pPr>
              <w:jc w:val="center"/>
              <w:ind w:left="718"/>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2"/>
                <w:szCs w:val="12"/>
                <w:color w:val="auto"/>
              </w:rPr>
            </w:pPr>
          </w:p>
        </w:tc>
        <w:tc>
          <w:tcPr>
            <w:tcW w:w="17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2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320" w:type="dxa"/>
            <w:vAlign w:val="bottom"/>
          </w:tcPr>
          <w:p>
            <w:pPr>
              <w:spacing w:after="0"/>
              <w:rPr>
                <w:sz w:val="12"/>
                <w:szCs w:val="12"/>
                <w:color w:val="auto"/>
              </w:rPr>
            </w:pPr>
          </w:p>
        </w:tc>
        <w:tc>
          <w:tcPr>
            <w:tcW w:w="16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tcBorders>
            <w:vMerge w:val="continue"/>
          </w:tcPr>
          <w:p>
            <w:pPr>
              <w:spacing w:after="0"/>
              <w:rPr>
                <w:sz w:val="17"/>
                <w:szCs w:val="17"/>
                <w:color w:val="auto"/>
              </w:rPr>
            </w:pPr>
          </w:p>
        </w:tc>
        <w:tc>
          <w:tcPr>
            <w:tcW w:w="274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(000’s)</w:t>
            </w: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274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27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2740" w:type="dxa"/>
            <w:vAlign w:val="bottom"/>
            <w:tcBorders>
              <w:bottom w:val="single" w:sz="8" w:color="auto"/>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2023, our Board of Directors authorized a share repurchase program for up to $11 billion of our common stock, replacing the previous program announced on December 12, 2022. Under the 2023 program, shares may be purchased on the open market, in privately negotiated transactions, under accelerated share repurchase programs, and under plans complying with Rules 10b5-1 and 10b-18 under the Securities Exchange Act of 1934, as amended.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reacquire shares outside of the program in connection with the surrender of shares to cover taxes on vesting of restricted stock. Our ability to repurchase shares is subject to applicable law. During the quarter ended June 30, 2025, we did not repurchase shares outside of the program.</w:t>
      </w:r>
    </w:p>
    <w:p>
      <w:pPr>
        <w:spacing w:after="0" w:line="5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(as defined in Rule 16a-1(f))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1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Letter re: unaudited interim financial information.*</w:t>
            </w:r>
          </w:p>
        </w:tc>
        <w:tc>
          <w:tcPr>
            <w:tcW w:w="6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Borders>
              <w:bottom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w:t>
            </w:r>
          </w:p>
        </w:tc>
        <w:tc>
          <w:tcPr>
            <w:tcW w:w="7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0000FF"/>
                <w:w w:val="88"/>
              </w:rPr>
              <w:t>32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1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RTX CORPORATION</w:t>
      </w:r>
    </w:p>
    <w:p>
      <w:pPr>
        <w:ind w:left="47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70" w:lineRule="exact"/>
        <w:rPr>
          <w:sz w:val="20"/>
          <w:szCs w:val="20"/>
          <w:color w:val="auto"/>
        </w:rPr>
      </w:pPr>
    </w:p>
    <w:p>
      <w:pPr>
        <w:ind w:left="20"/>
        <w:spacing w:after="0"/>
        <w:tabs>
          <w:tab w:leader="none" w:pos="740" w:val="left"/>
          <w:tab w:leader="none" w:pos="4760" w:val="left"/>
          <w:tab w:leader="none" w:pos="7160" w:val="left"/>
        </w:tabs>
        <w:rPr>
          <w:sz w:val="20"/>
          <w:szCs w:val="20"/>
          <w:color w:val="auto"/>
        </w:rPr>
      </w:pPr>
      <w:r>
        <w:rPr>
          <w:rFonts w:ascii="Times New Roman" w:cs="Times New Roman" w:eastAsia="Times New Roman" w:hAnsi="Times New Roman"/>
          <w:sz w:val="18"/>
          <w:szCs w:val="18"/>
          <w:color w:val="auto"/>
        </w:rPr>
        <w:t>Dated:</w:t>
        <w:tab/>
        <w:t>July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06190" cy="8890"/>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Neil G. Mitchill, Jr.</w:t>
      </w:r>
    </w:p>
    <w:p>
      <w:pPr>
        <w:spacing w:after="0" w:line="4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279" w:lineRule="exact"/>
        <w:rPr>
          <w:sz w:val="20"/>
          <w:szCs w:val="20"/>
          <w:color w:val="auto"/>
        </w:rPr>
      </w:pPr>
    </w:p>
    <w:p>
      <w:pPr>
        <w:ind w:left="20"/>
        <w:spacing w:after="0"/>
        <w:tabs>
          <w:tab w:leader="none" w:pos="740" w:val="left"/>
          <w:tab w:leader="none" w:pos="4760" w:val="left"/>
          <w:tab w:leader="none" w:pos="7340" w:val="left"/>
        </w:tabs>
        <w:rPr>
          <w:sz w:val="20"/>
          <w:szCs w:val="20"/>
          <w:color w:val="auto"/>
        </w:rPr>
      </w:pPr>
      <w:r>
        <w:rPr>
          <w:rFonts w:ascii="Times New Roman" w:cs="Times New Roman" w:eastAsia="Times New Roman" w:hAnsi="Times New Roman"/>
          <w:sz w:val="18"/>
          <w:szCs w:val="18"/>
          <w:color w:val="auto"/>
        </w:rPr>
        <w:t>Dated:</w:t>
        <w:tab/>
        <w:t>July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17145</wp:posOffset>
            </wp:positionV>
            <wp:extent cx="38061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Amy L. Johnson</w:t>
      </w:r>
    </w:p>
    <w:p>
      <w:pPr>
        <w:spacing w:after="0" w:line="4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Corporate Vice President and Controller</w:t>
      </w:r>
    </w:p>
    <w:p>
      <w:pPr>
        <w:spacing w:after="0" w:line="1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52" w:lineRule="exact"/>
        <w:rPr>
          <w:sz w:val="20"/>
          <w:szCs w:val="20"/>
          <w:color w:val="auto"/>
        </w:rPr>
      </w:pPr>
    </w:p>
    <w:p>
      <w:pPr>
        <w:ind w:right="740"/>
        <w:spacing w:after="0" w:line="250" w:lineRule="auto"/>
        <w:rPr>
          <w:sz w:val="20"/>
          <w:szCs w:val="20"/>
          <w:color w:val="auto"/>
        </w:rPr>
      </w:pPr>
      <w:r>
        <w:rPr>
          <w:rFonts w:ascii="Times New Roman" w:cs="Times New Roman" w:eastAsia="Times New Roman" w:hAnsi="Times New Roman"/>
          <w:sz w:val="18"/>
          <w:szCs w:val="18"/>
          <w:color w:val="auto"/>
        </w:rPr>
        <w:t>We are aware that our report dated July 22, 2025 on our review of interim financial information of RTX Corporation, which appears in this Quarterly Report on Form 10-Q, is incorporated by reference in the Registration Statements on Form S-3 (No. 333-267564) and S-8 (Nos. 333-273420, 333-273414, 333-234085, 333-228649, 333-225839, 333-197704, 333-175781, 333-150643, 333-125293, 333-110020, and 333-100724) of RTX Corporation.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Calio, certify that:</w:t>
      </w:r>
    </w:p>
    <w:p>
      <w:pPr>
        <w:spacing w:after="0" w:line="171"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T. CALIO</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T. Calio</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Neil G. Mitchill, Jr., certify that:</w:t>
      </w:r>
    </w:p>
    <w:p>
      <w:pPr>
        <w:spacing w:after="0" w:line="171"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NEIL G. MITCHILL, JR.</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G. Mitchill, Jr.</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Amy L. Johnson, certify that:</w:t>
      </w:r>
    </w:p>
    <w:p>
      <w:pPr>
        <w:spacing w:after="0" w:line="171"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RTX Corporation;</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AMY L. JOHNSON</w:t>
            </w:r>
          </w:p>
        </w:tc>
      </w:tr>
      <w:tr>
        <w:trPr>
          <w:trHeight w:val="218"/>
        </w:trPr>
        <w:tc>
          <w:tcPr>
            <w:tcW w:w="62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Amy L. Johnson</w:t>
            </w:r>
          </w:p>
        </w:tc>
      </w:tr>
      <w:tr>
        <w:trPr>
          <w:trHeight w:val="234"/>
        </w:trPr>
        <w:tc>
          <w:tcPr>
            <w:tcW w:w="626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Controller</w:t>
            </w:r>
          </w:p>
        </w:tc>
      </w:tr>
    </w:tbl>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RTX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54"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June 30, 2025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as amended, and information contained in the Form 10-Q fairly presents, in all material respects, the financial condition and results of operations of the Corporation as of and for the periods presented in the Form 10-Q.</w:t>
      </w:r>
    </w:p>
    <w:p>
      <w:pPr>
        <w:sectPr>
          <w:pgSz w:w="11900" w:h="16838" w:orient="portrait"/>
          <w:cols w:equalWidth="0" w:num="1">
            <w:col w:w="11240"/>
          </w:cols>
          <w:pgMar w:left="320" w:top="887" w:right="339" w:bottom="1440" w:gutter="0" w:footer="0" w:header="0"/>
        </w:sectPr>
      </w:pPr>
    </w:p>
    <w:p>
      <w:pPr>
        <w:spacing w:after="0" w:line="36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22,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22,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July 22, 2025</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T.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T. Calio</w:t>
      </w:r>
    </w:p>
    <w:p>
      <w:pPr>
        <w:spacing w:after="0" w:line="27" w:lineRule="exact"/>
        <w:rPr>
          <w:sz w:val="20"/>
          <w:szCs w:val="20"/>
          <w:color w:val="auto"/>
        </w:rPr>
      </w:pPr>
    </w:p>
    <w:p>
      <w:pPr>
        <w:jc w:val="center"/>
        <w:ind w:right="336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NEIL G. MITCHILL,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G. Mitchill,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8830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830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L. Johnson</w:t>
      </w:r>
    </w:p>
    <w:p>
      <w:pPr>
        <w:spacing w:after="0" w:line="27" w:lineRule="exact"/>
        <w:rPr>
          <w:sz w:val="20"/>
          <w:szCs w:val="20"/>
          <w:color w:val="auto"/>
        </w:rPr>
      </w:pPr>
    </w:p>
    <w:p>
      <w:pPr>
        <w:jc w:val="center"/>
        <w:ind w:right="3240"/>
        <w:spacing w:after="0"/>
        <w:rPr>
          <w:sz w:val="20"/>
          <w:szCs w:val="20"/>
          <w:color w:val="auto"/>
        </w:rPr>
      </w:pPr>
      <w:r>
        <w:rPr>
          <w:rFonts w:ascii="Times New Roman" w:cs="Times New Roman" w:eastAsia="Times New Roman" w:hAnsi="Times New Roman"/>
          <w:sz w:val="17"/>
          <w:szCs w:val="17"/>
          <w:color w:val="auto"/>
        </w:rPr>
        <w:t>Corporate Vice President and Controller</w:t>
      </w:r>
    </w:p>
    <w:sectPr>
      <w:pgSz w:w="11900" w:h="16838" w:orient="portrait"/>
      <w:cols w:equalWidth="0" w:num="2">
        <w:col w:w="4380" w:space="720"/>
        <w:col w:w="614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2025-07-22T15:42:08Z</dcterms:created>
  <dcterms:modified xsi:type="dcterms:W3CDTF">2025-07-22T15:42:08Z</dcterms:modified>
</cp:coreProperties>
</file>